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GigCapital9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Highbridge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1,356,252.00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1,356,252.00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1,356,252.00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5"/>
        <w:gridCol w:w="8915"/>
        <w:gridCol w:w="155"/>
      </w:tblGrid>
      <w:tr>
        <w:trPr/>
        <w:tc>
          <w:tcPr>
            <w:tcW w:w="1135" w:type="dxa"/>
            <w:tcBorders/>
            <w:vAlign w:val="center"/>
          </w:tcPr>
          <w:p>
            <w:pPr>
              <w:pStyle w:val="TableContents"/>
              <w:bidi w:val="0"/>
              <w:spacing w:before="0" w:after="283"/>
              <w:jc w:val="left"/>
              <w:rPr/>
            </w:pPr>
            <w:r>
              <w:rPr/>
              <w:t>Item 1.</w:t>
            </w:r>
          </w:p>
        </w:tc>
        <w:tc>
          <w:tcPr>
            <w:tcW w:w="891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Name of issuer: </w:t>
            </w:r>
          </w:p>
          <w:p>
            <w:pPr>
              <w:pStyle w:val="TableContents"/>
              <w:bidi w:val="0"/>
              <w:spacing w:before="0" w:after="0"/>
              <w:jc w:val="left"/>
              <w:rPr/>
            </w:pPr>
            <w:r>
              <w:rPr/>
              <w:t>GigCapital9 Corp.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1731 Embarcadero Rd., Suite 200, Palo Alto, CA 94303</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2.</w:t>
            </w:r>
          </w:p>
        </w:tc>
        <w:tc>
          <w:tcPr>
            <w:tcW w:w="891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Highbridge Capital Management, LLC ("Highbridge" or the "Reporting Person"), a Delaware limited liability company and the investment adviser to certain funds and accounts (the "Highbridge Funds"), with respect to the Class A ordinary shares, par value $0.0001 per share ("Class A Ordinary Shares"), of GigCapital9 Corp., a Cayman Islands exempted company (the "Issuer"), directly held by the Highbridge Funds; The filing of this statement should not be construed as an admission that any of the foregoing persons or the Reporting Person is, for the purposes of Section 13 of the Securities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the Reporting Person is 390 Madison Avenue, 28th Floor,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jc w:val="left"/>
              <w:rPr/>
            </w:pPr>
            <w:r>
              <w:rPr/>
              <w:t xml:space="preserve">Citizenship: </w:t>
            </w:r>
          </w:p>
          <w:p>
            <w:pPr>
              <w:pStyle w:val="TableContents"/>
              <w:bidi w:val="0"/>
              <w:spacing w:before="0" w:after="0"/>
              <w:jc w:val="left"/>
              <w:rPr/>
            </w:pPr>
            <w:r>
              <w:rPr/>
              <w:t>Highbridge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3.</w:t>
            </w:r>
          </w:p>
        </w:tc>
        <w:tc>
          <w:tcPr>
            <w:tcW w:w="891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(f)</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(g)</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(h)</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(j)</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(k)</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9070" w:type="dxa"/>
            <w:gridSpan w:val="2"/>
            <w:tcBorders/>
            <w:vAlign w:val="center"/>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4.</w:t>
            </w:r>
          </w:p>
        </w:tc>
        <w:tc>
          <w:tcPr>
            <w:tcW w:w="891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the Reporting Person and is incorporated herein by reference. The percentage set forth in this Schedule 13G is calculated based upon an aggregate of 25,688,954 Class A Ordinary Shares outstanding as of May 13, 2026, as reported in the Issuer's Quarterly Report on Form 10-Q for the quarterly period ended March 31, 2026, filed with the Securities and Exchange Commission on May 13, 2026.</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5.</w:t>
            </w:r>
          </w:p>
        </w:tc>
        <w:tc>
          <w:tcPr>
            <w:tcW w:w="891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6.</w:t>
            </w:r>
          </w:p>
        </w:tc>
        <w:tc>
          <w:tcPr>
            <w:tcW w:w="891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The Highbridge Funds have the right to receive or the power to direct the receipt of dividends from, or the proceeds from the sale of, the Class A Ordinary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7.</w:t>
            </w:r>
          </w:p>
        </w:tc>
        <w:tc>
          <w:tcPr>
            <w:tcW w:w="891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8.</w:t>
            </w:r>
          </w:p>
        </w:tc>
        <w:tc>
          <w:tcPr>
            <w:tcW w:w="891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9.</w:t>
            </w:r>
          </w:p>
        </w:tc>
        <w:tc>
          <w:tcPr>
            <w:tcW w:w="891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Highbridge Capital Management, LLC</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Kirk Rule</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By: Kirk Rule, Executive Director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1164</Words>
  <Characters>5889</Characters>
  <CharactersWithSpaces>7043</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