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ix-20260630.htm"/>
      <w:bookmarkStart w:id="1" w:name="ksgix20260630"/>
      <w:bookmarkEnd w:id="0"/>
      <w:bookmarkEnd w:id="1"/>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 to 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001-43074</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GigCapital9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01"/>
        <w:gridCol w:w="1336"/>
      </w:tblGrid>
      <w:tr>
        <w:trPr/>
        <w:tc>
          <w:tcPr>
            <w:tcW w:w="27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Cayman Islands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98-1894186</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 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1731 Embarcadero Rd.,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Palo Alto,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94303</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Registrant’s telephone number, including area code: (650) 276-7040</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6"/>
        <w:gridCol w:w="146"/>
        <w:gridCol w:w="721"/>
        <w:gridCol w:w="146"/>
        <w:gridCol w:w="2226"/>
      </w:tblGrid>
      <w:tr>
        <w:trPr/>
        <w:tc>
          <w:tcPr>
            <w:tcW w:w="6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 each consisting of one Class A ordinary share, $0.0001 par value, and one right to receive one-fifth of one Class A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GIXXU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ordinary shares,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Rights, to receive one-fifth of one Class A ordinary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GIXXR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August 5, 2026,</w:t>
      </w:r>
      <w:r>
        <w:rPr>
          <w:rFonts w:ascii="Times New Roman" w:hAnsi="Times New Roman"/>
          <w:color w:val="000000"/>
          <w:sz w:val="20"/>
        </w:rPr>
        <w:t xml:space="preserve"> </w:t>
      </w:r>
      <w:r>
        <w:rPr>
          <w:rFonts w:ascii="Times New Roman" w:hAnsi="Times New Roman"/>
          <w:color w:val="000000"/>
          <w:sz w:val="18"/>
        </w:rPr>
        <w:t>the registrant had 25,688,954</w:t>
      </w:r>
      <w:r>
        <w:rPr>
          <w:rFonts w:ascii="Times New Roman" w:hAnsi="Times New Roman"/>
          <w:color w:val="000000"/>
          <w:sz w:val="20"/>
        </w:rPr>
        <w:t xml:space="preserve"> </w:t>
      </w:r>
      <w:r>
        <w:rPr>
          <w:rFonts w:ascii="Times New Roman" w:hAnsi="Times New Roman"/>
          <w:color w:val="000000"/>
          <w:sz w:val="18"/>
        </w:rPr>
        <w:t>Class A ordinary shares, $0.0001 par value per share and 10,857,857</w:t>
      </w:r>
      <w:r>
        <w:rPr>
          <w:rFonts w:ascii="Times New Roman" w:hAnsi="Times New Roman"/>
          <w:color w:val="000000"/>
          <w:sz w:val="20"/>
        </w:rPr>
        <w:t xml:space="preserve"> </w:t>
      </w:r>
      <w:r>
        <w:rPr>
          <w:rFonts w:ascii="Times New Roman" w:hAnsi="Times New Roman"/>
          <w:color w:val="000000"/>
          <w:sz w:val="18"/>
        </w:rPr>
        <w:t>Class B ordinary shares, $0.0001 par value per share, issued and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Income</w:t>
              </w:r>
            </w:hyperlink>
            <w:hyperlink w:anchor="statements_of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equity">
              <w:r>
                <w:rPr>
                  <w:rStyle w:val="InternetLink"/>
                  <w:rFonts w:ascii="Times New Roman" w:hAnsi="Times New Roman"/>
                  <w:color w:val="0000FF"/>
                  <w:sz w:val="20"/>
                  <w:u w:val="single"/>
                </w:rPr>
                <w:t>Condensed Statements of Shareholders'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1"/>
        <w:gridCol w:w="546"/>
        <w:gridCol w:w="211"/>
        <w:gridCol w:w="1141"/>
        <w:gridCol w:w="146"/>
        <w:gridCol w:w="146"/>
        <w:gridCol w:w="224"/>
        <w:gridCol w:w="828"/>
        <w:gridCol w:w="592"/>
      </w:tblGrid>
      <w:tr>
        <w:trPr/>
        <w:tc>
          <w:tcPr>
            <w:tcW w:w="63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256,785,679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258,443,714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ORDINARY SHARES AND 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subject to possible redemption, par value of $0.0001 per share</w:t>
              <w:br/>
              <w:t xml:space="preserve">   200,000,000 shares authorized; 25,300,000 and zero shares at a redemption value of </w:t>
              <w:br/>
              <w:t>   $10.15 per share and zero per share as of June 30, 2026 and December 31, 2025,</w:t>
              <w:br/>
              <w:t>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256,685,679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 </w:t>
              <w:br/>
              <w:t>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A ordinary shares, par value of $0.0001 per share; 200,000,000 shares </w:t>
              <w:br/>
              <w:t xml:space="preserve">   authorized; 388,954 and zero issued and outstanding as of June 30, 2026 and </w:t>
              <w:br/>
              <w:t xml:space="preserve">   December 31, 2025, respectively (excludes 25,300,000 shares subject to possible </w:t>
              <w:br/>
              <w:t>   redemption as of June 30, 2026)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B ordinary shares, par value of $0.0001 per share; 20,000,000 shares </w:t>
              <w:br/>
              <w:t xml:space="preserve">   authorized; 10,857,857 and 7,679,427 shares issued and outstanding as of </w:t>
              <w:br/>
              <w:t>   June 30, 2026 and December 31, 2025,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ORDINARY SHARES AND SHAREHOLDERS’ EQUITY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258,443,714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46"/>
        <w:gridCol w:w="146"/>
        <w:gridCol w:w="258"/>
        <w:gridCol w:w="1273"/>
        <w:gridCol w:w="166"/>
        <w:gridCol w:w="146"/>
        <w:gridCol w:w="232"/>
        <w:gridCol w:w="1144"/>
        <w:gridCol w:w="594"/>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636,292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(636,292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 income on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3,785,679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3,150,166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and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3,150,166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2,114,020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shares outstanding, Class A ordinary shares subject </w:t>
              <w:br/>
              <w:t>   to possible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21,525,967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and diluted net income per share, Class A ordinary shares subject </w:t>
              <w:br/>
              <w: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1,036,146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Class A and B non-redeemable ordinary shares </w:t>
              <w:br/>
              <w: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10,550,531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6" w:name="condensed_statements_equity"/>
      <w:bookmarkEnd w:id="6"/>
      <w:r>
        <w:rPr>
          <w:rFonts w:ascii="Times New Roman" w:hAnsi="Times New Roman"/>
          <w:b/>
          <w:color w:val="000000"/>
          <w:sz w:val="20"/>
        </w:rPr>
        <w:t>Condensed Statements of Shareholders’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897" w:type="dxa"/>
        <w:jc w:val="left"/>
        <w:tblInd w:w="0" w:type="dxa"/>
        <w:tblLayout w:type="fixed"/>
        <w:tblCellMar>
          <w:top w:w="28" w:type="dxa"/>
          <w:left w:w="28" w:type="dxa"/>
          <w:bottom w:w="28" w:type="dxa"/>
          <w:right w:w="28" w:type="dxa"/>
        </w:tblCellMar>
      </w:tblPr>
      <w:tblGrid>
        <w:gridCol w:w="1186"/>
        <w:gridCol w:w="146"/>
        <w:gridCol w:w="146"/>
        <w:gridCol w:w="781"/>
        <w:gridCol w:w="146"/>
        <w:gridCol w:w="146"/>
        <w:gridCol w:w="295"/>
        <w:gridCol w:w="486"/>
        <w:gridCol w:w="146"/>
        <w:gridCol w:w="146"/>
        <w:gridCol w:w="146"/>
        <w:gridCol w:w="1036"/>
        <w:gridCol w:w="146"/>
        <w:gridCol w:w="146"/>
        <w:gridCol w:w="211"/>
        <w:gridCol w:w="571"/>
        <w:gridCol w:w="146"/>
        <w:gridCol w:w="146"/>
        <w:gridCol w:w="211"/>
        <w:gridCol w:w="1096"/>
        <w:gridCol w:w="166"/>
        <w:gridCol w:w="146"/>
        <w:gridCol w:w="285"/>
        <w:gridCol w:w="991"/>
        <w:gridCol w:w="166"/>
        <w:gridCol w:w="146"/>
        <w:gridCol w:w="211"/>
        <w:gridCol w:w="109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Accretion of Class A ordinary shares to </w:t>
              <w:br/>
              <w:t>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Reclass of negative additional paid-in </w:t>
              <w:br/>
              <w:t>   capital to 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Equity </w:t>
              <w:b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Class B ordinary shares in </w:t>
              <w:br/>
              <w:t>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Private </w:t>
              <w:br/>
              <w:t>   Placement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Fair value of rights included in Public </w:t>
              <w:br/>
              <w: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Allocated value of transaction costs to </w:t>
              <w:br/>
              <w:t>   Class A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Accretion of Class A ordinary shares to </w:t>
              <w:br/>
              <w:t>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Reclass of negative additional paid-in </w:t>
              <w:br/>
              <w:t>   capital to 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833" w:type="dxa"/>
        <w:jc w:val="left"/>
        <w:tblInd w:w="0" w:type="dxa"/>
        <w:tblLayout w:type="fixed"/>
        <w:tblCellMar>
          <w:top w:w="28" w:type="dxa"/>
          <w:left w:w="28" w:type="dxa"/>
          <w:bottom w:w="28" w:type="dxa"/>
          <w:right w:w="28" w:type="dxa"/>
        </w:tblCellMar>
      </w:tblPr>
      <w:tblGrid>
        <w:gridCol w:w="7281"/>
        <w:gridCol w:w="146"/>
        <w:gridCol w:w="298"/>
        <w:gridCol w:w="1697"/>
        <w:gridCol w:w="411"/>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dividends earned on 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(3,785,679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of cash in Trust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public units, net of underwriting discount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Private Investor Shares and Private Placement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3,763,938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related party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255,237,259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 shares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15,214,702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related party loan for Private Placement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GigCapital9 Corp. (the “Company”) was incorporated as a Cayman Islands exempted company on October 29,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The Company’s sponsor is GigAcquisitions9 Corp., a Cayman Islands exempted company (the “Sponsor”).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had not commenced any operations. All activity for the period from October 29, 2025 (date of inception) through June 30,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will generate non-operating income in the form of interest and dividend income on cash, cash equivalents and marketable securities from the proceeds received from the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23, 2026, the Securities and Exchange Commission (the “SEC”) declared the Company’s Registration Statement on Form S-1 (File No. 333-291869) (the “Registration Statement”), as amended, in connection with the Offering,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with D. Boral Capital LLC (the “Underwriter”) on January 26, 2026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of the Company’s Class A ordinary shares, $0.0001 par value, and one right to receive one-fifth (1/5) of one Class A ordinary share upon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institutional accredited investors (none of which are affiliated with any member of management, the Sponsor or any other investor (the “non-managing investors”)) purchased an aggregate of (a) 3,178,430 Class B ordinary shares (the “Private Investor Shares”) at a purchase price per Class B ordinary share of $0.023254, and (b) an aggregate of 281,454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Units”) for an aggregate purchase price of $2,814,541. The Private Investor Shares along with the Founder Shares (as defined below - see Note 4) collectively represent 30% of the outstanding ordinary shares, excluding the private placement shares underlying the Private Placement Units. The private placement proceeds will be used to pay for business, legal and accounting due diligence expenses on acquisition targets and continuing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proceeds in the amount of $253,000,000 from the sale of the Units in the Offering were placed in a trust account (the “Trust Account”)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$1,677,007, consisting of $1,025,000 of underwriting fees and $652,007 of offering costs. The Company’s remaining cash after payment of the offering costs is held outside of the Trust Account for working capital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has broad discretion with respect to the specific application of the proceeds of the Offering, although substantially all of the proceeds of the Offering are intended to be generally applied toward consummating a Business Combination with (or acquisition of) a Target Business. As used herein, “Target Business” means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were recorded at redemption amount and classified as temporary equity upon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agreed: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Combination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$1,444,000 in cash and working capital of $1,492,571.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condensed financial statements do not include any adjustments that might result from the outcome of this uncertainty.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June 30, 2026, and the results of operations and cash flows for the periods presented. Certain information and disclosures normally included in unaudited condensed financial statements prepared in accordance with GAAP have been condensed or omitted pursuant to such rules and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should be read in conjunction with the audited financial statements and notes thereto included in the Annual Report on Form 10-K for the period from October 29, 2025 (date of inception) through December 31, 2025, which was filed with the SEC on March 31, 2026. The results of operations for the interim periods presented are not necessarily indicative of the results to be expected for the year ending December 31, 2026 or for any future interim periods.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Marketable Securities Held in Trust Account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assets held in the Trust Account consisted of money market funds investing in U.S. Treasury securities and cash.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are included in investment income on marketable securities held in the Trust Account in the accompanying condensed statements of operations and comprehensive income. The estimated fair values of investments held in the Trust Account are determined using available market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complies with the requirements of ASC 340-10-S99-1 and the SEC's Staff Accounting Bulletin (“SAB”) Topic 5A – “Expenses of Offering.” Offering costs in the amount of $1,677,007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rights (as discussed in Note 3) were charged to shareholders’ equity upon the completion of the Offering. As of December 31, 2025, these costs were included in deferred offering costs on the condensed balance sheets as the Offering was not consummated until January 28, 2026.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as of June 30, 2026, Class A ordinary shares subject to possible redemption are presented at redemption value as temporary equity, outside of the shareholders’ equity section of the Company’s condensed balance sheets. Immediately upon the closing of the Offering, the Company recognized the accretion from initial book value to redemption value. The change in the carrying value of redeemable ordinary shares resulted in charges against additional paid-in capital. As of June 30, 2026, 25,300,000 Class A ordinary shares were issued and outstanding and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Class A ordinary shares subject to possible redemption reflected on the condensed balance sheets are reconciled in the following table:</w:t>
      </w:r>
    </w:p>
    <w:p>
      <w:pPr>
        <w:pStyle w:val="TextBody"/>
        <w:bidi w:val="0"/>
        <w:spacing w:before="120" w:after="283"/>
        <w:jc w:val="left"/>
        <w:rPr/>
      </w:pPr>
      <w:r>
        <w:rPr/>
        <w:t> </w:t>
      </w:r>
    </w:p>
    <w:tbl>
      <w:tblPr>
        <w:tblW w:w="9405" w:type="dxa"/>
        <w:jc w:val="left"/>
        <w:tblInd w:w="0" w:type="dxa"/>
        <w:tblLayout w:type="fixed"/>
        <w:tblCellMar>
          <w:top w:w="28" w:type="dxa"/>
          <w:left w:w="28" w:type="dxa"/>
          <w:bottom w:w="28" w:type="dxa"/>
          <w:right w:w="28" w:type="dxa"/>
        </w:tblCellMar>
      </w:tblPr>
      <w:tblGrid>
        <w:gridCol w:w="7396"/>
        <w:gridCol w:w="146"/>
        <w:gridCol w:w="211"/>
        <w:gridCol w:w="1141"/>
        <w:gridCol w:w="511"/>
      </w:tblGrid>
      <w:tr>
        <w:trPr/>
        <w:tc>
          <w:tcPr>
            <w:tcW w:w="7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Proceeds allocated to public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(9,917,756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Ordinary share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(1,611,267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 -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12,960,199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 -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2,254,503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256,685,679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condensed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statements of operations and comprehensive income. The key measures of segment profit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follows the asset and liability method of accounting for income taxes under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2026 and December 31,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3.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Company completed the Offering whereby the Company sold 25,300,000 Units at a price of $10.00 per Unit. Each Unit consists of one of the Company’s Class A ordinary shares, $0.0001 par value and one right to receive one-fifth (1/5) of one Class A ordinary share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paid an underwriting discount of $0.0405 per Unit to the Underwriter at the closing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3,178,430 Class B ordinary shares at a purchase price per Class B ordinary share of $0.023254, and (b) an aggregate of 281,454 Private Placement Units consisting of one Class A ordinary share and one right to receive one-fifth (1/5) of one Class A ordinary share upon consummation of the initial Business Combination at a price of $9.7374 per Private Placement Unit in a private placement that occurred simultaneously with the completion of the Offering for an aggregate purchase price of $2,814,541. The Private Investor Shares along with the Founder Shares collectively represent approximately 30% of the outstanding ordinary shares upon completion of the Offering, excluding the private placement shares underlying the Private Placement Units. The private placement proceeds will be used to pay for business, legal and accounting due diligence expenses on acquisition targets and continuing general and administrative expenses.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29, 2025 (date of inception), one Class B ordinary share that was allotted to Harneys Fiduciary (Cayman) Limited (“Harneys Fiduciary”) upon the Company’s formation was transferred by Harneys Fiduciary to the Sponsor and 7,850,228 Class B ordinary shares (the 7,850,229 Class B ordinary shares collectively are the “Founder Shares”) were issued to the Sponsor for an aggregate purchase price of $25,000. On November 20, 2025, the Sponsor surrendered 185,802 Class B ordinary shares to the Company (which were cancelled) for no consideration, with the resulting 7,664,427 Founder Shares paid at a purchase price of $0.00326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the Company granted 15,000 Founder Shares to its Chief Financial Officer (the “Insider Shares”), solely in consideration of future services, which remain subject to forfeiture back to the Company in the event the Chief Financial Officer resigns or is removed for cause prior to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consummation of the Offering, the Sponsor sold 580,672 Founder Shares in the aggregate to six advisors to GigCapital Global (“Insiders”) at an aggregate price of $13,503, or $0.023254 per share, and 611,236 Founder Shares to Lynrock Lake Master Fund LP (“Lynrock”) at an aggregate price of $14,214. Following the sale of Founder Shares, the Sponsor holds 6,472,519 Founder Shares. The Founder Shares are identical to the Class A ordinary shares included in the Units sold in the Offering except that the Founder Shares are subject to certain transfer restrictions, as described in more detail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the Sponsor, Insiders and Lynrock purchased from the Company 107,500 Private Placement Units at a price of $9.7374 per Private Placement Unit pursuant to a Unit Purchase Agreement. In addition, as discussed in Note 3, the non-managing investors purchased 281,454 Private Placement Units at a price of $9.7374 per Private Placement Unit. Every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Sponsor, Insiders, Lynrock and the non-managing investors have each agreed not to transfer, assign or sell any of their respective Founder Shares, Private Investor Shares, Private Placement Units or securities underlying the Private Placement Units that they may hold from the date of the Offering until the date that is (i) in the case of the Founder Shares and the Private Investor Shares, the earlier of (A) 6 months after the date of the consummation of the Company’s initial Business Combination or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their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Sponsor, Insiders, Lynrock and the non-managing investors and their permitted transferees are entitled to registration rights pursuant to a registration rights agreement signed on the date of the prospectus for the Offering with respect to their respective Founder Shares, Private Investor Shares, Private Placement Units or the securities underlying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 Party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promissory note with the Sponsor with a principal amount of $100,000 (the “Promissory Note”), of which none remained outstanding as of June 30, 2026 and $100,000 remained outstanding as of December 31, 2025. On January 28, 2026, the Promissory Note was settled in exchange for Private Placement Units totaling $97,374 and the remaining balance of $2,626 was repaid. The proceeds were used for the payment of expenses related to the Offering. The Promissory Note was non-interest bearing, unsecured and was due on the earlier of (i) December 31, 2026 or (ii) the date on which the Company consummated the Offering.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Administrative Services Agreement and Other Agreements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agreed to pay $30,000 a month for office space, administrative services and secretarial support to an affiliate of the Sponsor, GigManagement, LLC. Services commenced on January 27, 2026, the date the securities were first listed on Nasdaq, and will terminate upon the earlier of the consummation by the Company of a Business Combination or the liquidation of the Company</w:t>
      </w:r>
      <w:r>
        <w:rPr>
          <w:rFonts w:ascii="Times New Roman" w:hAnsi="Times New Roman"/>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2026, GigCapital Global entered into an agreement with DSDG Consulting Group Ltd. (“DSDG”) whereby DSDG will serve as the official representative of GigCapital Global in Israel under the name GigCapital IL. As the official representative of GigCapital Global, DSDG will assist the Company in identifying and evaluating potential de-SPAC targets within Israel. DSDG received an initial retainer of $20,000 for January 2026 and then will receive a monthly retainer of $10,000, which amount is cancellable at GigCapital Global's sole discretion with 30 days' notice. The retainer will be allocated to the special purpose acquisition company within GigCapital Global based on services provided. One of the Company's directors, Admiral (Ret.) David Ben-Bashat, has a direct interest in DSDG.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Note 5. Shareholders’ Equity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June 30, 2026 and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June 30, 2026 and December 31, 2025, there were 25,688,954 and zero Class A ordinary shares issued and outstanding, respectively, of which 25,300,000 of the Class A ordinary shares outstanding as of June 30, 2026 are subject to possible redemption.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20,000,000 Class B ordinary shares with a par value of $0.0001 per share. As of June 30, 2026 and December 31, 2025, there were 10,857,857 and 7,679,427 Class B ordinary shares issued and outstanding,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 complete an initial Business Combination within the required time period and redeems the public shares for the funds held in the Trust Account, holders of rights will not receive any of such funds for their rights and the rights will expire worthless. As of June 30, 2026, there were 25,688,954 rights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rights have been classified within shareholders’ equity and will not require remeasurement after issuance. The following table presents the quantitative information regarding market assumptions used in the valuation of the public rights:</w:t>
      </w:r>
    </w:p>
    <w:p>
      <w:pPr>
        <w:pStyle w:val="TextBody"/>
        <w:bidi w:val="0"/>
        <w:spacing w:before="120" w:after="283"/>
        <w:jc w:val="left"/>
        <w:rPr/>
      </w:pPr>
      <w:r>
        <w:rPr/>
        <w:t> </w:t>
      </w:r>
    </w:p>
    <w:tbl>
      <w:tblPr>
        <w:tblW w:w="3572" w:type="dxa"/>
        <w:jc w:val="left"/>
        <w:tblInd w:w="0" w:type="dxa"/>
        <w:tblLayout w:type="fixed"/>
        <w:tblCellMar>
          <w:top w:w="28" w:type="dxa"/>
          <w:left w:w="28" w:type="dxa"/>
          <w:bottom w:w="28" w:type="dxa"/>
          <w:right w:w="28" w:type="dxa"/>
        </w:tblCellMar>
      </w:tblPr>
      <w:tblGrid>
        <w:gridCol w:w="1861"/>
        <w:gridCol w:w="376"/>
        <w:gridCol w:w="1019"/>
        <w:gridCol w:w="316"/>
      </w:tblGrid>
      <w:tr>
        <w:trPr/>
        <w:tc>
          <w:tcPr>
            <w:tcW w:w="18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January 28,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price of Unit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Market adjustment </w:t>
            </w:r>
            <w:r>
              <w:rPr>
                <w:rFonts w:ascii="Times New Roman" w:hAnsi="Times New Roman"/>
                <w:color w:val="000000"/>
                <w:sz w:val="13"/>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right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Market adjustment reflects additional factors not fully captured by low volatility selection, which may include likelihood of the Business Combination occurring, market perception of lack of available or suitable targets, or possible post-acquisition decline of share price. The adjustment is determined by comparing traded right prices to simulated model outputs.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outstanding Class B ordinary shares are 15,000 Insider Shares issued to Ms. Marshall, the Company’s Chief Financial Officer, solely in consideration of future services pursuant to the Grant of Insider Shares Agreement dated November, 2025 between the Company and Ms. Marshall. The 15,000 Insider Shares issued to Ms. Marshall are subject to forfeiture as described in Note 4. If an initial Business Combination occurs and the 15,000 Insider Shares have not been previously forfeited, the fair value of the Class B ordinary shares on the date the shares were granted will be recognized as stock-based compensation in the Company’s condensed statement of operations and comprehensive income when the completion of the Business Combination becomes probable.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which are supported by little or no market activity and which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June 30, 2026 and December 31, 2025, and indicates the fair value hierarchy of the valuation inputs the Company utilized to determine such fair value:</w:t>
      </w:r>
    </w:p>
    <w:p>
      <w:pPr>
        <w:pStyle w:val="TextBody"/>
        <w:bidi w:val="0"/>
        <w:spacing w:before="120" w:after="283"/>
        <w:jc w:val="left"/>
        <w:rPr/>
      </w:pPr>
      <w:r>
        <w:rPr/>
        <w:t> </w:t>
      </w:r>
    </w:p>
    <w:tbl>
      <w:tblPr>
        <w:tblW w:w="8564" w:type="dxa"/>
        <w:jc w:val="left"/>
        <w:tblInd w:w="0" w:type="dxa"/>
        <w:tblLayout w:type="fixed"/>
        <w:tblCellMar>
          <w:top w:w="28" w:type="dxa"/>
          <w:left w:w="28" w:type="dxa"/>
          <w:bottom w:w="28" w:type="dxa"/>
          <w:right w:w="28" w:type="dxa"/>
        </w:tblCellMar>
      </w:tblPr>
      <w:tblGrid>
        <w:gridCol w:w="4441"/>
        <w:gridCol w:w="146"/>
        <w:gridCol w:w="496"/>
        <w:gridCol w:w="146"/>
        <w:gridCol w:w="211"/>
        <w:gridCol w:w="1141"/>
        <w:gridCol w:w="146"/>
        <w:gridCol w:w="146"/>
        <w:gridCol w:w="839"/>
        <w:gridCol w:w="66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256,785,679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financial assets or liabilities measured on a recurring basis as of June 30,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report (the “Quarterly Report”) to “we,” “us,” “our” or the “Company” refer to GigCapital9 Corp. References to our “management” or our “management team” refer to our officers and directors, and references to the “Sponsor” refer to GigAcquisitions9 Corp.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company (“SPAC”),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effectuate our initial Business Combination using cash from the proceeds of our Offering and the sale of the Private Placement Units, the sale of the Private Investor Shares, our common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we had net income of $1,897,992, which consisted of interest and dividend income on cash and marketable securities held in the Trust Account and operating account of $2,254,503 and $411, respectively, that were partially offset by operating expenses of $356,922.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we had net income of $3,150,166, which consisted of interest and dividend income on cash and marketable securities held in the Trust Account and operating account of $3,785,679 and $779, respectively, that were partially offset by operating expenses of $636,292.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needs have been satisfied to date through: (1) the receipt of $25,000 from the sale of the Founder Shares, (2) the net proceeds of $251,322,993 from the sale of the public units in the Offering, after deducting net offering expenses of approximately $1,677,007, which includes an underwriting discount of $1,025,000, (3) the sale of the Private Placement Units to our insiders for a purchase price of $1,046,771, and (4) the sale of Private Placement Units and the Private Investor Shares to the non-managing investors for a purchase price of $2,814,541. These transactions resulted in proceeds of $255,209,305 of which $253,000,000 was deposited in the Trust Account.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held cash and marketable securities in the amount of $256,785,679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cash used in operating activities was $867,140, resulting from interest and dividends earned on marketable securities held in the Trust Account of $3,785,679, plus increases in prepaid expenses and other current assets of $173,585 and other assets of $36,457, and a decrease in accounts payable and accrued liabilities of $53,237. These are partially offset by net income of $3,150,166 and an increase in related party payable of $31,652.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of $1,444,000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do not have any long-term debt, capital lease obligations, operating lease obligations or long-term liabilities, other than an agreement to pay GigManagement, LLC a monthly fee of $30,000 for office space, administrative services and secretarial support and an agreement with our Chief Financial Officer to pay a monthly fee of up to $20,000 for accounting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 presented.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June 30, 2026, Class A ordinary shares subject to possible redemption are presented at redemption value as temporary equity, outside of the shareholders’ equity section of our condensed balance sheets. As of June 30, 2026, 25,300,000 Class A ordinary shares were issued and outstanding and subject to possible redemption.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were not subject to any market or interest rate risk.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2026.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nor, to our knowledge, is any material legal proceeding threatened against us or any of our officers or directors in their corporate capacity.</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in this section describe the known material risks to our business and should be considered carefully. As of June 30, 2026, there have been no material changes in risk factors previously disclosed in our Annual Report on Form 10-K for the fiscal year ended December 31, 2025.</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and Insider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29, 2025 (date of inception), one Class B ordinary share that was allotted to Harneys Fiduciary upon the Company’s formation was transferred by Harneys Fiduciary to the Sponsor and the Founder Shares were issued to the Sponsor for an aggregate purchase price of $25,000. On November 20, 2025, the Sponsor surrendered 185,802 Class B ordinary shares to the Company (which were cancelled) for no consideration, with the resulting 7,664,427 Founder Shares paid for at a purchase price of $0.00326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24, 2025, the Company granted 15,000 Insider Shares to its Chief Financial Officer, solely in consideration of future services. The 15,000 Insider Shares granted to the Chief Financial Officer are subject to forfeiture back to the Company in the event the Chief Financial Officer resigns or is removed for cause prior to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consummation of the Offering, the Sponsor sold 580,672 Founder Shares in the aggregate to the Insiders at an aggregate price of $13,503, and 611,236 Founder Shares to Lynrock at an aggregate price of $14,214, thus recouping in full the amount that our Sponsor paid to purchase all of the Founder Shares that it purchased, including the 6,472,519 Founder Shares it retained. In addition, simultaneously with the closing of the Offering, the Sponsor, Insiders and Lynrock purchased from the Company 107,500 Private Placement Units at a price of $9.7374 per Private Placement Unit pursuant to a Unit Purchase Agreement. The Class B ordinary shares owned by the Sponsor, Insiders, Lynrock and non-managing investors represent 30% of the Company’s issued and outstanding Class A and Class B ordinary shares after the Offering, excluding the private placement shares underlying the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Chief Financial Officer, Insiders and Lynrock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Investor Shares and 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non-managing investors purchased an aggregate of (a) 3,178,430 Private Investor Shares at a purchase price per Class B ordinary share of $0.023254, and (b) an aggregate of 281,454 Private Placement Units at a price of $9.7374 per unit for an aggregate purchase price of $2,814,541.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Investor Shares and Private Placement Units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23, 2026, the Registration Statement (File No. 333-291869), as amended, relating to the Offering of the Company was declared effective by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the Underwriter on January 26, 2026 to conduct the Offering of 22,000,000 Units in the amount of $220.0 million in gross proceeds, with a 45-day option provided to the Underwriter to purchase up to 3,300,000 additional Units solely to cover over-allotments, if any, in the amount of up to $33.0 million in additional gross proceeds.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Unit consists of one of the Company’s Class A ordinary shares, $0.0001 par value, and one right to receive one-fifth (1/5) of one Class A ordinary share upon the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28, 2026,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of $1,444,000 for working capital purposes.</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Memorandum and Articles of Association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Specimen Unit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Class A Ordinary Share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Right Certificate</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Rights Agreement, Dated January 26, 2026, by and between the Company and Continental Stock Transfer &amp; Trust Company</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Insider Letter Agreement, dated January 26, 2026, by and between the Company and GigAcquisitions9 Corp., each of its officers and directors, Lynrock Lake Master Fund L.P. and certain other security holders named therein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Registration Rights Agreement, dated January 26, 2026, by and among the Company, the Sponsor, and certain other security holders named therein</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Investment Management Trust Agreement, dated January 26, 2026, by and between the Company and Continental Stock Transfer &amp; Trust Company</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Administrative Services Agreement, dated January 26, 2026, by and between the Company and GigManagement, LLC</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Previously filed with that certain Current Report on Form 8-K filed with the Securities and Exchange Commission on January 30, 2026, and incorporated herein by reference.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Registration Statement on Form S-1, as amended, filed with the Securities and Exchange Commission on January 21, 2026, and incorporated herein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GigCapital9 Corp.</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gix-ex31_1.htm"/>
      <w:bookmarkStart w:id="22" w:name="ksgix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Dr. Avi S. Katz,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ix-ex31_2.htm"/>
      <w:bookmarkStart w:id="24" w:name="ksgix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46"/>
        <w:gridCol w:w="109"/>
        <w:gridCol w:w="406"/>
        <w:gridCol w:w="21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ix-ex32_1.htm"/>
      <w:bookmarkStart w:id="26" w:name="ksgi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GigCapital9 Corp.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ix-ex32_2.htm"/>
      <w:bookmarkStart w:id="28" w:name="ksgix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GigCapital9 Corp.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46"/>
        <w:gridCol w:w="109"/>
        <w:gridCol w:w="406"/>
        <w:gridCol w:w="21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712/000119312526031857/d788016dex31.htm" TargetMode="External"/><Relationship Id="rId3" Type="http://schemas.openxmlformats.org/officeDocument/2006/relationships/hyperlink" Target="https://www.sec.gov/Archives/edgar/data/2098712/000119312526017158/d34728dex41.htm" TargetMode="External"/><Relationship Id="rId4" Type="http://schemas.openxmlformats.org/officeDocument/2006/relationships/hyperlink" Target="https://www.sec.gov/Archives/edgar/data/2098712/000119312526017158/d34728dex42.htm" TargetMode="External"/><Relationship Id="rId5" Type="http://schemas.openxmlformats.org/officeDocument/2006/relationships/hyperlink" Target="https://www.sec.gov/Archives/edgar/data/2098712/000119312526017158/d34728dex43.htm" TargetMode="External"/><Relationship Id="rId6" Type="http://schemas.openxmlformats.org/officeDocument/2006/relationships/hyperlink" Target="https://www.sec.gov/Archives/edgar/data/2098712/000119312526031857/d788016dex41.htm" TargetMode="External"/><Relationship Id="rId7" Type="http://schemas.openxmlformats.org/officeDocument/2006/relationships/hyperlink" Target="https://www.sec.gov/Archives/edgar/data/2098712/000119312526031857/d788016dex101.htm" TargetMode="External"/><Relationship Id="rId8" Type="http://schemas.openxmlformats.org/officeDocument/2006/relationships/hyperlink" Target="https://www.sec.gov/Archives/edgar/data/2098712/000119312526031857/d788016dex102.htm" TargetMode="External"/><Relationship Id="rId9" Type="http://schemas.openxmlformats.org/officeDocument/2006/relationships/hyperlink" Target="https://www.sec.gov/Archives/edgar/data/2098712/000119312526031857/d788016dex103.htm" TargetMode="External"/><Relationship Id="rId10" Type="http://schemas.openxmlformats.org/officeDocument/2006/relationships/hyperlink" Target="https://www.sec.gov/Archives/edgar/data/2098712/000119312526031857/d788016dex104.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13410</Words>
  <Characters>73517</Characters>
  <CharactersWithSpaces>87034</CharactersWithSpaces>
  <Paragraphs>1779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