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GIGGU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and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GIGGW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one Class A ordinary share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Shareholders</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GigCapital7 Corp., a Cayman Islands exempted company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previously disclosed in its Current Report on Form 8-K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May 8, 2026, in connection with the consummation of the transactions provided for by the Business Combination Agreement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dated as of September 27, 2025, as amended, by and among GigCapital7, MMR Merger Sub, Inc., a Delaware corporation and a direct wholly owned subsidiary of GigCapital7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pursuant to which, among other things and subject to the terms and conditions contained therein, GigCapital7 will domesticate from the Cayman Islands to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and the domesticated GigCapital7, “</w:t>
      </w:r>
      <w:r>
        <w:rPr>
          <w:rFonts w:ascii="Times New Roman" w:cs="Times New Roman" w:eastAsia="Times New Roman" w:hAnsi="Times New Roman"/>
          <w:sz w:val="18"/>
          <w:szCs w:val="18"/>
          <w:b w:val="1"/>
          <w:bCs w:val="1"/>
          <w:i w:val="1"/>
          <w:iCs w:val="1"/>
          <w:color w:val="auto"/>
        </w:rPr>
        <w:t>Domesticated GigCapital7</w:t>
      </w:r>
      <w:r>
        <w:rPr>
          <w:rFonts w:ascii="Times New Roman" w:cs="Times New Roman" w:eastAsia="Times New Roman" w:hAnsi="Times New Roman"/>
          <w:sz w:val="18"/>
          <w:szCs w:val="18"/>
          <w:color w:val="auto"/>
        </w:rPr>
        <w:t>”), and Merger Sub will merge with and into Target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 Target continuing as the surviving company, following which, Domesticated GigCapital7 will be renamed “Hadron Energy, Inc.” (“</w:t>
      </w:r>
      <w:r>
        <w:rPr>
          <w:rFonts w:ascii="Times New Roman" w:cs="Times New Roman" w:eastAsia="Times New Roman" w:hAnsi="Times New Roman"/>
          <w:sz w:val="18"/>
          <w:szCs w:val="18"/>
          <w:b w:val="1"/>
          <w:bCs w:val="1"/>
          <w:i w:val="1"/>
          <w:iCs w:val="1"/>
          <w:color w:val="auto"/>
        </w:rPr>
        <w:t>Hadron</w:t>
      </w:r>
      <w:r>
        <w:rPr>
          <w:rFonts w:ascii="Times New Roman" w:cs="Times New Roman" w:eastAsia="Times New Roman" w:hAnsi="Times New Roman"/>
          <w:sz w:val="18"/>
          <w:szCs w:val="18"/>
          <w:color w:val="auto"/>
        </w:rPr>
        <w:t>”), GigCapital7 announced its intent to proceed with the Domestication following the approval of the same by GigCapital7’s shareholders at its extraordinary general meeting of shareholders held on May 7, 2026 (the “</w:t>
      </w:r>
      <w:r>
        <w:rPr>
          <w:rFonts w:ascii="Times New Roman" w:cs="Times New Roman" w:eastAsia="Times New Roman" w:hAnsi="Times New Roman"/>
          <w:sz w:val="18"/>
          <w:szCs w:val="18"/>
          <w:b w:val="1"/>
          <w:bCs w:val="1"/>
          <w:i w:val="1"/>
          <w:i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May 8, 2026, GigCapital7 effectuated the Domestication by filing (i) a voluntary declaration pursuant to Section 206(3) of the Companies Act (revised) of the Acts of the Cayman Islands, (ii) a certificate of corporate domestication with the Secretary of State of the State of Delaware (the “</w:t>
      </w:r>
      <w:r>
        <w:rPr>
          <w:rFonts w:ascii="Times New Roman" w:cs="Times New Roman" w:eastAsia="Times New Roman" w:hAnsi="Times New Roman"/>
          <w:sz w:val="18"/>
          <w:szCs w:val="18"/>
          <w:b w:val="1"/>
          <w:bCs w:val="1"/>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SoS</w:t>
      </w:r>
      <w:r>
        <w:rPr>
          <w:rFonts w:ascii="Times New Roman" w:cs="Times New Roman" w:eastAsia="Times New Roman" w:hAnsi="Times New Roman"/>
          <w:sz w:val="18"/>
          <w:szCs w:val="18"/>
          <w:color w:val="auto"/>
        </w:rPr>
        <w:t>”), and (iii) an interim certificate of incorporation with the DE SoS (the “</w:t>
      </w:r>
      <w:r>
        <w:rPr>
          <w:rFonts w:ascii="Times New Roman" w:cs="Times New Roman" w:eastAsia="Times New Roman" w:hAnsi="Times New Roman"/>
          <w:sz w:val="18"/>
          <w:szCs w:val="18"/>
          <w:b w:val="1"/>
          <w:bCs w:val="1"/>
          <w:i w:val="1"/>
          <w:iCs w:val="1"/>
          <w:color w:val="auto"/>
        </w:rPr>
        <w:t>Domesticated GigCapital7 Charter</w:t>
      </w:r>
      <w:r>
        <w:rPr>
          <w:rFonts w:ascii="Times New Roman" w:cs="Times New Roman" w:eastAsia="Times New Roman" w:hAnsi="Times New Roman"/>
          <w:sz w:val="18"/>
          <w:szCs w:val="18"/>
          <w:color w:val="auto"/>
        </w:rPr>
        <w:t>”). Domesticated GigCapital7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adopted bylaws (the “</w:t>
      </w:r>
      <w:r>
        <w:rPr>
          <w:rFonts w:ascii="Times New Roman" w:cs="Times New Roman" w:eastAsia="Times New Roman" w:hAnsi="Times New Roman"/>
          <w:sz w:val="18"/>
          <w:szCs w:val="18"/>
          <w:b w:val="1"/>
          <w:bCs w:val="1"/>
          <w:i w:val="1"/>
          <w:iCs w:val="1"/>
          <w:color w:val="auto"/>
        </w:rPr>
        <w:t>Domesticated GigCapital7 Bylaws</w:t>
      </w:r>
      <w:r>
        <w:rPr>
          <w:rFonts w:ascii="Times New Roman" w:cs="Times New Roman" w:eastAsia="Times New Roman" w:hAnsi="Times New Roman"/>
          <w:sz w:val="18"/>
          <w:szCs w:val="18"/>
          <w:color w:val="auto"/>
        </w:rPr>
        <w:t>” and together with the Domesticated GigCapital7 Charter, the “</w:t>
      </w:r>
      <w:r>
        <w:rPr>
          <w:rFonts w:ascii="Times New Roman" w:cs="Times New Roman" w:eastAsia="Times New Roman" w:hAnsi="Times New Roman"/>
          <w:sz w:val="18"/>
          <w:szCs w:val="18"/>
          <w:b w:val="1"/>
          <w:bCs w:val="1"/>
          <w:i w:val="1"/>
          <w:iCs w:val="1"/>
          <w:color w:val="auto"/>
        </w:rPr>
        <w:t>Domesticated 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Governing Documents</w:t>
      </w:r>
      <w:r>
        <w:rPr>
          <w:rFonts w:ascii="Times New Roman" w:cs="Times New Roman" w:eastAsia="Times New Roman" w:hAnsi="Times New Roman"/>
          <w:sz w:val="18"/>
          <w:szCs w:val="18"/>
          <w:color w:val="auto"/>
        </w:rPr>
        <w:t>”) in connection with the Domestication.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4:15 p.m. Eastern Time on May 8, 2026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GigCapital7’s domicile changed from the Cayman Islands to the State of Delaware;</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affairs of GigCapital7 ceased to be governed by the laws of the Cayman Islands and instead became governed by the laws of the State of Delaware; and</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ceased to be governed by its existing amended and restated memorandum and articles of association and instead became governed by the Domesticated GigCapital7 Governing Documents.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Domestication did not result in any change in the business, jobs, management, board of directors, properties, location of any of GigCapital7’s offices or facilities, number of employees, obligations, assets, liabilities or net worth (other than as a result of the costs related to the Domestication). The Domestication did not adversely affect any of GigCapital7’s material contracts with any third parties, and GigCapital7’s rights and obligations under those material contractual arrangements continue to be the rights and obligations of GigCapital7 after the Domestication.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(i) each outstanding Class A ordinary share (“</w:t>
      </w:r>
      <w:r>
        <w:rPr>
          <w:rFonts w:ascii="Times New Roman" w:cs="Times New Roman" w:eastAsia="Times New Roman" w:hAnsi="Times New Roman"/>
          <w:sz w:val="18"/>
          <w:szCs w:val="18"/>
          <w:b w:val="1"/>
          <w:bCs w:val="1"/>
          <w:i w:val="1"/>
          <w:iCs w:val="1"/>
          <w:color w:val="auto"/>
        </w:rPr>
        <w:t>Existing Class A Ordinary Shares</w:t>
      </w:r>
      <w:r>
        <w:rPr>
          <w:rFonts w:ascii="Times New Roman" w:cs="Times New Roman" w:eastAsia="Times New Roman" w:hAnsi="Times New Roman"/>
          <w:sz w:val="18"/>
          <w:szCs w:val="18"/>
          <w:color w:val="auto"/>
        </w:rPr>
        <w:t>”), par value $0.0001 per share of GigCapital7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Domestication (“</w:t>
      </w:r>
      <w:r>
        <w:rPr>
          <w:rFonts w:ascii="Times New Roman" w:cs="Times New Roman" w:eastAsia="Times New Roman" w:hAnsi="Times New Roman"/>
          <w:sz w:val="18"/>
          <w:szCs w:val="18"/>
          <w:b w:val="1"/>
          <w:bCs w:val="1"/>
          <w:i w:val="1"/>
          <w:iCs w:val="1"/>
          <w:color w:val="auto"/>
        </w:rPr>
        <w:t>Pre-Domestication GigCapital7</w:t>
      </w:r>
      <w:r>
        <w:rPr>
          <w:rFonts w:ascii="Times New Roman" w:cs="Times New Roman" w:eastAsia="Times New Roman" w:hAnsi="Times New Roman"/>
          <w:sz w:val="18"/>
          <w:szCs w:val="18"/>
          <w:color w:val="auto"/>
        </w:rPr>
        <w:t>”) automatically converted into one outstanding share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Domesticated Common Stock</w:t>
      </w:r>
      <w:r>
        <w:rPr>
          <w:rFonts w:ascii="Times New Roman" w:cs="Times New Roman" w:eastAsia="Times New Roman" w:hAnsi="Times New Roman"/>
          <w:sz w:val="18"/>
          <w:szCs w:val="18"/>
          <w:color w:val="auto"/>
        </w:rPr>
        <w:t>”), par value $0.0001 per share of Domesticated GigCapital7, (ii) each outstanding Class B ordinary share (“</w:t>
      </w:r>
      <w:r>
        <w:rPr>
          <w:rFonts w:ascii="Times New Roman" w:cs="Times New Roman" w:eastAsia="Times New Roman" w:hAnsi="Times New Roman"/>
          <w:sz w:val="18"/>
          <w:szCs w:val="18"/>
          <w:b w:val="1"/>
          <w:bCs w:val="1"/>
          <w:i w:val="1"/>
          <w:iCs w:val="1"/>
          <w:color w:val="auto"/>
        </w:rPr>
        <w:t>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par value $0.0001 per share of Pre-Domestication GigCapital7 automatically converted into one outstanding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w:t>
      </w:r>
      <w:r>
        <w:rPr>
          <w:rFonts w:ascii="Times New Roman" w:cs="Times New Roman" w:eastAsia="Times New Roman" w:hAnsi="Times New Roman"/>
          <w:sz w:val="18"/>
          <w:szCs w:val="18"/>
          <w:b w:val="1"/>
          <w:bCs w:val="1"/>
          <w:i w:val="1"/>
          <w:iCs w:val="1"/>
          <w:color w:val="auto"/>
        </w:rPr>
        <w:t>Domesticated Class B Common Stock</w:t>
      </w:r>
      <w:r>
        <w:rPr>
          <w:rFonts w:ascii="Times New Roman" w:cs="Times New Roman" w:eastAsia="Times New Roman" w:hAnsi="Times New Roman"/>
          <w:sz w:val="18"/>
          <w:szCs w:val="18"/>
          <w:color w:val="auto"/>
        </w:rPr>
        <w:t>”), par value $0.0001 per share of Domesticated GigCapital7, (iii) each outstanding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Pre-Domestication GigCapital7 (the “</w:t>
      </w:r>
      <w:r>
        <w:rPr>
          <w:rFonts w:ascii="Times New Roman" w:cs="Times New Roman" w:eastAsia="Times New Roman" w:hAnsi="Times New Roman"/>
          <w:sz w:val="18"/>
          <w:szCs w:val="18"/>
          <w:b w:val="1"/>
          <w:bCs w:val="1"/>
          <w:i w:val="1"/>
          <w:iCs w:val="1"/>
          <w:color w:val="auto"/>
        </w:rPr>
        <w:t>Existing Units</w:t>
      </w:r>
      <w:r>
        <w:rPr>
          <w:rFonts w:ascii="Times New Roman" w:cs="Times New Roman" w:eastAsia="Times New Roman" w:hAnsi="Times New Roman"/>
          <w:sz w:val="18"/>
          <w:szCs w:val="18"/>
          <w:color w:val="auto"/>
        </w:rPr>
        <w:t>”) automatically converted into one unit of Domesticated GigCapital7 (the “</w:t>
      </w:r>
      <w:r>
        <w:rPr>
          <w:rFonts w:ascii="Times New Roman" w:cs="Times New Roman" w:eastAsia="Times New Roman" w:hAnsi="Times New Roman"/>
          <w:sz w:val="18"/>
          <w:szCs w:val="18"/>
          <w:b w:val="1"/>
          <w:bCs w:val="1"/>
          <w:i w:val="1"/>
          <w:iCs w:val="1"/>
          <w:color w:val="auto"/>
        </w:rPr>
        <w:t>Domesticated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and (iv) each outstanding warrant (“</w:t>
      </w:r>
      <w:r>
        <w:rPr>
          <w:rFonts w:ascii="Times New Roman" w:cs="Times New Roman" w:eastAsia="Times New Roman" w:hAnsi="Times New Roman"/>
          <w:sz w:val="18"/>
          <w:szCs w:val="18"/>
          <w:b w:val="1"/>
          <w:bCs w:val="1"/>
          <w:i w:val="1"/>
          <w:iCs w:val="1"/>
          <w:color w:val="auto"/>
        </w:rPr>
        <w:t>Existing Warrants</w:t>
      </w:r>
      <w:r>
        <w:rPr>
          <w:rFonts w:ascii="Times New Roman" w:cs="Times New Roman" w:eastAsia="Times New Roman" w:hAnsi="Times New Roman"/>
          <w:sz w:val="18"/>
          <w:szCs w:val="18"/>
          <w:color w:val="auto"/>
        </w:rPr>
        <w:t>” and together with the Existing Class A Ordinary Shares, the Existing Class B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the Existing Units, the “</w:t>
      </w:r>
      <w:r>
        <w:rPr>
          <w:rFonts w:ascii="Times New Roman" w:cs="Times New Roman" w:eastAsia="Times New Roman" w:hAnsi="Times New Roman"/>
          <w:sz w:val="18"/>
          <w:szCs w:val="18"/>
          <w:b w:val="1"/>
          <w:bCs w:val="1"/>
          <w:i w:val="1"/>
          <w:iCs w:val="1"/>
          <w:color w:val="auto"/>
        </w:rPr>
        <w:t>Existing Securities</w:t>
      </w:r>
      <w:r>
        <w:rPr>
          <w:rFonts w:ascii="Times New Roman" w:cs="Times New Roman" w:eastAsia="Times New Roman" w:hAnsi="Times New Roman"/>
          <w:sz w:val="18"/>
          <w:szCs w:val="18"/>
          <w:color w:val="auto"/>
        </w:rPr>
        <w:t>”) of Pre-Domestication GigCapital7 automatically converted into one warrant of Domesticated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GigCapital7 (“</w:t>
      </w:r>
      <w:r>
        <w:rPr>
          <w:rFonts w:ascii="Times New Roman" w:cs="Times New Roman" w:eastAsia="Times New Roman" w:hAnsi="Times New Roman"/>
          <w:sz w:val="18"/>
          <w:szCs w:val="18"/>
          <w:b w:val="1"/>
          <w:bCs w:val="1"/>
          <w:i w:val="1"/>
          <w:iCs w:val="1"/>
          <w:color w:val="auto"/>
        </w:rPr>
        <w:t>Domesticated Warrants</w:t>
      </w:r>
      <w:r>
        <w:rPr>
          <w:rFonts w:ascii="Times New Roman" w:cs="Times New Roman" w:eastAsia="Times New Roman" w:hAnsi="Times New Roman"/>
          <w:sz w:val="18"/>
          <w:szCs w:val="18"/>
          <w:color w:val="auto"/>
        </w:rPr>
        <w:t>” and together with the Domesticated Class A Common Stock, the Domesticated Class B Common Stock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Domesticated Units, the “</w:t>
      </w:r>
      <w:r>
        <w:rPr>
          <w:rFonts w:ascii="Times New Roman" w:cs="Times New Roman" w:eastAsia="Times New Roman" w:hAnsi="Times New Roman"/>
          <w:sz w:val="18"/>
          <w:szCs w:val="18"/>
          <w:b w:val="1"/>
          <w:bCs w:val="1"/>
          <w:i w:val="1"/>
          <w:iCs w:val="1"/>
          <w:color w:val="auto"/>
        </w:rPr>
        <w:t>Domesticated 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Stockholders are not required to exchange their existing stock certificates for new stock certificates. At the Effective Time, each outstanding warrant or other right to acquire any, or any instrument to convert into or exchange for, or based on the value of, Existing Securities, as applicable, automatically became a warrant or other right to acquire any, or any instrument to convert into or exchange for, or based on the value of, the same amount of Domesticated Securities, as applicable, under the same terms and conditions. The Domesticated Common Stock continues to be traded on The Nasdaq Stock Market LLC under the symbol “GIG”.</w:t>
      </w:r>
    </w:p>
    <w:p>
      <w:pPr>
        <w:sectPr>
          <w:pgSz w:w="11900" w:h="16838" w:orient="portrait"/>
          <w:cols w:equalWidth="0" w:num="1">
            <w:col w:w="11020"/>
          </w:cols>
          <w:pgMar w:left="440" w:top="266"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the information set forth above under Item 3.03 is hereby incorporated by reference into this Item 5.03.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405"/>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Certificate of Incorporation of Domesticated GigCapital7, dated May 8, 2026.</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Domestication of Domesticated GigCapital7, dated May 8, 2026.</w:t>
            </w: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Bylaws of Domesticated GigCapital7, as effective May 8, 2026 (incorporated by reference to Exhibit 3.4 to GigCapital7’s Registration</w:t>
            </w: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S-4/A filed with the SEC on April 10, 2026 and included as Annex D to the proxy statement/prospectus included</w:t>
            </w:r>
          </w:p>
        </w:tc>
      </w:t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therein).</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11, 2026</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GIGCAPITAL7 CORP.</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9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May 8, 2026</w:t>
      </w:r>
    </w:p>
    <w:p>
      <w:pPr>
        <w:spacing w:after="0" w:line="1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GigCapital7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Corporation Trust Center in the City of Wilmington, County of New Castle, State of Delaware, 19801, and the name of the Corporation’s registered agent at such address is The Corporation Trust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which the Corporation is authorized to issue is 625,000,000 shares, consisting of (a) 600,000,000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(b) 15,000,000 shares of Class B common stock, par value $0.0001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(c) 10,000,000 shares of preferred stock, par value $0.0001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Preferred Stock may be issued from time to time in one or more series.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each member of the Board,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provided by law, now or hereafter, to adopt any such resolution or resolutions.</w:t>
      </w:r>
    </w:p>
    <w:p>
      <w:pPr>
        <w:sectPr>
          <w:pgSz w:w="11900" w:h="16838" w:orient="portrait"/>
          <w:cols w:equalWidth="0" w:num="1">
            <w:col w:w="11020"/>
          </w:cols>
          <w:pgMar w:left="440" w:top="266"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w:t>
      </w:r>
    </w:p>
    <w:p>
      <w:pPr>
        <w:spacing w:after="0" w:line="115" w:lineRule="exact"/>
        <w:rPr>
          <w:rFonts w:ascii="Times New Roman" w:cs="Times New Roman" w:eastAsia="Times New Roman" w:hAnsi="Times New Roman"/>
          <w:sz w:val="18"/>
          <w:szCs w:val="18"/>
          <w:color w:val="auto"/>
        </w:rPr>
      </w:pPr>
    </w:p>
    <w:p>
      <w:pPr>
        <w:ind w:left="440" w:right="100" w:firstLine="419"/>
        <w:spacing w:after="0" w:line="268" w:lineRule="auto"/>
        <w:tabs>
          <w:tab w:leader="none" w:pos="107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of Incorporation (this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(including any Preferred Stock Designation), the holders of the shares of Common Stock and Class B Common Stock shall collectively possess all voting power with respect to the Corporation.</w:t>
      </w:r>
    </w:p>
    <w:p>
      <w:pPr>
        <w:spacing w:after="0" w:line="66"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7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(including any Preferred Stock Designation), at any annual or special meeting of the stockholders of the Corporation, the holders of the shares of Class B Common Stock shall have the exclusive right to vote for the election of Directors. Except as otherwise required by law or this Certificate (including any Preferred Stock Designation), at any annual or special meeting of the stockholders of the Corporation, the holders of the shares of Common Stock and Class B Common Stock shall have the right to vote on all other matters properly submitted to a vote of the stockholders of the Corporation. Notwithstanding the foregoing, except as otherwise required by law or this Certificate (including any Preferred Stock Designation), the holders of the shares of Common Stock and Class B Common Stock shall not be entitled to vote on any amendment to this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Certificate (including any Preferred Stock Designation) or the DGCL.</w:t>
      </w:r>
    </w:p>
    <w:p>
      <w:pPr>
        <w:spacing w:after="0" w:line="192"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applicable law, the rights, if any, of the holders of any outstanding series of the Preferred Stock, the holders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Dissolution or Winding Up of the Corporation</w:t>
      </w:r>
      <w:r>
        <w:rPr>
          <w:rFonts w:ascii="Times New Roman" w:cs="Times New Roman" w:eastAsia="Times New Roman" w:hAnsi="Times New Roman"/>
          <w:sz w:val="18"/>
          <w:szCs w:val="18"/>
          <w:color w:val="auto"/>
        </w:rPr>
        <w:t>. Subject to applicable law, the rights, if any, of the holders of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the Preferred Stock, in the event of any voluntary or involuntary 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Redemption, Purchase and Surrender of Shares and Treasury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8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Purchase and Surrender</w:t>
      </w:r>
      <w:r>
        <w:rPr>
          <w:rFonts w:ascii="Times New Roman" w:cs="Times New Roman" w:eastAsia="Times New Roman" w:hAnsi="Times New Roman"/>
          <w:sz w:val="18"/>
          <w:szCs w:val="18"/>
          <w:color w:val="auto"/>
        </w:rPr>
        <w:t>. Subject to the provisions of the DGCL, the rules of any national securities exchange,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Stock Market LLC, the NYSE American LLC or The New York Stock Exchange LLC or any over-the-counter market on which shares of Common Stock are listed for trading (the “</w:t>
      </w:r>
      <w:r>
        <w:rPr>
          <w:rFonts w:ascii="Times New Roman" w:cs="Times New Roman" w:eastAsia="Times New Roman" w:hAnsi="Times New Roman"/>
          <w:sz w:val="18"/>
          <w:szCs w:val="18"/>
          <w:b w:val="1"/>
          <w:bCs w:val="1"/>
          <w:i w:val="1"/>
          <w:iCs w:val="1"/>
          <w:color w:val="auto"/>
        </w:rPr>
        <w:t>Designated Stock Exchange</w:t>
      </w:r>
      <w:r>
        <w:rPr>
          <w:rFonts w:ascii="Times New Roman" w:cs="Times New Roman" w:eastAsia="Times New Roman" w:hAnsi="Times New Roman"/>
          <w:sz w:val="18"/>
          <w:szCs w:val="18"/>
          <w:color w:val="auto"/>
        </w:rPr>
        <w:t>”) and/or any competent regulatory authority, and to the rights attaching to the Common Stock, the Corporation may, upon approval by the Board:</w:t>
      </w:r>
    </w:p>
    <w:p>
      <w:pPr>
        <w:spacing w:after="0" w:line="7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Common Stock on terms that they are to be redeemed or are liable to be redeemed at the option of the Corporation or the stockholder on such terms and in such manner as the Board may, before the issue of such shares of Common Stock, determine;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its own shares of Common Stock (including any redeemable shares) on such terms and in such manner as the Board determine;</w:t>
      </w:r>
    </w:p>
    <w:p>
      <w:pPr>
        <w:spacing w:after="0" w:line="128" w:lineRule="exact"/>
        <w:rPr>
          <w:rFonts w:ascii="Times New Roman" w:cs="Times New Roman" w:eastAsia="Times New Roman" w:hAnsi="Times New Roman"/>
          <w:sz w:val="17"/>
          <w:szCs w:val="17"/>
          <w:color w:val="auto"/>
        </w:rPr>
      </w:pPr>
    </w:p>
    <w:p>
      <w:pPr>
        <w:ind w:left="1180" w:hanging="321"/>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of Common Stock in any manner permitted by the DGCL;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surrender of fully paid shares of Common Stock for no consideration.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make a payment in respect of the redemption or purchase of its own shares of Common Stock in any manner authorized by the DGCL.</w:t>
      </w:r>
    </w:p>
    <w:p>
      <w:pPr>
        <w:spacing w:after="0" w:line="160" w:lineRule="exact"/>
        <w:rPr>
          <w:sz w:val="20"/>
          <w:szCs w:val="20"/>
          <w:color w:val="auto"/>
        </w:rPr>
      </w:pPr>
    </w:p>
    <w:p>
      <w:pPr>
        <w:ind w:right="660" w:firstLine="436"/>
        <w:spacing w:after="0" w:line="28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Redemption, Purchase and Surrender</w:t>
      </w:r>
      <w:r>
        <w:rPr>
          <w:rFonts w:ascii="Times New Roman" w:cs="Times New Roman" w:eastAsia="Times New Roman" w:hAnsi="Times New Roman"/>
          <w:sz w:val="18"/>
          <w:szCs w:val="18"/>
          <w:color w:val="auto"/>
        </w:rPr>
        <w:t>. Shares of Common Stock that the Corporation redeems, purchases, accepts by way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surrender or otherwise acquires pursuant to Section 4.5(a) may:</w:t>
      </w:r>
    </w:p>
    <w:p>
      <w:pPr>
        <w:spacing w:after="0" w:line="52"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2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shares of Common Stock that have been repurchased, redeemed, surrendered to or otherwise acquired by the Corporation and not cancelled (“</w:t>
      </w:r>
      <w:r>
        <w:rPr>
          <w:rFonts w:ascii="Times New Roman" w:cs="Times New Roman" w:eastAsia="Times New Roman" w:hAnsi="Times New Roman"/>
          <w:sz w:val="18"/>
          <w:szCs w:val="18"/>
          <w:b w:val="1"/>
          <w:bCs w:val="1"/>
          <w:i w:val="1"/>
          <w:iCs w:val="1"/>
          <w:color w:val="auto"/>
        </w:rPr>
        <w:t>Treasury Shares</w:t>
      </w:r>
      <w:r>
        <w:rPr>
          <w:rFonts w:ascii="Times New Roman" w:cs="Times New Roman" w:eastAsia="Times New Roman" w:hAnsi="Times New Roman"/>
          <w:sz w:val="18"/>
          <w:szCs w:val="18"/>
          <w:color w:val="auto"/>
        </w:rPr>
        <w:t>”) on such terms and in such manner as the Board determine prior to such acquisition.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shares of Class B Common Stock are not redeemable.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7" w:name="page8"/>
    <w:bookmarkEnd w:id="7"/>
    <w:p>
      <w:pPr>
        <w:ind w:left="-40" w:right="240" w:firstLine="436"/>
        <w:spacing w:after="0" w:line="258" w:lineRule="auto"/>
        <w:tabs>
          <w:tab w:leader="none" w:pos="6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Effects of Redemptions</w:t>
      </w:r>
      <w:r>
        <w:rPr>
          <w:rFonts w:ascii="Times New Roman" w:cs="Times New Roman" w:eastAsia="Times New Roman" w:hAnsi="Times New Roman"/>
          <w:sz w:val="18"/>
          <w:szCs w:val="18"/>
          <w:color w:val="auto"/>
        </w:rPr>
        <w:t>. With respect to redeeming or repurchasing the shares of Common Stock stockholders who hold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t>
      </w:r>
      <w:r>
        <w:rPr>
          <w:rFonts w:ascii="Times New Roman" w:cs="Times New Roman" w:eastAsia="Times New Roman" w:hAnsi="Times New Roman"/>
          <w:sz w:val="18"/>
          <w:szCs w:val="18"/>
          <w:b w:val="1"/>
          <w:bCs w:val="1"/>
          <w:i w:val="1"/>
          <w:iCs w:val="1"/>
          <w:color w:val="auto"/>
        </w:rPr>
        <w:t>Public Shares</w:t>
      </w:r>
      <w:r>
        <w:rPr>
          <w:rFonts w:ascii="Times New Roman" w:cs="Times New Roman" w:eastAsia="Times New Roman" w:hAnsi="Times New Roman"/>
          <w:sz w:val="18"/>
          <w:szCs w:val="18"/>
          <w:color w:val="auto"/>
        </w:rPr>
        <w:t>”) that were originally issued in the Corporation’s initial public offering of securities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are entitled to request the redemption of such shares of Common Stock (but only to the extent that such request must have been made to the Corporation in accordance with its prior Amended and Restated Memorandum and Articles of Incorporation), or for such Public Shares to otherwise be redeemed, in the circumstances described in Section 4.7(c).</w:t>
      </w:r>
    </w:p>
    <w:p>
      <w:pPr>
        <w:spacing w:after="0" w:line="183" w:lineRule="exact"/>
        <w:rPr>
          <w:rFonts w:ascii="Times New Roman" w:cs="Times New Roman" w:eastAsia="Times New Roman" w:hAnsi="Times New Roman"/>
          <w:sz w:val="18"/>
          <w:szCs w:val="18"/>
          <w:color w:val="auto"/>
        </w:rPr>
      </w:pPr>
    </w:p>
    <w:p>
      <w:pPr>
        <w:ind w:left="-40" w:right="120" w:firstLine="436"/>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to pay for redemption or purchase in cash or in specie</w:t>
      </w:r>
      <w:r>
        <w:rPr>
          <w:rFonts w:ascii="Times New Roman" w:cs="Times New Roman" w:eastAsia="Times New Roman" w:hAnsi="Times New Roman"/>
          <w:sz w:val="18"/>
          <w:szCs w:val="18"/>
          <w:color w:val="auto"/>
        </w:rPr>
        <w:t>. When making a payment in respect of the redemption or purchase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Board may make the payment in cash or in specie (or partly in one and partly in the other) if so authorized by the terms of the allotment of those shares, or by the terms applying to those shares in accordance with Section 4.5(a), or otherwise by agreement with the stockholder holding those shares of Common Stock.</w:t>
      </w:r>
    </w:p>
    <w:p>
      <w:pPr>
        <w:spacing w:after="0" w:line="179" w:lineRule="exact"/>
        <w:rPr>
          <w:rFonts w:ascii="Times New Roman" w:cs="Times New Roman" w:eastAsia="Times New Roman" w:hAnsi="Times New Roman"/>
          <w:sz w:val="18"/>
          <w:szCs w:val="18"/>
          <w:color w:val="auto"/>
        </w:rPr>
      </w:pPr>
    </w:p>
    <w:p>
      <w:pPr>
        <w:ind w:left="640" w:hanging="24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redemption or purchase of a share of Common Stock</w:t>
      </w:r>
      <w:r>
        <w:rPr>
          <w:rFonts w:ascii="Times New Roman" w:cs="Times New Roman" w:eastAsia="Times New Roman" w:hAnsi="Times New Roman"/>
          <w:sz w:val="18"/>
          <w:szCs w:val="18"/>
          <w:color w:val="auto"/>
        </w:rPr>
        <w:t>. Upon the date of redemption or purchase of a share:</w:t>
      </w:r>
    </w:p>
    <w:p>
      <w:pPr>
        <w:spacing w:after="0" w:line="119"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holding that share of Common Stock shall cease to be entitled to any rights in respect of such share other than the right to</w:t>
      </w:r>
    </w:p>
    <w:p>
      <w:pPr>
        <w:spacing w:after="0" w:line="38"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receive:</w:t>
      </w:r>
    </w:p>
    <w:p>
      <w:pPr>
        <w:spacing w:after="0" w:line="112" w:lineRule="exact"/>
        <w:rPr>
          <w:rFonts w:ascii="Times New Roman" w:cs="Times New Roman" w:eastAsia="Times New Roman" w:hAnsi="Times New Roman"/>
          <w:sz w:val="17"/>
          <w:szCs w:val="17"/>
          <w:color w:val="auto"/>
        </w:rPr>
      </w:pPr>
    </w:p>
    <w:p>
      <w:pPr>
        <w:ind w:left="1920" w:hanging="533"/>
        <w:spacing w:after="0"/>
        <w:tabs>
          <w:tab w:leader="none" w:pos="19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of Common Stock; and</w:t>
      </w:r>
    </w:p>
    <w:p>
      <w:pPr>
        <w:spacing w:after="0" w:line="130" w:lineRule="exact"/>
        <w:rPr>
          <w:rFonts w:ascii="Times New Roman" w:cs="Times New Roman" w:eastAsia="Times New Roman" w:hAnsi="Times New Roman"/>
          <w:sz w:val="18"/>
          <w:szCs w:val="18"/>
          <w:color w:val="auto"/>
        </w:rPr>
      </w:pPr>
    </w:p>
    <w:p>
      <w:pPr>
        <w:ind w:left="1920" w:hanging="533"/>
        <w:spacing w:after="0"/>
        <w:tabs>
          <w:tab w:leader="none" w:pos="19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of Common Stock prior to the date of redemption or purchase;</w:t>
      </w:r>
    </w:p>
    <w:p>
      <w:pPr>
        <w:spacing w:after="0" w:line="117" w:lineRule="exact"/>
        <w:rPr>
          <w:rFonts w:ascii="Times New Roman" w:cs="Times New Roman" w:eastAsia="Times New Roman" w:hAnsi="Times New Roman"/>
          <w:sz w:val="18"/>
          <w:szCs w:val="18"/>
          <w:color w:val="auto"/>
        </w:rPr>
      </w:pPr>
    </w:p>
    <w:p>
      <w:pPr>
        <w:ind w:left="400" w:right="840" w:firstLine="419"/>
        <w:spacing w:after="0" w:line="282" w:lineRule="auto"/>
        <w:tabs>
          <w:tab w:leader="none" w:pos="10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stock ledger shall be updated to reflect the redemption or purchase of the share of Common Stock from the stockholder; and</w:t>
      </w:r>
    </w:p>
    <w:p>
      <w:pPr>
        <w:spacing w:after="0" w:line="53" w:lineRule="exact"/>
        <w:rPr>
          <w:rFonts w:ascii="Times New Roman" w:cs="Times New Roman" w:eastAsia="Times New Roman" w:hAnsi="Times New Roman"/>
          <w:sz w:val="18"/>
          <w:szCs w:val="18"/>
          <w:color w:val="auto"/>
        </w:rPr>
      </w:pPr>
    </w:p>
    <w:p>
      <w:pPr>
        <w:ind w:left="1140" w:hanging="32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of Common Stock shall be cancelled or held as a Treasury Share, as the Board may determine.</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 of this Certificate, the date of redemption or purchase is the date when the redemption or purchase falls due.</w:t>
      </w:r>
    </w:p>
    <w:p>
      <w:pPr>
        <w:spacing w:after="0" w:line="223" w:lineRule="exact"/>
        <w:rPr>
          <w:sz w:val="20"/>
          <w:szCs w:val="20"/>
          <w:color w:val="auto"/>
        </w:rPr>
      </w:pPr>
    </w:p>
    <w:p>
      <w:pPr>
        <w:ind w:left="-40" w:right="100" w:firstLine="436"/>
        <w:spacing w:after="0" w:line="284" w:lineRule="auto"/>
        <w:tabs>
          <w:tab w:leader="none" w:pos="6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Shares</w:t>
      </w:r>
      <w:r>
        <w:rPr>
          <w:rFonts w:ascii="Times New Roman" w:cs="Times New Roman" w:eastAsia="Times New Roman" w:hAnsi="Times New Roman"/>
          <w:sz w:val="18"/>
          <w:szCs w:val="18"/>
          <w:color w:val="auto"/>
        </w:rPr>
        <w:t>. All rights and obligations attaching to a Treasury Share are suspended and shall not be exercised by the Corporation while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the share of Common Stock as a Treasury Share, other than as set out in this Certificate. The Corporation may:</w:t>
      </w:r>
    </w:p>
    <w:p>
      <w:pPr>
        <w:spacing w:after="0" w:line="52"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Board may determine; and</w:t>
      </w:r>
    </w:p>
    <w:p>
      <w:pPr>
        <w:spacing w:after="0" w:line="117"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 upon such terms and conditions determined and approved by the Board in its sole discretion.</w:t>
      </w:r>
    </w:p>
    <w:p>
      <w:pPr>
        <w:spacing w:after="0" w:line="223"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attaching to Treasury Shares and Related Matters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00" w:right="80" w:firstLine="419"/>
        <w:spacing w:after="0" w:line="282" w:lineRule="auto"/>
        <w:tabs>
          <w:tab w:leader="none" w:pos="10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may be declared or paid, and no other distribution (whether in cash or otherwise) of the Corporation’s assets (including any distribution of assets to stockholders on a winding up) may be made to the Corporation in respect of a Treasury Share.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8" w:name="page9"/>
    <w:bookmarkEnd w:id="8"/>
    <w:p>
      <w:pPr>
        <w:ind w:left="1080" w:hanging="261"/>
        <w:spacing w:after="0"/>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Corporation’s stock ledger shall reflect that the Corporation is the holder of the Treasury Shares. However:</w:t>
      </w:r>
    </w:p>
    <w:p>
      <w:pPr>
        <w:spacing w:after="0" w:line="130" w:lineRule="exact"/>
        <w:rPr>
          <w:rFonts w:ascii="Times New Roman" w:cs="Times New Roman" w:eastAsia="Times New Roman" w:hAnsi="Times New Roman"/>
          <w:sz w:val="18"/>
          <w:szCs w:val="18"/>
          <w:color w:val="auto"/>
        </w:rPr>
      </w:pPr>
    </w:p>
    <w:p>
      <w:pPr>
        <w:ind w:left="1920" w:right="600" w:hanging="533"/>
        <w:spacing w:after="0" w:line="282" w:lineRule="auto"/>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treated as a stockholder for any purpose and shall not exercise any right in respect of the Treasury Shares, and any purported exercise of such a right shall be void;</w:t>
      </w:r>
    </w:p>
    <w:p>
      <w:pPr>
        <w:spacing w:after="0" w:line="67" w:lineRule="exact"/>
        <w:rPr>
          <w:rFonts w:ascii="Times New Roman" w:cs="Times New Roman" w:eastAsia="Times New Roman" w:hAnsi="Times New Roman"/>
          <w:sz w:val="18"/>
          <w:szCs w:val="18"/>
          <w:color w:val="auto"/>
        </w:rPr>
      </w:pPr>
    </w:p>
    <w:p>
      <w:pPr>
        <w:ind w:left="1920" w:hanging="533"/>
        <w:spacing w:after="0" w:line="266" w:lineRule="auto"/>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Corporation’s stockholders and shall not be counted in determining the total number of issued shares at any given time, whether for the purposes of this Certificate or the DGCL.</w:t>
      </w:r>
    </w:p>
    <w:p>
      <w:pPr>
        <w:spacing w:after="0" w:line="67" w:lineRule="exact"/>
        <w:rPr>
          <w:rFonts w:ascii="Times New Roman" w:cs="Times New Roman" w:eastAsia="Times New Roman" w:hAnsi="Times New Roman"/>
          <w:sz w:val="18"/>
          <w:szCs w:val="18"/>
          <w:color w:val="auto"/>
        </w:rPr>
      </w:pPr>
    </w:p>
    <w:p>
      <w:pPr>
        <w:ind w:left="400" w:right="220" w:firstLine="419"/>
        <w:spacing w:after="0" w:line="282" w:lineRule="auto"/>
        <w:tabs>
          <w:tab w:leader="none" w:pos="113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 may be disposed of by the Corporation in accordance with the DGCL and otherwise on such terms and conditions as the Directors determine.</w:t>
      </w:r>
    </w:p>
    <w:p>
      <w:pPr>
        <w:spacing w:after="0" w:line="159" w:lineRule="exact"/>
        <w:rPr>
          <w:rFonts w:ascii="Times New Roman" w:cs="Times New Roman" w:eastAsia="Times New Roman" w:hAnsi="Times New Roman"/>
          <w:sz w:val="18"/>
          <w:szCs w:val="18"/>
          <w:color w:val="auto"/>
        </w:rPr>
      </w:pPr>
    </w:p>
    <w:p>
      <w:pPr>
        <w:ind w:left="-40" w:right="180" w:firstLine="436"/>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Participation</w:t>
      </w:r>
      <w:r>
        <w:rPr>
          <w:rFonts w:ascii="Times New Roman" w:cs="Times New Roman" w:eastAsia="Times New Roman" w:hAnsi="Times New Roman"/>
          <w:sz w:val="18"/>
          <w:szCs w:val="18"/>
          <w:color w:val="auto"/>
        </w:rPr>
        <w:t>. Any share of Common Stock in respect of which notice of redemption has been given shall not be entitled to participate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profits of the Corporation in respect of the period after the date specified as the date of redemption in the notice of redemption.</w:t>
      </w:r>
    </w:p>
    <w:p>
      <w:pPr>
        <w:spacing w:after="0" w:line="158" w:lineRule="exact"/>
        <w:rPr>
          <w:rFonts w:ascii="Times New Roman" w:cs="Times New Roman" w:eastAsia="Times New Roman" w:hAnsi="Times New Roman"/>
          <w:sz w:val="18"/>
          <w:szCs w:val="18"/>
          <w:color w:val="auto"/>
        </w:rPr>
      </w:pPr>
    </w:p>
    <w:p>
      <w:pPr>
        <w:ind w:left="-40" w:right="840" w:firstLine="436"/>
        <w:spacing w:after="0" w:line="284"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Redemption</w:t>
      </w:r>
      <w:r>
        <w:rPr>
          <w:rFonts w:ascii="Times New Roman" w:cs="Times New Roman" w:eastAsia="Times New Roman" w:hAnsi="Times New Roman"/>
          <w:sz w:val="18"/>
          <w:szCs w:val="18"/>
          <w:color w:val="auto"/>
        </w:rPr>
        <w:t>. The redemption, purchase or surrender of any share of Common Stock shall not be deemed to give rise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purchase or surrender of any other share of Common Stock.</w:t>
      </w:r>
    </w:p>
    <w:p>
      <w:pPr>
        <w:spacing w:after="0" w:line="158" w:lineRule="exact"/>
        <w:rPr>
          <w:rFonts w:ascii="Times New Roman" w:cs="Times New Roman" w:eastAsia="Times New Roman" w:hAnsi="Times New Roman"/>
          <w:sz w:val="18"/>
          <w:szCs w:val="18"/>
          <w:color w:val="auto"/>
        </w:rPr>
      </w:pPr>
    </w:p>
    <w:p>
      <w:pPr>
        <w:ind w:left="-40" w:right="160" w:firstLine="436"/>
        <w:spacing w:after="0" w:line="267"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in Kind</w:t>
      </w:r>
      <w:r>
        <w:rPr>
          <w:rFonts w:ascii="Times New Roman" w:cs="Times New Roman" w:eastAsia="Times New Roman" w:hAnsi="Times New Roman"/>
          <w:sz w:val="18"/>
          <w:szCs w:val="18"/>
          <w:color w:val="auto"/>
        </w:rPr>
        <w:t>. The Board may, when making payments in respect of redemption or purchase of shares of Common Stock, if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terms of issue of the shares of Common Stock being redeemed or purchased or with the agreement of the holder of such shares of Common Stock, make such payments either in cash or in kind.</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Class B Share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 w:right="260" w:firstLine="436"/>
        <w:spacing w:after="0" w:line="261" w:lineRule="auto"/>
        <w:tabs>
          <w:tab w:leader="none" w:pos="6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Save and except for the conversion rights referred to in this Section 4.6 and as otherwise set out in this Certificate,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rights attaching to all shares of Common Stock and Class B Common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and the Common Stock and Class B Common Stock shall vote together as a single class on all matters with the exception that the holders of Class B Common Stock shall have the conversion rights referred to in this Certificate.</w:t>
      </w:r>
    </w:p>
    <w:p>
      <w:pPr>
        <w:spacing w:after="0" w:line="179" w:lineRule="exact"/>
        <w:rPr>
          <w:rFonts w:ascii="Times New Roman" w:cs="Times New Roman" w:eastAsia="Times New Roman" w:hAnsi="Times New Roman"/>
          <w:sz w:val="18"/>
          <w:szCs w:val="18"/>
          <w:color w:val="auto"/>
        </w:rPr>
      </w:pPr>
    </w:p>
    <w:p>
      <w:pPr>
        <w:ind w:left="-40" w:right="200" w:firstLine="436"/>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Ratio</w:t>
      </w:r>
      <w:r>
        <w:rPr>
          <w:rFonts w:ascii="Times New Roman" w:cs="Times New Roman" w:eastAsia="Times New Roman" w:hAnsi="Times New Roman"/>
          <w:sz w:val="18"/>
          <w:szCs w:val="18"/>
          <w:color w:val="auto"/>
        </w:rPr>
        <w:t>. Class B Common Stock may be converted into Common Stock on a one-for-one basis prior to the consummation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share exchange, asset acquisition, share purchase, reorganization or similar business combination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involving the Corporation, with one or more businesses or entities, which (a) must occur with one or more target businesses that together have an aggregate fair market value of at least 80% of the net assets held in the trust account established by the Corporation upon the consummation of its IPO (the “</w:t>
      </w:r>
      <w:r>
        <w:rPr>
          <w:rFonts w:ascii="Times New Roman" w:cs="Times New Roman" w:eastAsia="Times New Roman" w:hAnsi="Times New Roman"/>
          <w:sz w:val="18"/>
          <w:szCs w:val="18"/>
          <w:b w:val="1"/>
          <w:bCs w:val="1"/>
          <w:i w:val="1"/>
          <w:i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(excluding taxes payable on the interest earned on the Trust Account) at the time of signing the agreement to enter into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and (b) must not be effectuated solely with another blank check company or a similar company with nominal operations at the option of the holder, subject to such holder waiving any right to receive funds from the Trust Account with respect to any such Common Stock issued upon conversion of Class B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80" w:top="270" w:right="479" w:bottom="1440" w:gutter="0" w:footer="0" w:header="0"/>
        </w:sectPr>
      </w:pPr>
    </w:p>
    <w:bookmarkStart w:id="9" w:name="page10"/>
    <w:bookmarkEnd w:id="9"/>
    <w:p>
      <w:pPr>
        <w:ind w:firstLine="436"/>
        <w:spacing w:after="0" w:line="255"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Automatic Conversion</w:t>
      </w:r>
      <w:r>
        <w:rPr>
          <w:rFonts w:ascii="Times New Roman" w:cs="Times New Roman" w:eastAsia="Times New Roman" w:hAnsi="Times New Roman"/>
          <w:sz w:val="18"/>
          <w:szCs w:val="18"/>
          <w:color w:val="auto"/>
        </w:rPr>
        <w:t>. Any Class B Common Stock not converted into Common Stock pursuant to Section 4.6(b) above shall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into Common Stock concurrently with or immediately following the consummation of a Business Combination on a one-for-one basis. For the avoidance of doubt, the conversion of Class B Common Stock pursuant to this Section 4.6(c) shall not be adjusted or otherwise affected by any issuance, deemed issuance or issuability of Common Stock or any debt or equity securities that are convertible, exercisable or exchangeable for Common Stock issued in a financing transaction in connection with a Business Combination, including, but not limited to, a private placement of equity or debt or rights, including any securities issued, deemed issued or issuable in connection with or in relation to the consummation of a Business Combination (including any private investment in public equity (PIPE) financing), nor shall such conversion be subject to any determination intended to maintain any fixed percentage ownership level.</w:t>
      </w:r>
    </w:p>
    <w:p>
      <w:pPr>
        <w:spacing w:after="0" w:line="184"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Adjustments</w:t>
      </w:r>
      <w:r>
        <w:rPr>
          <w:rFonts w:ascii="Times New Roman" w:cs="Times New Roman" w:eastAsia="Times New Roman" w:hAnsi="Times New Roman"/>
          <w:sz w:val="18"/>
          <w:szCs w:val="18"/>
          <w:color w:val="auto"/>
        </w:rPr>
        <w:t>. The foregoing conversion ratios shall be adjusted to account for any subdivision (by share split, subdivision,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rights issue, reclassification, recapitalization or otherwise) or combination (by reverse share split, share consolidation, exchange, reclassification, recapitalization or otherwise) or similar reclassification or recapitalization of the Common Stock in issue into a greater or lesser number of shares occurring after the original filing of this Certificate without a proportionate and corresponding subdivision, combination or similar reclassification or recapitalization of the Class B Common Stock in issue.</w:t>
      </w:r>
    </w:p>
    <w:p>
      <w:pPr>
        <w:spacing w:after="0" w:line="181" w:lineRule="exact"/>
        <w:rPr>
          <w:rFonts w:ascii="Times New Roman" w:cs="Times New Roman" w:eastAsia="Times New Roman" w:hAnsi="Times New Roman"/>
          <w:sz w:val="18"/>
          <w:szCs w:val="18"/>
          <w:color w:val="auto"/>
        </w:rPr>
      </w:pPr>
    </w:p>
    <w:p>
      <w:pPr>
        <w:ind w:right="80" w:firstLine="436"/>
        <w:spacing w:after="0" w:line="257"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References in this Certificate to “</w:t>
      </w:r>
      <w:r>
        <w:rPr>
          <w:rFonts w:ascii="Times New Roman" w:cs="Times New Roman" w:eastAsia="Times New Roman" w:hAnsi="Times New Roman"/>
          <w:sz w:val="18"/>
          <w:szCs w:val="18"/>
          <w:b w:val="1"/>
          <w:bCs w:val="1"/>
          <w:i w:val="1"/>
          <w:iCs w:val="1"/>
          <w:color w:val="auto"/>
        </w:rPr>
        <w:t>converted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shall mean the compulsory redemption without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Class B Common Stock of any stockholder and, on behalf of such stockholders, automatic application of such redemption proceeds in paying for such new Common Stock into which the Class B Common Stock have been converted or exchanged at a price per share of Class B Common Stock necessary to give effect to a conversion or exchange calculated on the basis that the Common Stock to be issued as part of the conversion or exchange will be issued at par. The Common Stock to be issued on an exchange or conversion shall be registered in the name of such stockholder or in such name as the stockholder may direct.</w:t>
      </w:r>
    </w:p>
    <w:p>
      <w:pPr>
        <w:spacing w:after="0" w:line="184" w:lineRule="exact"/>
        <w:rPr>
          <w:rFonts w:ascii="Times New Roman" w:cs="Times New Roman" w:eastAsia="Times New Roman" w:hAnsi="Times New Roman"/>
          <w:sz w:val="18"/>
          <w:szCs w:val="18"/>
          <w:color w:val="auto"/>
        </w:rPr>
      </w:pPr>
    </w:p>
    <w:p>
      <w:pPr>
        <w:ind w:right="20" w:firstLine="436"/>
        <w:spacing w:after="0" w:line="281" w:lineRule="auto"/>
        <w:tabs>
          <w:tab w:leader="none" w:pos="66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 Rata Calculation</w:t>
      </w:r>
      <w:r>
        <w:rPr>
          <w:rFonts w:ascii="Times New Roman" w:cs="Times New Roman" w:eastAsia="Times New Roman" w:hAnsi="Times New Roman"/>
          <w:sz w:val="17"/>
          <w:szCs w:val="17"/>
          <w:color w:val="auto"/>
        </w:rPr>
        <w:t>: Notwithstanding anything to the contrary in this Section 4.6, in no event shall any share of Class B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 into Common Stock at a ratio that is less than one-for-one. Each share of Class B Common Stock shall convert into its pro-rata number of Common Stock as set forth in this Section 4.6, provided that the aggregate conversion of all Class B Common Stock shall be determined solely by reference to the one for one ratio set forth in Sections 4.6(b) and 4.6(c) and shall not be adjusted to achieve or maintain any target percentage ownership.</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4.7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436"/>
        <w:spacing w:after="0" w:line="258" w:lineRule="auto"/>
        <w:tabs>
          <w:tab w:leader="none" w:pos="6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Certificate, this Section 4.7 shall apply during the period commencing upon the adoption of the Certificate and terminating upon the first to occur of the consummation of any Business Combination and the distribution of the Trust Account pursuant to Section 4.7(e). In the event of a conflict between this Section 4.7 and any other Sections, the provisions of this Section 4.7 shall prevail and this Section may not be amended prior to the consummation of a Business Combination without the affirmative vote of the holders of at least two-thirds of the Common Stock, who, being entitled to do so, vote in person or by proxy at a meeting of the Corporation’s stockholders.</w:t>
      </w:r>
    </w:p>
    <w:p>
      <w:pPr>
        <w:spacing w:after="0" w:line="183" w:lineRule="exact"/>
        <w:rPr>
          <w:rFonts w:ascii="Times New Roman" w:cs="Times New Roman" w:eastAsia="Times New Roman" w:hAnsi="Times New Roman"/>
          <w:sz w:val="18"/>
          <w:szCs w:val="18"/>
          <w:color w:val="auto"/>
        </w:rPr>
      </w:pPr>
    </w:p>
    <w:p>
      <w:pPr>
        <w:ind w:left="-40" w:firstLine="436"/>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authorized to consummate the Business Combination approved by the affirmative vote of the holders of a majority of the capital stock of the Corporation, who, being entitled to do so, vote in person or by proxy at the meeting of the Corporation’s stockholders.</w:t>
      </w:r>
    </w:p>
    <w:p>
      <w:pPr>
        <w:spacing w:after="0" w:line="157" w:lineRule="exact"/>
        <w:rPr>
          <w:rFonts w:ascii="Times New Roman" w:cs="Times New Roman" w:eastAsia="Times New Roman" w:hAnsi="Times New Roman"/>
          <w:sz w:val="18"/>
          <w:szCs w:val="18"/>
          <w:color w:val="auto"/>
        </w:rPr>
      </w:pPr>
    </w:p>
    <w:p>
      <w:pPr>
        <w:ind w:left="-40" w:firstLine="436"/>
        <w:spacing w:after="0" w:line="252" w:lineRule="auto"/>
        <w:tabs>
          <w:tab w:leader="none" w:pos="6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holding Public Shares who is not GigAcquisitions7 Corp.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officer or Director may, contemporaneously with any vote on a Business Combination, elect to have their Public Shares redeemed for cash (the “</w:t>
      </w:r>
      <w:r>
        <w:rPr>
          <w:rFonts w:ascii="Times New Roman" w:cs="Times New Roman" w:eastAsia="Times New Roman" w:hAnsi="Times New Roman"/>
          <w:sz w:val="18"/>
          <w:szCs w:val="18"/>
          <w:b w:val="1"/>
          <w:bCs w:val="1"/>
          <w:i w:val="1"/>
          <w:iCs w:val="1"/>
          <w:color w:val="auto"/>
        </w:rPr>
        <w:t>IPO Redemption</w:t>
      </w:r>
      <w:r>
        <w:rPr>
          <w:rFonts w:ascii="Times New Roman" w:cs="Times New Roman" w:eastAsia="Times New Roman" w:hAnsi="Times New Roman"/>
          <w:sz w:val="18"/>
          <w:szCs w:val="18"/>
          <w:color w:val="auto"/>
        </w:rPr>
        <w:t>”), provided that no such stockholder together with any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(meaning, in respect of a person,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 of such stockholder or any other person with whom such stockholder is acting in concert or as a “group” (as defined under Section 13 of the United States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may exercise this redemption right with respect to more than 15% of the Public Shares sold in the IPO without the Corporation’s prior consent, and provided further that any holder that holds Public Shares beneficially through a nominee must identify itself to the Corporation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Corporation’s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Corporation shall pay any such redeeming stockholder who submitted Public Shares to the transfer agent of the Corporation at least two business days prior to the meeting of the Corporation’s stockholders to approve a Business Combination, regardless of whether such stockholder votes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Corporation for the payment of tax amounts paid by the Corporation (such withdrawals, the “Permitted Withdrawals”), divided by the number of then-outstanding Public Shares in issue (such redemption price being referred to herein as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70" w:right="499" w:bottom="1440" w:gutter="0" w:footer="0" w:header="0"/>
        </w:sectPr>
      </w:pPr>
    </w:p>
    <w:bookmarkStart w:id="11" w:name="page12"/>
    <w:bookmarkEnd w:id="11"/>
    <w:p>
      <w:pPr>
        <w:ind w:right="20" w:firstLine="436"/>
        <w:spacing w:after="0" w:line="266"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stockholders as appropriate.</w:t>
      </w:r>
    </w:p>
    <w:p>
      <w:pPr>
        <w:spacing w:after="0" w:line="175"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does not consummate a Business Combination by twenty-one months after the closing of the IPO, such earlier time as the Directors may approve or such later time as the stockholders of the Corporation may approve in accordance with the Certificate, the Corporation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Corporation for Permitted Withdrawals (less up to US$100,000 of interest to pay dissolution expenses), divided by the number of the then-outstanding Public Shares in issue, which redemption will completely extinguish the rights of the holders of such Public Shares as stockholders (including the right to receive further liquidation distributions, if any); and (iii) as promptly as reasonably possible following such redemption, subject to the approval of the Corporation’s remaining stockholders and the Directors, liquidate and dissolve, subject in the case of sub-sections (ii) and (iii), to its obligations under Delaware law to provide for claims of creditors and in all cases subject to the other requirements of applicable law. If the Corporation shall wind up for any other reason prior to the consummation of a Business Combination, the Corporation shall, as promptly as reasonably possible but not more than ten business days thereafter, follow the foregoing procedures set out in this Section 4.7(e) with respect to the liquidation of the Trust Account, subject to its obligations under Delaware law to provide for claims of creditors and subject to the other requirements of applicable law.</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Permitted Withdrawals, none of the funds held in the Trust Account shall be released from the Trust Account: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Corporation, until completion of any Business Combination;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stockholders holding Public Shares, until the earliest of: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IPO Redemption pursuant to Section 4.7(c);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the Trust Account pursuant to Section 4.7(e).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no other circumstance shall a holder of Public Shares have any right or interest of any kind in the Trust Account. The Corporation shall have no obligation to deposit any funds held outside of the Trust Account into the Trust Account for the benefit of holders of Public Shares following the deposit in connection with the IPO of the net proceeds of the IPO and certain of the proceeds of the sale of the private placement shares into the Trust Account. Holders of Public Shares shall have no rights to any funds held by the Corporation outside of the Trust Account upon or following their redemption pursuant to Section 4.7(c) or 4.7(e).</w:t>
      </w:r>
    </w:p>
    <w:p>
      <w:pPr>
        <w:spacing w:after="0" w:line="183" w:lineRule="exact"/>
        <w:rPr>
          <w:sz w:val="20"/>
          <w:szCs w:val="20"/>
          <w:color w:val="auto"/>
        </w:rPr>
      </w:pPr>
    </w:p>
    <w:p>
      <w:pPr>
        <w:ind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issue of Public Shares, and prior to the consummation of a Business Combination, the Directors shall not, except in connection with the conversion of Class B Common Stock into Common Stock pursuant to Section 4.6(b) and where the holders of such shares have waived any rights to receive funds from the Trust Account, issue additional shares or any other securities that would entitle the holders thereof to:</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funds from the Trust Account;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2" w:name="page13"/>
    <w:bookmarkEnd w:id="12"/>
    <w:p>
      <w:pPr>
        <w:ind w:left="1060" w:hanging="261"/>
        <w:spacing w:after="0"/>
        <w:tabs>
          <w:tab w:leader="none" w:pos="10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as a class with the Public Shares:</w:t>
      </w:r>
    </w:p>
    <w:p>
      <w:pPr>
        <w:spacing w:after="0" w:line="130" w:lineRule="exact"/>
        <w:rPr>
          <w:rFonts w:ascii="Times New Roman" w:cs="Times New Roman" w:eastAsia="Times New Roman" w:hAnsi="Times New Roman"/>
          <w:sz w:val="18"/>
          <w:szCs w:val="18"/>
          <w:color w:val="auto"/>
        </w:rPr>
      </w:pPr>
    </w:p>
    <w:p>
      <w:pPr>
        <w:ind w:left="1900" w:right="60" w:hanging="533"/>
        <w:spacing w:after="0" w:line="282" w:lineRule="auto"/>
        <w:tabs>
          <w:tab w:leader="none" w:pos="19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Business Combination or on any other proposal presented to stockholders prior to or in connection with the completion of a Business Combination; or</w:t>
      </w:r>
    </w:p>
    <w:p>
      <w:pPr>
        <w:spacing w:after="0" w:line="67" w:lineRule="exact"/>
        <w:rPr>
          <w:rFonts w:ascii="Times New Roman" w:cs="Times New Roman" w:eastAsia="Times New Roman" w:hAnsi="Times New Roman"/>
          <w:sz w:val="18"/>
          <w:szCs w:val="18"/>
          <w:color w:val="auto"/>
        </w:rPr>
      </w:pPr>
    </w:p>
    <w:p>
      <w:pPr>
        <w:ind w:left="1900" w:right="600" w:hanging="533"/>
        <w:spacing w:after="0" w:line="266" w:lineRule="auto"/>
        <w:tabs>
          <w:tab w:leader="none" w:pos="19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this Certificate to: (A) extend the time the Corporation has to consummate a Business Combination beyond twenty-one (21) months from the closing of IPO; or (B) amend the foregoing provisions of this Certificate.</w:t>
      </w:r>
    </w:p>
    <w:p>
      <w:pPr>
        <w:spacing w:after="0" w:line="175" w:lineRule="exact"/>
        <w:rPr>
          <w:rFonts w:ascii="Times New Roman" w:cs="Times New Roman" w:eastAsia="Times New Roman" w:hAnsi="Times New Roman"/>
          <w:sz w:val="18"/>
          <w:szCs w:val="18"/>
          <w:color w:val="auto"/>
        </w:rPr>
      </w:pPr>
    </w:p>
    <w:p>
      <w:pPr>
        <w:ind w:left="-60" w:right="20" w:firstLine="436"/>
        <w:spacing w:after="0" w:line="26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Corporation signing the agreement to enter into a Business Combination. An initial Business Combination must not be effectuated solely with another blank check company or a similar company with nominal operations.</w:t>
      </w:r>
    </w:p>
    <w:p>
      <w:pPr>
        <w:spacing w:after="0" w:line="179" w:lineRule="exact"/>
        <w:rPr>
          <w:rFonts w:ascii="Times New Roman" w:cs="Times New Roman" w:eastAsia="Times New Roman" w:hAnsi="Times New Roman"/>
          <w:sz w:val="18"/>
          <w:szCs w:val="18"/>
          <w:color w:val="auto"/>
        </w:rPr>
      </w:pPr>
    </w:p>
    <w:p>
      <w:pPr>
        <w:ind w:left="600" w:hanging="224"/>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uninterested independent Directors shall approve any transaction or transactions between the Corporation and any of the following parties:</w:t>
      </w:r>
    </w:p>
    <w:p>
      <w:pPr>
        <w:spacing w:after="0" w:line="128" w:lineRule="exact"/>
        <w:rPr>
          <w:rFonts w:ascii="Times New Roman" w:cs="Times New Roman" w:eastAsia="Times New Roman" w:hAnsi="Times New Roman"/>
          <w:sz w:val="17"/>
          <w:szCs w:val="17"/>
          <w:color w:val="auto"/>
        </w:rPr>
      </w:pPr>
    </w:p>
    <w:p>
      <w:pPr>
        <w:ind w:left="380" w:right="280" w:firstLine="419"/>
        <w:spacing w:after="0" w:line="282" w:lineRule="auto"/>
        <w:tabs>
          <w:tab w:leader="none" w:pos="10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owning an interest in the voting power of the Corporation that gives such stockholder a significant influence over the Corporation; and</w:t>
      </w:r>
    </w:p>
    <w:p>
      <w:pPr>
        <w:spacing w:after="0" w:line="54" w:lineRule="exact"/>
        <w:rPr>
          <w:sz w:val="20"/>
          <w:szCs w:val="20"/>
          <w:color w:val="auto"/>
        </w:rPr>
      </w:pPr>
    </w:p>
    <w:p>
      <w:pPr>
        <w:ind w:left="1060" w:hanging="261"/>
        <w:spacing w:after="0"/>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Corporation and any Affiliate or relative of such Director or officer.</w:t>
      </w:r>
    </w:p>
    <w:p>
      <w:pPr>
        <w:spacing w:after="0" w:line="225"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5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to members of the audit committee of the Board (if one exists) shall require the review and approval of the Directors, with any Director interested in such payment abstaining from such review and approval.</w:t>
      </w:r>
    </w:p>
    <w:p>
      <w:pPr>
        <w:spacing w:after="0" w:line="161"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161" w:lineRule="exact"/>
        <w:rPr>
          <w:rFonts w:ascii="Times New Roman" w:cs="Times New Roman" w:eastAsia="Times New Roman" w:hAnsi="Times New Roman"/>
          <w:sz w:val="18"/>
          <w:szCs w:val="18"/>
          <w:color w:val="auto"/>
        </w:rPr>
      </w:pPr>
    </w:p>
    <w:p>
      <w:pPr>
        <w:jc w:val="both"/>
        <w:ind w:left="-60" w:right="80" w:firstLine="436"/>
        <w:spacing w:after="0" w:line="266" w:lineRule="auto"/>
        <w:tabs>
          <w:tab w:leader="none" w:pos="5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(if one exists) shall monitor compliance with the terms of the IPO and, if any non-compliance is identified, the audit committee of the Board shall be charged with the responsibility to take all action necessary to rectify such non-compliance or otherwise cause compliance with the terms of the IPO.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70" w:right="499" w:bottom="1440" w:gutter="0" w:footer="0" w:header="0"/>
        </w:sectPr>
      </w:pPr>
    </w:p>
    <w:bookmarkStart w:id="13" w:name="page14"/>
    <w:bookmarkEnd w:id="13"/>
    <w:p>
      <w:pPr>
        <w:ind w:right="120" w:firstLine="436"/>
        <w:spacing w:after="0" w:line="258" w:lineRule="auto"/>
        <w:tabs>
          <w:tab w:leader="none" w:pos="7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enter into a Business Combination with a target business that is Affiliated with a member of the investor group consisting of the Sponsor and its respective Affiliates, successors and assigns, the Directors or officers of the Corporation. In the event the Corporation seeks to complete the Business Combination with a target business that is Affiliated with the Sponsor, officers or Directors, the Corporation, or a committee of independent Directors, will obtain an opinion from an independent investment banking firm or another independent valuation or accounting firm that such a Business Combination or transaction is fair to the Corporation from a financial point of view.</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Combination must be approved by a majority of the independent Directors.</w:t>
      </w:r>
    </w:p>
    <w:p>
      <w:pPr>
        <w:spacing w:after="0" w:line="225"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enters into an initial Business Combination with a target business that is affiliated with the Sponsor, any Director or officer of the Corporation or any of their respective Affiliates,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upon the Board by statute, this Certificate or the Bylaws of the Corporation (as they may be amended from time to time,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this Certificate, and any Bylaws adopted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Number, Election and Term.</w:t>
      </w:r>
    </w:p>
    <w:p>
      <w:pPr>
        <w:spacing w:after="0" w:line="225" w:lineRule="exact"/>
        <w:rPr>
          <w:sz w:val="20"/>
          <w:szCs w:val="20"/>
          <w:color w:val="auto"/>
        </w:rPr>
      </w:pPr>
    </w:p>
    <w:p>
      <w:pPr>
        <w:ind w:right="160" w:firstLine="436"/>
        <w:spacing w:after="0" w:line="266"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Certificate, the term of the initial Class II Directors shall expire at the second annual meeting of the stockholders of the Corporation following the effectiveness of this Certificate, and the term of the initial Class III Directors shall expire at the third annual meeting of the stockholders following the effectiveness of this Certificate. At each succeeding annual meeting of the stockholders of the Corporation, beginning with the first annual meeting of the stockholders of the Corporation following the effectiveness of this Certificate, each of the successors elected to replace the class of Directors whose term expires at that annual meeting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elected for a three year term or until the election and qualification of their respective successors in office, subject to their earlier death, resignation or removal. Subject to Section 5.5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Certificate (and therefore such classification) becomes effective in accordance with the DGCL.</w:t>
      </w:r>
    </w:p>
    <w:p>
      <w:pPr>
        <w:spacing w:after="0" w:line="192" w:lineRule="exact"/>
        <w:rPr>
          <w:sz w:val="20"/>
          <w:szCs w:val="20"/>
          <w:color w:val="auto"/>
        </w:rPr>
      </w:pPr>
    </w:p>
    <w:p>
      <w:pPr>
        <w:ind w:right="160" w:firstLine="436"/>
        <w:spacing w:after="0" w:line="26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hereof, a Director shall hold office until the next annual meeting for the year in which his or her term expires and until his or her successor has been elected and qualified, subject, however, to such Director’s earlier death, resignation, retirement, disqualification or removal.</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 The holders of shares of Common Stock shall not have cumulative voting rights.</w:t>
      </w:r>
    </w:p>
    <w:p>
      <w:pPr>
        <w:spacing w:after="0" w:line="162"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Subject to Section 5.5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Section 5.5 hereof, any or all of the Directors may be removed from office, but only for cause, by the affirmative vote of holders of a majority of the voting power of all then outstanding shares of capital stock of the Corporation entitled to vote generally in the election of Directors, voting together as a single class, at a meeting called for that purpose.</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Preferred Stock—Directors</w:t>
      </w:r>
      <w:r>
        <w:rPr>
          <w:rFonts w:ascii="Times New Roman" w:cs="Times New Roman" w:eastAsia="Times New Roman" w:hAnsi="Times New Roman"/>
          <w:sz w:val="18"/>
          <w:szCs w:val="18"/>
          <w:color w:val="auto"/>
        </w:rPr>
        <w:t>. Notwithstanding any other provision of this Article V,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Certificate (including any Preferred Stock Designation) and such Directors shall not be included in any of the classes created pursuant to this Article V unless expressly provided by such terms.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MEETINGS OF STOCKHOLDERS; ACTION BY WRITTEN CONSENT</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3"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Except as may be otherwise provided for or fixed pursuant to this Certificate (including any Preferred Stock Designation) relating to the rights of the 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of the 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9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conferred on any indemnitee by this Section 8.2 shall not be exclusive of any other rights that any indemnitee may have or hereafter acquire under law, this Certificate, the Bylaws, an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right="80" w:firstLine="436"/>
        <w:spacing w:after="0" w:line="25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 or amendment of this Section 8.2 by the stockholders of the Corporation or by changes in law, or the adoption of any other provision of this Certificate inconsistent with this 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7" w:name="page18"/>
    <w:bookmarkEnd w:id="17"/>
    <w:p>
      <w:pPr>
        <w:ind w:firstLine="436"/>
        <w:spacing w:after="0" w:line="282"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Section 8.2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Corporate Opportunities and Non-Employee Directors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 w:firstLine="436"/>
        <w:spacing w:after="0" w:line="254"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members of the Board who are not employees of the Corporation (the “</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 For purposes of this Article IX, (i)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89"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Non-Employee Director (including any Non-Employee Director who serves as an officer of the Corporation in both his or her Director and officer capacities) or his or her Affiliates (such Persons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to the fullest extent permitted by law, have any duty to refrain from directly or indirectly (1) engaging in the same or similar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9.1(c) of this Article IX. Subject to said Section 9.1(c) of this Article IX,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 w:name="page19"/>
    <w:bookmarkEnd w:id="1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9.1(b) of this Article IX shall not apply to any such corporate opportunity.</w:t>
      </w:r>
    </w:p>
    <w:p>
      <w:pPr>
        <w:spacing w:after="0" w:line="176" w:lineRule="exact"/>
        <w:rPr>
          <w:sz w:val="20"/>
          <w:szCs w:val="20"/>
          <w:color w:val="auto"/>
        </w:rPr>
      </w:pPr>
    </w:p>
    <w:p>
      <w:pPr>
        <w:jc w:val="both"/>
        <w:ind w:firstLine="436"/>
        <w:spacing w:after="0" w:line="261"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IX,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spacing w:after="0" w:line="179" w:lineRule="exact"/>
        <w:rPr>
          <w:rFonts w:ascii="Times New Roman" w:cs="Times New Roman" w:eastAsia="Times New Roman" w:hAnsi="Times New Roman"/>
          <w:sz w:val="18"/>
          <w:szCs w:val="18"/>
          <w:color w:val="auto"/>
        </w:rPr>
      </w:pPr>
    </w:p>
    <w:p>
      <w:pPr>
        <w:ind w:right="780" w:firstLine="436"/>
        <w:spacing w:after="0" w:line="28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IX.</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alteration, amendment, addition to or repeal of this Article IX, nor the adoption of any provision of this Certificate (including any Preferred Stock Designation) inconsistent with this Article IX, shall eliminate or reduce the effect of this Article IX in respect of any corporate opportunity first identified or any other matter occurring, or any cause of action, suit or claim that, but for this Article IX, would accrue or arise, prior to such alteration, amendment, addition, repeal or adoption.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at any time and from time to time to amend, alter, change or repeal any provision contained in this Certificate (including any Preferred Stock Designation), and other provisions authorized by the laws of the State of Delaware at the time in force that may be added or inserted, in the manner now or hereafter prescribed by this Certificate and the DGCL; and, except as set forth in Article VIII, all rights, preferences and privileges of whatever nature herein conferred upon stockholders, Directors or any other persons by and pursuant to this Certificate in its present form or as hereafter amended are granted subject to the right reserved in this Article X.</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0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employee, agent or stockholder of the Corporation to the Corporation or the Corporation’s stockholders, (iii) any action asserting a claim arising pursuant to any provision of the DGCL, this Certificate (including any Preferred Stock Designation) or the Bylaws or as to which the DGCL confers jurisdiction on the Court of Chancery of the State of Delaware or (iv) any action asserting a claim governed by the internal affairs doctrine, in each such case subject to such Court of Chancery of the State of Delaware having personal jurisdiction over the indispensable parties named as defendants therein. Furthermore, unless the Corporation consents in writing to the selection of an alternative forum, with respect to claims that are not internal corporate claims, stockholders, when acting in their capacity as stockholders or in the right of the Corporation, shall bring any or all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 In addition, unless the Corporation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Notwithstanding anything herein to the contrary, this Section 11.1 shall not apply to suits brought to enforce a duty or liability created by the Exchange Act, or the rules and regulations under the Exchange Act, or any other claim for which the U.S. federal courts have exclusive jurisdiction. To the fullest extent permitted by applicable law, any person or entity purchasing or otherwise acquiring or holding any interest in shares of capital stock of the Corporation shall be deemed to have notice of and consented to the provisions of this Section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2216150</wp:posOffset>
            </wp:positionH>
            <wp:positionV relativeFrom="paragraph">
              <wp:posOffset>-440055</wp:posOffset>
            </wp:positionV>
            <wp:extent cx="28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If any action the subject matter of which is within the scope of Section 11.1 immediately above is filed in a court other than a court located within the State of Delaware (a “</w:t>
      </w:r>
      <w:r>
        <w:rPr>
          <w:rFonts w:ascii="Times New Roman" w:cs="Times New Roman" w:eastAsia="Times New Roman" w:hAnsi="Times New Roman"/>
          <w:sz w:val="17"/>
          <w:szCs w:val="17"/>
          <w:b w:val="1"/>
          <w:bCs w:val="1"/>
          <w:i w:val="1"/>
          <w:iCs w:val="1"/>
          <w:color w:val="auto"/>
        </w:rPr>
        <w:t>Foreign Action</w:t>
      </w:r>
      <w:r>
        <w:rPr>
          <w:rFonts w:ascii="Times New Roman" w:cs="Times New Roman" w:eastAsia="Times New Roman" w:hAnsi="Times New Roman"/>
          <w:sz w:val="17"/>
          <w:szCs w:val="17"/>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11.1 immediately above (an “</w:t>
      </w:r>
      <w:r>
        <w:rPr>
          <w:rFonts w:ascii="Times New Roman" w:cs="Times New Roman" w:eastAsia="Times New Roman" w:hAnsi="Times New Roman"/>
          <w:sz w:val="17"/>
          <w:szCs w:val="17"/>
          <w:b w:val="1"/>
          <w:bCs w:val="1"/>
          <w:i w:val="1"/>
          <w:iCs w:val="1"/>
          <w:color w:val="auto"/>
        </w:rPr>
        <w:t>FSC Enforcement Action</w:t>
      </w:r>
      <w:r>
        <w:rPr>
          <w:rFonts w:ascii="Times New Roman" w:cs="Times New Roman" w:eastAsia="Times New Roman" w:hAnsi="Times New Roman"/>
          <w:sz w:val="17"/>
          <w:szCs w:val="17"/>
          <w:color w:val="auto"/>
        </w:rPr>
        <w:t>”) and (ii) having service of process made upon such stockholder in any such FSC Enforcement Action by service upon such stockholder’s counsel in the Foreign Action as agent for such stockholder.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any provision or provisions (or any part thereof) of this Certificate shall be held to be invalid, illegal or unenforceable as applied to any person, entity or circumstance for any reason whatsoever, then, to the fullest extent permitted by law, (i)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(including, without limitation, each portion of any paragraph of this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INCORPORATOR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and mailing address of the Corporation’s incorporator is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Mailing Address: 1731 Embarcadero Road, Suite 200, Palo Alto, CA 94303</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440" w:top="270" w:right="739" w:bottom="1440" w:gutter="0" w:footer="0" w:header="0"/>
        </w:sectPr>
      </w:pPr>
    </w:p>
    <w:bookmarkStart w:id="21" w:name="page22"/>
    <w:bookmarkEnd w:id="21"/>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being the incorporator hereinbefore named, for the purpose of forming a corporation pursuant to the General Corporation Law of the State of Delaware, does make this Certificate, hereby declaring and certifying that the facts herein stated are true, and accordingly has hereunto set his hand this 8th day of May, 2026.</w:t>
      </w:r>
    </w:p>
    <w:p>
      <w:pPr>
        <w:spacing w:after="0" w:line="200" w:lineRule="exact"/>
        <w:rPr>
          <w:sz w:val="20"/>
          <w:szCs w:val="20"/>
          <w:color w:val="auto"/>
        </w:rPr>
      </w:pPr>
    </w:p>
    <w:p>
      <w:pPr>
        <w:spacing w:after="0" w:line="21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S. Katz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S. Katz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Incorporator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Incorporation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CORPORATE DOMESTICATION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0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This Certificate of Corporate Domestication of GigCapital7 Corp.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has been executed and delivered on May 8, 2026 for filing with the Office of the Secretary of State of the State of Delaware (the “</w:t>
      </w:r>
      <w:r>
        <w:rPr>
          <w:rFonts w:ascii="Times New Roman" w:cs="Times New Roman" w:eastAsia="Times New Roman" w:hAnsi="Times New Roman"/>
          <w:sz w:val="18"/>
          <w:szCs w:val="18"/>
          <w:u w:val="single" w:color="auto"/>
          <w:color w:val="auto"/>
        </w:rPr>
        <w:t>Secretary of State</w:t>
      </w:r>
      <w:r>
        <w:rPr>
          <w:rFonts w:ascii="Times New Roman" w:cs="Times New Roman" w:eastAsia="Times New Roman" w:hAnsi="Times New Roman"/>
          <w:sz w:val="18"/>
          <w:szCs w:val="18"/>
          <w:color w:val="auto"/>
        </w:rPr>
        <w:t>”) by the undersigned person who is authorized to sign this Certificate on behalf of GigCapital7 Corp., the non-United States entity becoming domesticated as a corporation in the State of Delaware (the “</w:t>
      </w:r>
      <w:r>
        <w:rPr>
          <w:rFonts w:ascii="Times New Roman" w:cs="Times New Roman" w:eastAsia="Times New Roman" w:hAnsi="Times New Roman"/>
          <w:sz w:val="18"/>
          <w:szCs w:val="18"/>
          <w:u w:val="single" w:color="auto"/>
          <w:color w:val="auto"/>
        </w:rPr>
        <w:t>Cayman Company</w:t>
      </w:r>
      <w:r>
        <w:rPr>
          <w:rFonts w:ascii="Times New Roman" w:cs="Times New Roman" w:eastAsia="Times New Roman" w:hAnsi="Times New Roman"/>
          <w:sz w:val="18"/>
          <w:szCs w:val="18"/>
          <w:color w:val="auto"/>
        </w:rPr>
        <w:t>”) by, among other steps, the filing of this Certificate with the Secretary of State.</w:t>
      </w:r>
    </w:p>
    <w:p>
      <w:pPr>
        <w:spacing w:after="0" w:line="180" w:lineRule="exact"/>
        <w:rPr>
          <w:sz w:val="20"/>
          <w:szCs w:val="20"/>
          <w:color w:val="auto"/>
        </w:rPr>
      </w:pPr>
    </w:p>
    <w:p>
      <w:pPr>
        <w:ind w:left="1160" w:hanging="173"/>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Cayman Company was first formed, incorporated, created or otherwise came into being is May 8, 2024.</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where the Cayman Company was first formed, incorporated, created or otherwise came into being is the Cayman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w:t>
      </w:r>
    </w:p>
    <w:p>
      <w:pPr>
        <w:spacing w:after="0" w:line="203" w:lineRule="exact"/>
        <w:rPr>
          <w:sz w:val="20"/>
          <w:szCs w:val="20"/>
          <w:color w:val="auto"/>
        </w:rPr>
      </w:pPr>
    </w:p>
    <w:p>
      <w:pPr>
        <w:ind w:left="1160" w:hanging="173"/>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Cayman Company immediately prior to the filing of this Certificate is </w:t>
      </w:r>
      <w:r>
        <w:rPr>
          <w:rFonts w:ascii="Times New Roman" w:cs="Times New Roman" w:eastAsia="Times New Roman" w:hAnsi="Times New Roman"/>
          <w:sz w:val="18"/>
          <w:szCs w:val="18"/>
          <w:b w:val="1"/>
          <w:bCs w:val="1"/>
          <w:color w:val="auto"/>
        </w:rPr>
        <w:t>GigCapital7 Corp.</w:t>
      </w:r>
    </w:p>
    <w:p>
      <w:pPr>
        <w:spacing w:after="0" w:line="229" w:lineRule="exact"/>
        <w:rPr>
          <w:rFonts w:ascii="Times New Roman" w:cs="Times New Roman" w:eastAsia="Times New Roman" w:hAnsi="Times New Roman"/>
          <w:sz w:val="18"/>
          <w:szCs w:val="18"/>
          <w:color w:val="auto"/>
        </w:rPr>
      </w:pPr>
    </w:p>
    <w:p>
      <w:pPr>
        <w:ind w:right="640" w:firstLine="987"/>
        <w:spacing w:after="0" w:line="282"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as set forth in its certificate of incorporation filed in accordance with Section 388(b) of the General Corporation Law of the State of Delaware is </w:t>
      </w:r>
      <w:r>
        <w:rPr>
          <w:rFonts w:ascii="Times New Roman" w:cs="Times New Roman" w:eastAsia="Times New Roman" w:hAnsi="Times New Roman"/>
          <w:sz w:val="18"/>
          <w:szCs w:val="18"/>
          <w:b w:val="1"/>
          <w:bCs w:val="1"/>
          <w:color w:val="auto"/>
        </w:rPr>
        <w:t>GigCapital7 Corp.</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that constituted the seat, siege social, or principal place of business or central administration of the Cayman Company immediately prior to the filing of this Certificate is the Cayman Islands.</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has been approved in the manner provided for by the document, instrument, agreement or other writing, as the case may be, governing the internal affairs of the Cayman Company or by applicable non-Delaware law, as appropriate.</w:t>
      </w:r>
    </w:p>
    <w:p>
      <w:pPr>
        <w:spacing w:after="0" w:line="161" w:lineRule="exact"/>
        <w:rPr>
          <w:rFonts w:ascii="Times New Roman" w:cs="Times New Roman" w:eastAsia="Times New Roman" w:hAnsi="Times New Roman"/>
          <w:sz w:val="18"/>
          <w:szCs w:val="18"/>
          <w:color w:val="auto"/>
        </w:rPr>
      </w:pPr>
    </w:p>
    <w:p>
      <w:pPr>
        <w:ind w:right="260" w:firstLine="987"/>
        <w:spacing w:after="0" w:line="266"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the plan of domestication adopted in accordance with Section 388(l) of the General Corporation Law of the State of Delaware have been approved prior to the effectiveness of this Certificate in accordance with all applicable non-United States law, including any approval required under non-United States law for the authorization of the type of corporate action specified in the plan of domestication.</w:t>
      </w:r>
    </w:p>
    <w:p>
      <w:pPr>
        <w:spacing w:after="0" w:line="175" w:lineRule="exact"/>
        <w:rPr>
          <w:rFonts w:ascii="Times New Roman" w:cs="Times New Roman" w:eastAsia="Times New Roman" w:hAnsi="Times New Roman"/>
          <w:sz w:val="18"/>
          <w:szCs w:val="18"/>
          <w:color w:val="auto"/>
        </w:rPr>
      </w:pPr>
    </w:p>
    <w:p>
      <w:pPr>
        <w:ind w:right="1000" w:firstLine="987"/>
        <w:spacing w:after="0" w:line="282"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the certificates required by Section 388(b) of the General Corporation Law of the State of Delaware are being filed simultaneously with the Secretary of State, and both certificates are to become effective upon their filing with the Secretary of State.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lvl w:ilvl="1">
      <w:lvlJc w:val="left"/>
      <w:lvlText w:val="(%2)"/>
      <w:numFmt w:val="lowerRoman"/>
      <w:start w:val="1"/>
    </w:lvl>
  </w:abstractNum>
  <w:abstractNum w:abstractNumId="4">
    <w:nsid w:val="4E6AFB66"/>
    <w:multiLevelType w:val="hybridMultilevel"/>
    <w:lvl w:ilvl="0">
      <w:lvlJc w:val="left"/>
      <w:lvlText w:val="(%1)"/>
      <w:numFmt w:val="lowerLetter"/>
      <w:start w:val="1"/>
    </w:lvl>
    <w:lvl w:ilvl="1">
      <w:lvlJc w:val="left"/>
      <w:lvlText w:val="(%2)"/>
      <w:numFmt w:val="lowerRoman"/>
      <w:start w:val="1"/>
    </w:lvl>
  </w:abstractNum>
  <w:abstractNum w:abstractNumId="5">
    <w:nsid w:val="25E45D32"/>
    <w:multiLevelType w:val="hybridMultilevel"/>
    <w:lvl w:ilvl="0">
      <w:lvlJc w:val="left"/>
      <w:lvlText w:val="(%1)"/>
      <w:numFmt w:val="lowerLetter"/>
      <w:start w:val="2"/>
    </w:lvl>
    <w:lvl w:ilvl="1">
      <w:lvlJc w:val="left"/>
      <w:lvlText w:val="(%2)"/>
      <w:numFmt w:val="lowerRoman"/>
      <w:start w:val="1"/>
    </w:lvl>
  </w:abstractNum>
  <w:abstractNum w:abstractNumId="6">
    <w:nsid w:val="519B500D"/>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7">
    <w:nsid w:val="431BD7B7"/>
    <w:multiLevelType w:val="hybridMultilevel"/>
    <w:lvl w:ilvl="0">
      <w:lvlJc w:val="left"/>
      <w:lvlText w:val="(%1)"/>
      <w:numFmt w:val="lowerLetter"/>
      <w:start w:val="6"/>
    </w:lvl>
    <w:lvl w:ilvl="1">
      <w:lvlJc w:val="left"/>
      <w:lvlText w:val="(%2)"/>
      <w:numFmt w:val="lowerRoman"/>
      <w:start w:val="1"/>
    </w:lvl>
  </w:abstractNum>
  <w:abstractNum w:abstractNumId="8">
    <w:nsid w:val="3F2DBA31"/>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9">
    <w:nsid w:val="7C83E458"/>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3"/>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4">
    <w:nsid w:val="333AB105"/>
    <w:multiLevelType w:val="hybridMultilevel"/>
    <w:lvl w:ilvl="0">
      <w:lvlJc w:val="left"/>
      <w:lvlText w:val="(%1)"/>
      <w:numFmt w:val="lowerLetter"/>
      <w:start w:val="7"/>
    </w:lvl>
    <w:lvl w:ilvl="1">
      <w:lvlJc w:val="left"/>
      <w:lvlText w:val="(%2)"/>
      <w:numFmt w:val="lowerLetter"/>
      <w:start w:val="9"/>
    </w:lvl>
  </w:abstractNum>
  <w:abstractNum w:abstractNumId="15">
    <w:nsid w:val="721DA317"/>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6">
    <w:nsid w:val="2443A858"/>
    <w:multiLevelType w:val="hybridMultilevel"/>
    <w:lvl w:ilvl="0">
      <w:lvlJc w:val="left"/>
      <w:lvlText w:val="(%1)"/>
      <w:numFmt w:val="lowerLetter"/>
      <w:start w:val="8"/>
    </w:lvl>
    <w:lvl w:ilvl="1">
      <w:lvlJc w:val="left"/>
      <w:lvlText w:val="(%2)"/>
      <w:numFmt w:val="lowerLetter"/>
      <w:start w:val="9"/>
    </w:lvl>
    <w:lvl w:ilvl="2">
      <w:lvlJc w:val="left"/>
      <w:lvlText w:val="%3"/>
      <w:numFmt w:val="decimal"/>
      <w:start w:val="1"/>
    </w:lvl>
  </w:abstractNum>
  <w:abstractNum w:abstractNumId="17">
    <w:nsid w:val="2D1D5AE9"/>
    <w:multiLevelType w:val="hybridMultilevel"/>
    <w:lvl w:ilvl="0">
      <w:lvlJc w:val="left"/>
      <w:lvlText w:val="%1"/>
      <w:numFmt w:val="lowerLetter"/>
      <w:start w:val="1"/>
    </w:lvl>
    <w:lvl w:ilvl="1">
      <w:lvlJc w:val="left"/>
      <w:lvlText w:val="(%2)"/>
      <w:numFmt w:val="lowerLetter"/>
      <w:start w:val="35"/>
    </w:lvl>
  </w:abstractNum>
  <w:abstractNum w:abstractNumId="18">
    <w:nsid w:val="6763845E"/>
    <w:multiLevelType w:val="hybridMultilevel"/>
    <w:lvl w:ilvl="0">
      <w:lvlJc w:val="left"/>
      <w:lvlText w:val="(%1)"/>
      <w:numFmt w:val="lowerLetter"/>
      <w:start w:val="10"/>
    </w:lvl>
    <w:lvl w:ilvl="1">
      <w:lvlJc w:val="left"/>
      <w:lvlText w:val="%2"/>
      <w:numFmt w:val="lowerLetter"/>
      <w:start w:val="1"/>
    </w:lvl>
  </w:abstractNum>
  <w:abstractNum w:abstractNumId="19">
    <w:nsid w:val="75A2A8D4"/>
    <w:multiLevelType w:val="hybridMultilevel"/>
    <w:lvl w:ilvl="0">
      <w:lvlJc w:val="left"/>
      <w:lvlText w:val="(%1)"/>
      <w:numFmt w:val="lowerLetter"/>
      <w:start w:val="13"/>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3"/>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4"/>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4"/>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2026-05-11T07:04:42Z</dcterms:created>
  <dcterms:modified xsi:type="dcterms:W3CDTF">2026-05-11T07:04:42Z</dcterms:modified>
</cp:coreProperties>
</file>