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GigCapital7 Corp.</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001-42262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GigCapital7 Corp</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GigCapital7 Corp. Announces Domestication in Furtherance of Business Combination with Hadron Energy</w:t>
      </w:r>
    </w:p>
    <w:p>
      <w:pPr>
        <w:spacing w:after="0" w:line="229" w:lineRule="exact"/>
        <w:rPr>
          <w:sz w:val="24"/>
          <w:szCs w:val="24"/>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Palo Alto, CA, May 8, 2026 (BUSINESS WIRE) – GigCapital7 Corp. (NASDAQ: GIG) (“GigCapital7”) today announced that following the shareholder approval of the domestication from the Cayman Islands to Delaware at its Extraordinary General Meeting of Shareholders (the “Extraordinary Meeting”) held on May 7, 2026, as provided for in the business combination agreement between GigCapital7, Hadron Energy, Inc. (“Hadron”) and MMR Merger Sub, Inc. (“Merger Sub”), GigCapital7 intends to file the certificate of corporate domestication and the interim certificate of incorporation today with the Secretary of State of the State of Delaware. As a result, GigCapital7’s securities will commence trading as shares of common stock under the ticker symbol “GIG”, warrants under the ticker symbol “GIGGW”, and units under the ticker symbol “GIGGU” in domesticated GigCapital7 under the CUSIP numbers 37518P101, 37518P119, and 37518P200, respectively, with market effectiveness on Monday, May 10, 2026, and with no changes to the number of outstanding securities. The business combination closing will follow subsequent to the domestication and immediately upon receipt of Nasdaq regulatory clearance, and GigCapital7 at that time will provide a further announcement when the shares will commence trading under the “HDRN” ticker symbol.</w:t>
      </w:r>
    </w:p>
    <w:p>
      <w:pPr>
        <w:spacing w:after="0" w:line="2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Hadron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is advancing the Halo MMR through an integrated program of technical development, NRC licensing engagement, and a growing portfolio of strategic supply chain and deployment partnerships. For more information, please visit </w:t>
      </w:r>
      <w:r>
        <w:rPr>
          <w:rFonts w:ascii="Times New Roman" w:cs="Times New Roman" w:eastAsia="Times New Roman" w:hAnsi="Times New Roman"/>
          <w:sz w:val="18"/>
          <w:szCs w:val="18"/>
          <w:u w:val="single" w:color="auto"/>
          <w:color w:val="auto"/>
        </w:rPr>
        <w:t>www.hadronenergy.com</w:t>
      </w:r>
      <w:r>
        <w:rPr>
          <w:rFonts w:ascii="Times New Roman" w:cs="Times New Roman" w:eastAsia="Times New Roman" w:hAnsi="Times New Roman"/>
          <w:sz w:val="18"/>
          <w:szCs w:val="18"/>
          <w:color w:val="auto"/>
        </w:rPr>
        <w:t>.</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4"/>
          <w:szCs w:val="24"/>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Like all other GigCapital Private-to-Public Equity (PPE) entities, it aimed to partner with an innovative company with exceptional leaders in order to create an industry-leading partnership that will be successful for years to come, and hence is combining with Hadron Energy, Inc.</w:t>
      </w:r>
    </w:p>
    <w:p>
      <w:pPr>
        <w:spacing w:after="0" w:line="199" w:lineRule="exact"/>
        <w:rPr>
          <w:sz w:val="24"/>
          <w:szCs w:val="24"/>
          <w:color w:val="auto"/>
        </w:rPr>
      </w:pPr>
    </w:p>
    <w:p>
      <w:pPr>
        <w:ind w:right="100"/>
        <w:spacing w:after="0" w:line="213" w:lineRule="auto"/>
        <w:rPr>
          <w:sz w:val="20"/>
          <w:szCs w:val="20"/>
          <w:color w:val="auto"/>
        </w:rPr>
      </w:pPr>
      <w:r>
        <w:rPr>
          <w:rFonts w:ascii="Times New Roman" w:cs="Times New Roman" w:eastAsia="Times New Roman" w:hAnsi="Times New Roman"/>
          <w:sz w:val="18"/>
          <w:szCs w:val="18"/>
          <w:color w:val="auto"/>
        </w:rPr>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domestication, benefits of the business combination between the parties and the anticipated timing of, and the funds expected to be available upon,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ectPr>
          <w:pgSz w:w="11900" w:h="16838" w:orient="portrait"/>
          <w:cols w:equalWidth="0" w:num="1">
            <w:col w:w="10960"/>
          </w:cols>
          <w:pgMar w:left="440" w:top="266" w:right="49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https://www.hadronenergy.com/investor-relations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2026-05-08T15:17:23Z</dcterms:created>
  <dcterms:modified xsi:type="dcterms:W3CDTF">2026-05-08T15:17:23Z</dcterms:modified>
</cp:coreProperties>
</file>