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GIGCAPITAL7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ordinary shares,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631,845.00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631,845.00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631,845.00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CO</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NEW YORK</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631,845.00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631,845.00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631,845.00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58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3.2 %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OO,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GIGCAPITAL7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1731 Embarcadero Rd., Suite 200, Palo Alto, X1,94303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400"/>
        <w:spacing w:after="0" w:line="286" w:lineRule="auto"/>
        <w:rPr>
          <w:sz w:val="20"/>
          <w:szCs w:val="20"/>
          <w:color w:val="auto"/>
        </w:rPr>
      </w:pPr>
      <w:r>
        <w:rPr>
          <w:rFonts w:ascii="Times New Roman" w:cs="Times New Roman" w:eastAsia="Times New Roman" w:hAnsi="Times New Roman"/>
          <w:sz w:val="22"/>
          <w:szCs w:val="22"/>
          <w:color w:val="auto"/>
        </w:rPr>
        <w:t>THE GOLDMAN SACHS GROUP, INC.| GOLDMAN SACHS &amp; CO. LLC Address or principal business office or, if none, residence:</w:t>
      </w:r>
    </w:p>
    <w:p>
      <w:pPr>
        <w:sectPr>
          <w:pgSz w:w="11900" w:h="16838" w:orient="portrait"/>
          <w:cols w:equalWidth="0" w:num="1">
            <w:col w:w="11000"/>
          </w:cols>
          <w:pgMar w:left="360" w:top="111" w:right="539" w:bottom="46" w:gutter="0" w:footer="0" w:header="0"/>
        </w:sectPr>
      </w:pP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2"/>
          <w:szCs w:val="22"/>
          <w:color w:val="auto"/>
        </w:rPr>
        <w:t>The Goldman Sachs Group, Inc. 200 West Street New York, NY 10282| Goldman Sachs &amp; Co. LLC 200 West Street New York, NY 10282</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340"/>
        <w:spacing w:after="0" w:line="309" w:lineRule="auto"/>
        <w:rPr>
          <w:sz w:val="20"/>
          <w:szCs w:val="20"/>
          <w:color w:val="auto"/>
        </w:rPr>
      </w:pPr>
      <w:r>
        <w:rPr>
          <w:rFonts w:ascii="Times New Roman" w:cs="Times New Roman" w:eastAsia="Times New Roman" w:hAnsi="Times New Roman"/>
          <w:sz w:val="22"/>
          <w:szCs w:val="22"/>
          <w:color w:val="auto"/>
        </w:rPr>
        <w:t>THE GOLDMAN SACHS GROUP, INC. - Delaware| GOLDMAN SACHS &amp; CO. LLC - New York Title of class of securities: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ordinary shares,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5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8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9 on the attached cover page(s).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7" w:lineRule="exact"/>
        <w:rPr>
          <w:sz w:val="20"/>
          <w:szCs w:val="20"/>
          <w:color w:val="auto"/>
        </w:rPr>
      </w:pPr>
    </w:p>
    <w:p>
      <w:pPr>
        <w:sectPr>
          <w:pgSz w:w="11900" w:h="16838" w:orient="portrait"/>
          <w:cols w:equalWidth="0" w:num="2">
            <w:col w:w="620" w:space="300"/>
            <w:col w:w="10080"/>
          </w:cols>
          <w:pgMar w:left="360" w:top="111" w:right="539" w:bottom="46" w:gutter="0" w:footer="0" w:header="0"/>
          <w:type w:val="continuous"/>
        </w:sectPr>
      </w:pPr>
    </w:p>
    <w:p>
      <w:pPr>
        <w:jc w:val="right"/>
        <w:ind w:right="4600"/>
        <w:spacing w:after="0"/>
        <w:rPr>
          <w:sz w:val="20"/>
          <w:szCs w:val="20"/>
          <w:color w:val="auto"/>
        </w:rPr>
      </w:pPr>
      <w:r>
        <w:rPr>
          <w:rFonts w:ascii="Times New Roman" w:cs="Times New Roman" w:eastAsia="Times New Roman" w:hAnsi="Times New Roman"/>
          <w:sz w:val="22"/>
          <w:szCs w:val="22"/>
          <w:color w:val="auto"/>
        </w:rPr>
        <w:t>See the response(s)to Item 11 on the attached cover page(s).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ectPr>
          <w:pgSz w:w="11900" w:h="16838" w:orient="portrait"/>
          <w:cols w:equalWidth="0" w:num="1">
            <w:col w:w="11000"/>
          </w:cols>
          <w:pgMar w:left="360" w:top="111" w:right="539" w:bottom="46"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5 on the attached cover page(s).</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the response(s) to Item 6 on the attached cover page(s).</w:t>
      </w:r>
    </w:p>
    <w:p>
      <w:pPr>
        <w:spacing w:after="0" w:line="287" w:lineRule="exact"/>
        <w:rPr>
          <w:sz w:val="20"/>
          <w:szCs w:val="20"/>
          <w:color w:val="auto"/>
        </w:rPr>
      </w:pPr>
    </w:p>
    <w:p>
      <w:pPr>
        <w:ind w:right="5080" w:firstLine="6"/>
        <w:spacing w:after="0" w:line="509" w:lineRule="auto"/>
        <w:tabs>
          <w:tab w:leader="none" w:pos="378"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power to dispose or to direct the disposition of: See the response(s) to Item 7 on the attached cover page(s).</w:t>
      </w:r>
    </w:p>
    <w:p>
      <w:pPr>
        <w:spacing w:after="0" w:line="1" w:lineRule="exact"/>
        <w:rPr>
          <w:rFonts w:ascii="Times New Roman" w:cs="Times New Roman" w:eastAsia="Times New Roman" w:hAnsi="Times New Roman"/>
          <w:sz w:val="21"/>
          <w:szCs w:val="21"/>
          <w:color w:val="auto"/>
        </w:rPr>
      </w:pPr>
    </w:p>
    <w:p>
      <w:pPr>
        <w:jc w:val="both"/>
        <w:ind w:right="5080" w:firstLine="6"/>
        <w:spacing w:after="0" w:line="509" w:lineRule="auto"/>
        <w:tabs>
          <w:tab w:leader="none" w:pos="366" w:val="left"/>
        </w:tabs>
        <w:numPr>
          <w:ilvl w:val="0"/>
          <w:numId w:val="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Shared power to dispose or to direct the disposition of: See the response(s) to Item 8 on the attached cover page(s).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0"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(99.2)</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2"/>
          <w:szCs w:val="22"/>
          <w:color w:val="auto"/>
        </w:rPr>
        <w:t>THE GOLDMAN SACHS GROUP, INC.</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Veronica Mupazviriwo</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04/20/2026</w:t>
      </w:r>
    </w:p>
    <w:p>
      <w:pPr>
        <w:spacing w:after="0" w:line="15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2"/>
          <w:szCs w:val="22"/>
          <w:color w:val="auto"/>
        </w:rPr>
        <w:t>GOLDMAN SACHS &amp; CO. LLC</w:t>
      </w:r>
    </w:p>
    <w:p>
      <w:pPr>
        <w:spacing w:after="0" w:line="152"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Name: Veronica Mupazviriwo</w:t>
      </w:r>
    </w:p>
    <w:p>
      <w:pPr>
        <w:spacing w:after="0" w:line="4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3900"/>
        <w:spacing w:after="0"/>
        <w:tabs>
          <w:tab w:leader="none" w:pos="4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04/20/2026</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1"/>
          <w:szCs w:val="21"/>
          <w:color w:val="auto"/>
        </w:rPr>
        <w:t>EXHIBIT (99.1) JOINT FILING AGREEMENT In accordance with Rule 13d-1(k)(1) promulgated under the Securities Exchange Act of 1934, the undersigned agree to the joint filing of a Statement on Schedule 13G (including any and all amendments thereto) with respect to the Class A ordinary shares, par value $0.0001 per share, of GIGCAPITAL7 CORP. and further agree to the filing of this agreement as an Exhibit thereto. In addition, each party to this Agreement expressly authorizes each other party to this Agreement to file on its behalf any and all amendments to such Statement on Schedule 13G. Date:</w:t>
      </w:r>
    </w:p>
    <w:p>
      <w:pPr>
        <w:spacing w:after="0" w:line="231" w:lineRule="auto"/>
        <w:rPr>
          <w:sz w:val="20"/>
          <w:szCs w:val="20"/>
          <w:color w:val="auto"/>
        </w:rPr>
      </w:pPr>
      <w:r>
        <w:rPr>
          <w:rFonts w:ascii="Times New Roman" w:cs="Times New Roman" w:eastAsia="Times New Roman" w:hAnsi="Times New Roman"/>
          <w:sz w:val="22"/>
          <w:szCs w:val="22"/>
          <w:color w:val="auto"/>
        </w:rPr>
        <w:t>04/20/2026 THE GOLDMAN SACHS GROUP, INC. By:/s/ Veronica Mupazviriwo ---------------------------------------- Name: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Veronica Mupazviriwo Title: Attorney-in-fact GOLDMAN SACHS &amp; CO. LLC By:/s/ Veronica Mupazviriwo ---------------------</w:t>
      </w:r>
    </w:p>
    <w:p>
      <w:pPr>
        <w:sectPr>
          <w:pgSz w:w="11900" w:h="16900" w:orient="portrait"/>
          <w:cols w:equalWidth="0" w:num="1">
            <w:col w:w="11140"/>
          </w:cols>
          <w:pgMar w:left="360" w:top="112" w:right="399" w:bottom="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1"/>
          <w:szCs w:val="21"/>
          <w:color w:val="auto"/>
        </w:rPr>
        <w:t>------------------- Name: Veronica Mupazviriwo Title: Attorney-in-fact EXHIBIT (99.2) ITEM 7 INFORMATION The securities</w:t>
      </w:r>
    </w:p>
    <w:p>
      <w:pPr>
        <w:spacing w:after="0" w:line="26"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w:t>
      </w:r>
    </w:p>
    <w:p>
      <w:pPr>
        <w:sectPr>
          <w:pgSz w:w="11900" w:h="16838" w:orient="portrait"/>
          <w:cols w:equalWidth="0" w:num="1">
            <w:col w:w="11100"/>
          </w:cols>
          <w:pgMar w:left="360" w:top="112" w:right="43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77" w:lineRule="auto"/>
        <w:rPr>
          <w:sz w:val="20"/>
          <w:szCs w:val="20"/>
          <w:color w:val="auto"/>
        </w:rPr>
      </w:pPr>
      <w:r>
        <w:rPr>
          <w:rFonts w:ascii="Courier New" w:cs="Courier New" w:eastAsia="Courier New" w:hAnsi="Courier New"/>
          <w:sz w:val="16"/>
          <w:szCs w:val="16"/>
          <w:color w:val="auto"/>
        </w:rPr>
        <w:t>KNOW ALL PERSONS BY THESE PRESENTS that THE GOLDMAN SACHS GROUP, INC. (the "Company") does hereby make, constitute and appoint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298"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91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Veronica Mupazviriwo, Elizabeth Novak and Sam Prashanth on July 29,2024.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Attorney-in-Fact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ind w:right="1819"/>
        <w:spacing w:after="0" w:line="281" w:lineRule="auto"/>
        <w:rPr>
          <w:sz w:val="20"/>
          <w:szCs w:val="20"/>
          <w:color w:val="auto"/>
        </w:rPr>
      </w:pPr>
      <w:r>
        <w:rPr>
          <w:rFonts w:ascii="Courier New" w:cs="Courier New" w:eastAsia="Courier New" w:hAnsi="Courier New"/>
          <w:sz w:val="16"/>
          <w:szCs w:val="16"/>
          <w:color w:val="auto"/>
        </w:rPr>
        <w:t>KNOW ALL PERSONS BY THESE PRESENTS that GOLDMAN SACHS &amp; CO. LLC (the "Company") does hereby make, constitute and appoint each Sadhiya Raffique, Santosh Vinayagamoorthy, D Guru Prasad, Tobi Amusan, Akash Keshari, Papa Lette, Andrzej Szyszka, Rahail Patel, Taiki Misu, Regina Chan, Mariana Audeves Martinez, Asheesh Bajaj, Abhilasha Bareja, Veronica Mupazviriwo, Sam Prashanth, Ameen Soetan, Abhishek Vishwanathan, Elizabeth Novak and Matthew Pomfret, acting individually, its true and lawful attorney, to execute and deliver in its name and on its behalf, whether the Company is acting individually or as representative of others, any and all filings required to be made by the Company pursuant to Rule 13f-1or Regulation 13D-G under the Securities Exchange Act of 1934, (as amended, the "Act"), which may be required of the Company with respect to securities which may be deemed to be beneficially owned by the Company under the Act, giving and granting unto each said Attorney-in-fact</w:t>
      </w:r>
    </w:p>
    <w:p>
      <w:pPr>
        <w:sectPr>
          <w:pgSz w:w="11900" w:h="16838" w:orient="portrait"/>
          <w:cols w:equalWidth="0" w:num="1">
            <w:col w:w="10139"/>
          </w:cols>
          <w:pgMar w:left="320" w:top="110" w:right="1440" w:bottom="0" w:gutter="0" w:footer="0" w:header="0"/>
        </w:sectPr>
      </w:pPr>
    </w:p>
    <w:bookmarkStart w:id="6" w:name="page7"/>
    <w:bookmarkEnd w:id="6"/>
    <w:p>
      <w:pPr>
        <w:ind w:right="1819"/>
        <w:spacing w:after="0" w:line="274" w:lineRule="auto"/>
        <w:rPr>
          <w:sz w:val="20"/>
          <w:szCs w:val="20"/>
          <w:color w:val="auto"/>
        </w:rPr>
      </w:pPr>
      <w:r>
        <w:rPr>
          <w:rFonts w:ascii="Courier New" w:cs="Courier New" w:eastAsia="Courier New" w:hAnsi="Courier New"/>
          <w:sz w:val="18"/>
          <w:szCs w:val="18"/>
          <w:color w:val="auto"/>
        </w:rPr>
        <w:t>power and authority to act in the premises as fully and to all intents and purposes as the Company might or could do if personally present by one of its authorized signatories, hereby ratifying and confirming all that said Attorney-in-fact shall lawfully do or cause to be done by virtue hereof.</w:t>
      </w:r>
    </w:p>
    <w:p>
      <w:pPr>
        <w:spacing w:after="0" w:line="81" w:lineRule="exact"/>
        <w:rPr>
          <w:sz w:val="20"/>
          <w:szCs w:val="20"/>
          <w:color w:val="auto"/>
        </w:rPr>
      </w:pPr>
    </w:p>
    <w:p>
      <w:pPr>
        <w:ind w:right="1819"/>
        <w:spacing w:after="0" w:line="251" w:lineRule="auto"/>
        <w:rPr>
          <w:sz w:val="20"/>
          <w:szCs w:val="20"/>
          <w:color w:val="auto"/>
        </w:rPr>
      </w:pPr>
      <w:r>
        <w:rPr>
          <w:rFonts w:ascii="Courier New" w:cs="Courier New" w:eastAsia="Courier New" w:hAnsi="Courier New"/>
          <w:sz w:val="18"/>
          <w:szCs w:val="18"/>
          <w:color w:val="auto"/>
        </w:rPr>
        <w:t>THIS POWER OF ATTORNEY shall remain in full force and effect until July 16, 2026 unless earlier revoked by written instrument, or in the event an Attorney-in-fact ceases to be an employee of The Goldman Sachs Group, Inc. or one of its affiliates or ceases to perform the function in connection with which he or she was appointed Attorney-in-fact prior to July 16, 2026, this Power of Attorney shall cease to have effect in relation to such Attorney-in-fact upon such cessation but shall continue in full force and effect in relation to the remaining Attorneys-in-fact. The Company has the unrestricted right unilaterally to revoke the Power of Attorney.</w:t>
      </w:r>
    </w:p>
    <w:p>
      <w:pPr>
        <w:spacing w:after="0" w:line="106" w:lineRule="exact"/>
        <w:rPr>
          <w:sz w:val="20"/>
          <w:szCs w:val="20"/>
          <w:color w:val="auto"/>
        </w:rPr>
      </w:pPr>
    </w:p>
    <w:p>
      <w:pPr>
        <w:ind w:right="1819"/>
        <w:spacing w:after="0" w:line="402" w:lineRule="auto"/>
        <w:rPr>
          <w:sz w:val="20"/>
          <w:szCs w:val="20"/>
          <w:color w:val="auto"/>
        </w:rPr>
      </w:pPr>
      <w:r>
        <w:rPr>
          <w:rFonts w:ascii="Courier New" w:cs="Courier New" w:eastAsia="Courier New" w:hAnsi="Courier New"/>
          <w:sz w:val="16"/>
          <w:szCs w:val="16"/>
          <w:color w:val="auto"/>
        </w:rPr>
        <w:t>This Power of Attorney shall be governed by, and construed in accordance with, the laws of the State of New York, without regard to rules of conflicts of law.</w:t>
      </w:r>
    </w:p>
    <w:p>
      <w:pPr>
        <w:ind w:right="1699"/>
        <w:spacing w:after="0" w:line="265" w:lineRule="auto"/>
        <w:rPr>
          <w:sz w:val="20"/>
          <w:szCs w:val="20"/>
          <w:color w:val="auto"/>
        </w:rPr>
      </w:pPr>
      <w:r>
        <w:rPr>
          <w:rFonts w:ascii="Courier New" w:cs="Courier New" w:eastAsia="Courier New" w:hAnsi="Courier New"/>
          <w:sz w:val="18"/>
          <w:szCs w:val="18"/>
          <w:color w:val="auto"/>
        </w:rPr>
        <w:t>This Power of Attorney supersedes the Power of Attorney granted by the Company to Papa Lette, Akash Keshari, Regina Chan, Andrzej Szyszka, Ameen Soetan, Rahail Patel, Santosh Vinayagamoorthy, Sadhiya Raffique, Matthew Pomfret, Abhishek Vishwanathan, Mariana Audeves Martinez, Veronica Mupazviriwo, Elizabeth Novak and Sam Prashanth on October 1, 2024.</w:t>
      </w:r>
    </w:p>
    <w:p>
      <w:pPr>
        <w:spacing w:after="0" w:line="89" w:lineRule="exact"/>
        <w:rPr>
          <w:sz w:val="20"/>
          <w:szCs w:val="20"/>
          <w:color w:val="auto"/>
        </w:rPr>
      </w:pPr>
    </w:p>
    <w:p>
      <w:pPr>
        <w:ind w:right="2119"/>
        <w:spacing w:after="0" w:line="346" w:lineRule="auto"/>
        <w:rPr>
          <w:sz w:val="20"/>
          <w:szCs w:val="20"/>
          <w:color w:val="auto"/>
        </w:rPr>
      </w:pPr>
      <w:r>
        <w:rPr>
          <w:rFonts w:ascii="Courier New" w:cs="Courier New" w:eastAsia="Courier New" w:hAnsi="Courier New"/>
          <w:sz w:val="18"/>
          <w:szCs w:val="18"/>
          <w:color w:val="auto"/>
        </w:rPr>
        <w:t>IN WITNESS WHEREOF, the undersigned has duly subscribed these presents as of July 16, 2025.</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GOLDMAN SACHS &amp; CO. LLC</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Carey Ziegler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w:t>
      </w:r>
    </w:p>
    <w:p>
      <w:pPr>
        <w:spacing w:after="0" w:line="238" w:lineRule="auto"/>
        <w:rPr>
          <w:sz w:val="20"/>
          <w:szCs w:val="20"/>
          <w:color w:val="auto"/>
        </w:rPr>
      </w:pPr>
      <w:r>
        <w:rPr>
          <w:rFonts w:ascii="Courier New" w:cs="Courier New" w:eastAsia="Courier New" w:hAnsi="Courier New"/>
          <w:sz w:val="18"/>
          <w:szCs w:val="18"/>
          <w:color w:val="auto"/>
        </w:rPr>
        <w:t>Name: Carey Ziegler</w:t>
      </w:r>
    </w:p>
    <w:p>
      <w:pPr>
        <w:spacing w:after="0"/>
        <w:rPr>
          <w:sz w:val="20"/>
          <w:szCs w:val="20"/>
          <w:color w:val="auto"/>
        </w:rPr>
      </w:pPr>
      <w:r>
        <w:rPr>
          <w:rFonts w:ascii="Courier New" w:cs="Courier New" w:eastAsia="Courier New" w:hAnsi="Courier New"/>
          <w:sz w:val="18"/>
          <w:szCs w:val="18"/>
          <w:color w:val="auto"/>
        </w:rPr>
        <w:t>Title: Managing Director</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2026-05-08T12:34:27Z</dcterms:created>
  <dcterms:modified xsi:type="dcterms:W3CDTF">2026-05-08T12:34:27Z</dcterms:modified>
</cp:coreProperties>
</file>