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GigCapital7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001-42262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98-1790710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1731 Embarcadero Rd., Suite 200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GIGGU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and 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GIG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Redeemable warrants, each full warrant exercisable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GIGGW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one Class A ordinary share at an exercise price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GigCapital7 Corp., a Cayman Islands exempted company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color w:val="auto"/>
        </w:rPr>
        <w:t>”), previously disclosed in its Current Report on Form 8-K filed with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September 29, 2025, GigCapital7 entered into a Business Combination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dated as of September 27, 2025, as amended, by and among GigCapital7, MMR Merger Sub, Inc.,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and a direct wholly owned subsidiary of GigCapital7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Hadron Energy, Inc., a Delaware corporation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among other things and subject to the terms and conditions contained therein, GigCapital7 will redomicile from the 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Delaware, and Target will merge with and into Merger Sub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with Merger Sub continuing as the surviving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closing of the Business Combination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GigCapital7 will be renamed “Hadron Energy, Inc.” (“</w:t>
      </w:r>
      <w:r>
        <w:rPr>
          <w:rFonts w:ascii="Times New Roman" w:cs="Times New Roman" w:eastAsia="Times New Roman" w:hAnsi="Times New Roman"/>
          <w:sz w:val="18"/>
          <w:szCs w:val="18"/>
          <w:b w:val="1"/>
          <w:bCs w:val="1"/>
          <w:i w:val="1"/>
          <w:iCs w:val="1"/>
          <w:color w:val="auto"/>
        </w:rPr>
        <w:t>Hadron</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Non-Redemption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GigCapital7 previously disclosed in its Current Report on Form 8-K filed with the SEC on May 1, 2026, GigCapital7 entered into separate agreements (each a “</w:t>
      </w:r>
      <w:r>
        <w:rPr>
          <w:rFonts w:ascii="Times New Roman" w:cs="Times New Roman" w:eastAsia="Times New Roman" w:hAnsi="Times New Roman"/>
          <w:sz w:val="18"/>
          <w:szCs w:val="18"/>
          <w:b w:val="1"/>
          <w:bCs w:val="1"/>
          <w:i w:val="1"/>
          <w:iCs w:val="1"/>
          <w:color w:val="auto"/>
        </w:rPr>
        <w:t>Non-Redemption Agreement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i w:val="1"/>
          <w:iCs w:val="1"/>
          <w:color w:val="auto"/>
        </w:rPr>
        <w:t>Non-Redemption Agreements</w:t>
      </w:r>
      <w:r>
        <w:rPr>
          <w:rFonts w:ascii="Times New Roman" w:cs="Times New Roman" w:eastAsia="Times New Roman" w:hAnsi="Times New Roman"/>
          <w:sz w:val="18"/>
          <w:szCs w:val="18"/>
          <w:color w:val="auto"/>
        </w:rPr>
        <w:t>”) with certain of the stockholders of GigCapital7 (each, individually, a “</w:t>
      </w:r>
      <w:r>
        <w:rPr>
          <w:rFonts w:ascii="Times New Roman" w:cs="Times New Roman" w:eastAsia="Times New Roman" w:hAnsi="Times New Roman"/>
          <w:sz w:val="18"/>
          <w:szCs w:val="18"/>
          <w:b w:val="1"/>
          <w:bCs w:val="1"/>
          <w:i w:val="1"/>
          <w:iCs w:val="1"/>
          <w:color w:val="auto"/>
        </w:rPr>
        <w:t>Public Stockholder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i w:val="1"/>
          <w:iCs w:val="1"/>
          <w:color w:val="auto"/>
        </w:rPr>
        <w:t>Public Stockholders</w:t>
      </w:r>
      <w:r>
        <w:rPr>
          <w:rFonts w:ascii="Times New Roman" w:cs="Times New Roman" w:eastAsia="Times New Roman" w:hAnsi="Times New Roman"/>
          <w:sz w:val="18"/>
          <w:szCs w:val="18"/>
          <w:color w:val="auto"/>
        </w:rPr>
        <w:t>”) eligible to redeem their respective Class A ordinary shares, par value $0.0001 per share, of GigCapital7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at the upcoming extraordinary general meeting of the shareholders of GigCapital7 scheduled for May 7, 2026 (the “</w:t>
      </w:r>
      <w:r>
        <w:rPr>
          <w:rFonts w:ascii="Times New Roman" w:cs="Times New Roman" w:eastAsia="Times New Roman" w:hAnsi="Times New Roman"/>
          <w:sz w:val="18"/>
          <w:szCs w:val="18"/>
          <w:b w:val="1"/>
          <w:bCs w:val="1"/>
          <w:i w:val="1"/>
          <w:iCs w:val="1"/>
          <w:color w:val="auto"/>
        </w:rPr>
        <w:t>Extraordinary Meeting</w:t>
      </w:r>
      <w:r>
        <w:rPr>
          <w:rFonts w:ascii="Times New Roman" w:cs="Times New Roman" w:eastAsia="Times New Roman" w:hAnsi="Times New Roman"/>
          <w:sz w:val="18"/>
          <w:szCs w:val="18"/>
          <w:color w:val="auto"/>
        </w:rPr>
        <w:t>”) to approve the Business Combination, for such Public Stockholders to not redeem 1,800,000 Class A Ordinary Shares. On May 6, 2026, GigCapital7 entered into additional Non-Redemption Agreements with additional Public Stockholders for such additional Public Stockholders to not redeem an additional 200,000 Class A Ordinary Shares. Capitalized terms used herein but not otherwise defined shall have the meanings ascribed to such terms in the Non-Redemption Agreements. Any reference herein to the “Non-Redemption Agreement” is to be treated as a reference to each Public Stockholder’s separate agreement and should be construed accordingly and any action taken by a Public Stockholder should be construed as an action under its own respective agreement.</w:t>
      </w:r>
    </w:p>
    <w:p>
      <w:pPr>
        <w:spacing w:after="0" w:line="19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the Public Stockholders that have entered into the Non-Redemption Agreements have agreed not to exercise redemption rights with respect to their respective Class A Ordinary Shares in connection with the Business Combination, and to waive all redemption rights with respect to the aggregate number of 200,000 Class A Ordinary Shares (the “</w:t>
      </w:r>
      <w:r>
        <w:rPr>
          <w:rFonts w:ascii="Times New Roman" w:cs="Times New Roman" w:eastAsia="Times New Roman" w:hAnsi="Times New Roman"/>
          <w:sz w:val="18"/>
          <w:szCs w:val="18"/>
          <w:b w:val="1"/>
          <w:bCs w:val="1"/>
          <w:i w:val="1"/>
          <w:iCs w:val="1"/>
          <w:color w:val="auto"/>
        </w:rPr>
        <w:t>Non-Redemption Shares</w:t>
      </w:r>
      <w:r>
        <w:rPr>
          <w:rFonts w:ascii="Times New Roman" w:cs="Times New Roman" w:eastAsia="Times New Roman" w:hAnsi="Times New Roman"/>
          <w:sz w:val="18"/>
          <w:szCs w:val="18"/>
          <w:color w:val="auto"/>
        </w:rPr>
        <w:t>”), provided that no Public Stockholder is required to hold a number of Class A Ordinary Shares representing in excess of 9.99% of the total number of Class A Ordinary Shares outstanding. The Non-Redemption Shares held by the Public Stockholders will not be subject to any other transfer restrictions than those described in the Non-Redemption Agreements. The Public Stockholders will have no obligation to hold the Non-Redemption Shares beyond the Redemption Deadline, after which such shares will be freely tradeable without restrictive legends.</w:t>
      </w:r>
    </w:p>
    <w:p>
      <w:pPr>
        <w:spacing w:after="0" w:line="18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color w:val="auto"/>
        </w:rPr>
        <w:t>In the event that GigCapital7 enters one or more other non-redemption agreements in connection with the Business Combination (“</w:t>
      </w:r>
      <w:r>
        <w:rPr>
          <w:rFonts w:ascii="Times New Roman" w:cs="Times New Roman" w:eastAsia="Times New Roman" w:hAnsi="Times New Roman"/>
          <w:sz w:val="17"/>
          <w:szCs w:val="17"/>
          <w:b w:val="1"/>
          <w:bCs w:val="1"/>
          <w:i w:val="1"/>
          <w:iCs w:val="1"/>
          <w:color w:val="auto"/>
        </w:rPr>
        <w:t>Other Agreements</w:t>
      </w:r>
      <w:r>
        <w:rPr>
          <w:rFonts w:ascii="Times New Roman" w:cs="Times New Roman" w:eastAsia="Times New Roman" w:hAnsi="Times New Roman"/>
          <w:sz w:val="17"/>
          <w:szCs w:val="17"/>
          <w:color w:val="auto"/>
        </w:rPr>
        <w:t>”), GigCapital7 has agreed that the terms of such Other Agreements will not be materially more favorable to such other investors than the terms of</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Non-Redemption Agreements are in respect of the Public Stockholders. In the event that another third party is afforded any such more favorable terms than the Public Stockholders, GigCapital7 has agreed to promptly inform the Public Stockholders of such more favorable terms in writing, and the Public Stockholders will then have the right to elect to have such more favorable terms included in each Public Stockholder’s respective Non-Redemption Agreement.</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provides a summary of the form of the Non-Redemption Agreement, the description of which does not purport to be complete and is qualified in its entirety by the terms and conditions of such agreement. A copy of the form of Non-Redemption Agreement is filed as Exhibit 10.1 to the Current Report on Form 8-K filed with the SEC on May 1, 2026, and is incorporated herein by reference.</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Forward Purchase Agreement</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connection with the Business Combination, on May 6, 2026, GigCapital7 and Target entered into a forward stock purchase agreement (the “</w:t>
      </w:r>
      <w:r>
        <w:rPr>
          <w:rFonts w:ascii="Times New Roman" w:cs="Times New Roman" w:eastAsia="Times New Roman" w:hAnsi="Times New Roman"/>
          <w:sz w:val="18"/>
          <w:szCs w:val="18"/>
          <w:b w:val="1"/>
          <w:bCs w:val="1"/>
          <w:i w:val="1"/>
          <w:iCs w:val="1"/>
          <w:color w:val="auto"/>
        </w:rPr>
        <w:t>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with certain investors (together, the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for an OTC Equity Prepaid Forward Transaction. For purposes of the Forward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Agreement, “Counterparty” refers to GigCapital7 prior to the consummation of the Business Combination, and Hadron after the consummation of the Business Combination. Capitalized terms used herein but not defined shall have the meanings ascribed to them in the Forward Purchase Agreement.</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terms of the Forward Purchase Agreement, the Number of Shares subject to the Forward Purchase Agreement will be specified in one or more Pricing Date Notices, but in no event more than a maximum of 546,219 Class A Ordinary Shares (the “</w:t>
      </w:r>
      <w:r>
        <w:rPr>
          <w:rFonts w:ascii="Times New Roman" w:cs="Times New Roman" w:eastAsia="Times New Roman" w:hAnsi="Times New Roman"/>
          <w:sz w:val="18"/>
          <w:szCs w:val="18"/>
          <w:b w:val="1"/>
          <w:bCs w:val="1"/>
          <w:i w:val="1"/>
          <w:iCs w:val="1"/>
          <w:color w:val="auto"/>
        </w:rPr>
        <w:t>Maximum Number of Shares</w:t>
      </w:r>
      <w:r>
        <w:rPr>
          <w:rFonts w:ascii="Times New Roman" w:cs="Times New Roman" w:eastAsia="Times New Roman" w:hAnsi="Times New Roman"/>
          <w:sz w:val="18"/>
          <w:szCs w:val="18"/>
          <w:color w:val="auto"/>
        </w:rPr>
        <w:t>”), which are Shares owned and held by Seller on the day prior to the Closing Date (and which are not subject to redemption in connection with the closing of the Business Combination). The Number of Shares is subject to reduction following an early termination of the Forward Purchase Agreement with respect to such shares as described under “Early Termination” in the Forward Purchase Agreement.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Prior to the earlier of the Maturity Date or such date as which Seller no longer holds any Remaining Shares, Seller may not sell or otherwise transfer, loan, hedge or dispose of any of the Shares or any other shares or securities of the Counterparty, except that Seller may make sales or dispositions of the Shares at a price that is at least $12.00 per Share.</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Forward Purchase Agreement provides that Seller will be paid an aggregate cash amount (the “</w:t>
      </w:r>
      <w:r>
        <w:rPr>
          <w:rFonts w:ascii="Times New Roman" w:cs="Times New Roman" w:eastAsia="Times New Roman" w:hAnsi="Times New Roman"/>
          <w:sz w:val="18"/>
          <w:szCs w:val="18"/>
          <w:b w:val="1"/>
          <w:bCs w:val="1"/>
          <w:i w:val="1"/>
          <w:iCs w:val="1"/>
          <w:color w:val="auto"/>
        </w:rPr>
        <w:t>Prepayment Amount</w:t>
      </w:r>
      <w:r>
        <w:rPr>
          <w:rFonts w:ascii="Times New Roman" w:cs="Times New Roman" w:eastAsia="Times New Roman" w:hAnsi="Times New Roman"/>
          <w:sz w:val="18"/>
          <w:szCs w:val="18"/>
          <w:color w:val="auto"/>
        </w:rPr>
        <w:t>”) equal to the product of (i) the Number of Shares as set forth in each Pricing Date Notice and (ii) the Initial Price, which equals the redemption price per share as defined in the Certificate of Incorporation of GigCapital7 upon the occurrence of its redomiciliation from the Cayman Islands to Delaware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The Counterparty will pay to the Seller the Prepayment Amount from the Counterparty’s Trust Account maintained by Continental Stock Transfer &amp; Trust Company holding the net proceeds of the sale of the units in the Counterparty’s initial public offering and the sale of shares of private placement Class B ordinary shares and private placement warrants (the “</w:t>
      </w:r>
      <w:r>
        <w:rPr>
          <w:rFonts w:ascii="Times New Roman" w:cs="Times New Roman" w:eastAsia="Times New Roman" w:hAnsi="Times New Roman"/>
          <w:sz w:val="17"/>
          <w:szCs w:val="17"/>
          <w:b w:val="1"/>
          <w:bCs w:val="1"/>
          <w:i w:val="1"/>
          <w:iCs w:val="1"/>
          <w:color w:val="auto"/>
        </w:rPr>
        <w:t>Trust Account</w:t>
      </w:r>
      <w:r>
        <w:rPr>
          <w:rFonts w:ascii="Times New Roman" w:cs="Times New Roman" w:eastAsia="Times New Roman" w:hAnsi="Times New Roman"/>
          <w:sz w:val="17"/>
          <w:szCs w:val="17"/>
          <w:color w:val="auto"/>
        </w:rPr>
        <w:t>”), no later than the earlier of (a) one business day after the Closing Date and (b) the date any assets from the Trust Account are disbursed in connection with the Business Combination (such date, the “</w:t>
      </w:r>
      <w:r>
        <w:rPr>
          <w:rFonts w:ascii="Times New Roman" w:cs="Times New Roman" w:eastAsia="Times New Roman" w:hAnsi="Times New Roman"/>
          <w:sz w:val="17"/>
          <w:szCs w:val="17"/>
          <w:b w:val="1"/>
          <w:bCs w:val="1"/>
          <w:i w:val="1"/>
          <w:iCs w:val="1"/>
          <w:color w:val="auto"/>
        </w:rPr>
        <w:t>Prepayment Date</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Forward Purchase Agreement provides for physical settlement. On the Maturity Date, which is the date that is six months following the Closing Date, in exchange for the return to the Counterparty of the Remaining Shares (the Number of Shares less any Terminated Shares (as defined below)), the Counterparty shall pay the Seller an amount equal to the product of (x) the number of Remaining Shares and (y) the Initial Price (the “</w:t>
      </w:r>
      <w:r>
        <w:rPr>
          <w:rFonts w:ascii="Times New Roman" w:cs="Times New Roman" w:eastAsia="Times New Roman" w:hAnsi="Times New Roman"/>
          <w:sz w:val="18"/>
          <w:szCs w:val="18"/>
          <w:b w:val="1"/>
          <w:bCs w:val="1"/>
          <w:i w:val="1"/>
          <w:iCs w:val="1"/>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 which Settlement Amount shall be fully offset by the Prepayment Amount previously paid in respect of such Remaining Shares.</w:t>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From time to time and on any date following the Closing Date (any such date, an “</w:t>
      </w:r>
      <w:r>
        <w:rPr>
          <w:rFonts w:ascii="Times New Roman" w:cs="Times New Roman" w:eastAsia="Times New Roman" w:hAnsi="Times New Roman"/>
          <w:sz w:val="18"/>
          <w:szCs w:val="18"/>
          <w:b w:val="1"/>
          <w:bCs w:val="1"/>
          <w:i w:val="1"/>
          <w:iCs w:val="1"/>
          <w:color w:val="auto"/>
        </w:rPr>
        <w:t>ET Date</w:t>
      </w:r>
      <w:r>
        <w:rPr>
          <w:rFonts w:ascii="Times New Roman" w:cs="Times New Roman" w:eastAsia="Times New Roman" w:hAnsi="Times New Roman"/>
          <w:sz w:val="18"/>
          <w:szCs w:val="18"/>
          <w:color w:val="auto"/>
        </w:rPr>
        <w:t>”), upon the sale of any Shares, which as stated above, such sales may only occur at a price that is at least $12.00 per share (the number of such Shares, the “</w:t>
      </w:r>
      <w:r>
        <w:rPr>
          <w:rFonts w:ascii="Times New Roman" w:cs="Times New Roman" w:eastAsia="Times New Roman" w:hAnsi="Times New Roman"/>
          <w:sz w:val="18"/>
          <w:szCs w:val="18"/>
          <w:b w:val="1"/>
          <w:bCs w:val="1"/>
          <w:i w:val="1"/>
          <w:iCs w:val="1"/>
          <w:color w:val="auto"/>
        </w:rPr>
        <w:t>Terminated Shares</w:t>
      </w:r>
      <w:r>
        <w:rPr>
          <w:rFonts w:ascii="Times New Roman" w:cs="Times New Roman" w:eastAsia="Times New Roman" w:hAnsi="Times New Roman"/>
          <w:sz w:val="18"/>
          <w:szCs w:val="18"/>
          <w:color w:val="auto"/>
        </w:rPr>
        <w:t>”), the Counterparty shall be entitled to an amount from the Seller equal to the product of (x) the number of newly Terminated Shares since the last ET Date (or the Closing Date if no prior ET Date) and (y) the Termination Price, which equals the Initial Price, in respect of such ET Date (an “</w:t>
      </w:r>
      <w:r>
        <w:rPr>
          <w:rFonts w:ascii="Times New Roman" w:cs="Times New Roman" w:eastAsia="Times New Roman" w:hAnsi="Times New Roman"/>
          <w:sz w:val="18"/>
          <w:szCs w:val="18"/>
          <w:b w:val="1"/>
          <w:bCs w:val="1"/>
          <w:i w:val="1"/>
          <w:iCs w:val="1"/>
          <w:color w:val="auto"/>
        </w:rPr>
        <w:t>Early Termination Obligation</w:t>
      </w:r>
      <w:r>
        <w:rPr>
          <w:rFonts w:ascii="Times New Roman" w:cs="Times New Roman" w:eastAsia="Times New Roman" w:hAnsi="Times New Roman"/>
          <w:sz w:val="18"/>
          <w:szCs w:val="18"/>
          <w:color w:val="auto"/>
        </w:rPr>
        <w:t>”). The Seller shall pay the Early Termination Obligation to the accounts and in the amounts as directed by the Counterparty. The remainder of the Transaction, if any, shall continue in accordance with its terms.</w:t>
      </w:r>
    </w:p>
    <w:p>
      <w:pPr>
        <w:spacing w:after="0" w:line="18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Seller has agreed to waive any redemption rights under GigCapital7’s Certificate of Incorporation with respect to the Shares in connection with the Business Combination during the term of the Forward Purchase Agreement. Such waiver may reduce the number of Class A Ordinary Shares redeemed in connection with the Business Combination, and such reduction could alter the perception of the potential strength of the Business Combination.</w:t>
      </w:r>
    </w:p>
    <w:p>
      <w:pPr>
        <w:sectPr>
          <w:pgSz w:w="11900" w:h="16838" w:orient="portrait"/>
          <w:cols w:equalWidth="0" w:num="1">
            <w:col w:w="11000"/>
          </w:cols>
          <w:pgMar w:left="440" w:top="293" w:right="459" w:bottom="1440" w:gutter="0" w:footer="0" w:header="0"/>
        </w:sectPr>
      </w:pPr>
    </w:p>
    <w:bookmarkStart w:id="3" w:name="page4"/>
    <w:bookmarkEnd w:id="3"/>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Forward Purchase Agreement has been structured, and all activity in connection with such agreement has been undertaken, to comply with the requirements of all tender offer regulations applicable to the Business Combination, including Rule 14e-5 under the Securities Exchange Act of 1934, as amended.</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foregoing summary of the Forward Purchase Agreement is qualified in its entirety by reference to the text of a copy form of Forward Purchase Agreement, which is filed as Exhibit 10.2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 to the Proxy Statement</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On April 15, 2026, GigCapital7 filed its proxy statement/prospectus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for the solicitation of proxies in connection with the Extraordinary Meeting to consider and vote on the Business Combination and other matters as described in the registration statement and a prospectus relating to the offer of the securities to be issued to the stockholders of the Target in connection with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GigCapital7 has decided to supplement the Proxy Statement (the “</w:t>
      </w:r>
      <w:r>
        <w:rPr>
          <w:rFonts w:ascii="Times New Roman" w:cs="Times New Roman" w:eastAsia="Times New Roman" w:hAnsi="Times New Roman"/>
          <w:sz w:val="18"/>
          <w:szCs w:val="18"/>
          <w:b w:val="1"/>
          <w:bCs w:val="1"/>
          <w:i w:val="1"/>
          <w:iCs w:val="1"/>
          <w:color w:val="auto"/>
        </w:rPr>
        <w:t>Proxy Supplement</w:t>
      </w:r>
      <w:r>
        <w:rPr>
          <w:rFonts w:ascii="Times New Roman" w:cs="Times New Roman" w:eastAsia="Times New Roman" w:hAnsi="Times New Roman"/>
          <w:sz w:val="18"/>
          <w:szCs w:val="18"/>
          <w:color w:val="auto"/>
        </w:rPr>
        <w:t>”) to provide updated information about</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Non-Redemption Agreements and the Forward Purchase Agreement. There is no change to the date, location, the record date, redemption deadline or any of the other proposals to be acted upon at the Extraordinary Meeting.</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Shareholders who have previously submitted their proxies or otherwise voted and who do not want to change their vote need not take any action. Shareholders as of the April 15, 2026, record date can vote, even if they have subsequently sold their shares. Shareholders who wish to withdraw their previously submitted redemption requests may do so prior to the Extraordinary Meeting by requesting that the transfer agent return such shares prior to the Extraordinary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Proxy Supplement is filed herewith as Exhibit 99.1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GigCapital7 is a blank check company, also commonly referred to as a special purpose acquisition company, or SPAC, formed for the purpose of entering into a merger, capital stock exchange, asset acquisition, stock purchase reorganization or similar business combination with one or more businesses or entities. While GigCapital7’s efforts to identify a target business may span many industries, the focus of GigCapital7’s search is for prospects within the technology, media, and telecommunications, artificial intelligence and machine learning, cybersecurity, medical technology and medical equipment, semiconductor and sustainable industries. GigCapital7 was sponsored by GigAcquisitions7, LLC, which was founded by GigFounders, LLC, each a member entity of GigCapital Global, and formed for the purpose of entering into a merger, share exchange, asset acquisition, stock purchase, recapitalization, reorganization, or similar business combination with one or more businesses.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27, 2025, GigCapital7 entered into the Business Combination Agreement with Merger Sub and the Target, pursuant to the terms of which, Merger Sub will merge with and into the Target, with the Target surviving as a wholly-owned subsidiary of GigCapital7, which will be renamed as Hadron Energy,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Business Combination between GigCapital7 and the Target, GigCapital7 has filed the Proxy Statement, which includes a prospectus, with the SEC, and has commenced distribution of the Proxy Statement to GigCapital7’s shareholders in connection with GigCapital7’s solicitation of proxies for the shareholder vote in connection with the Business Combination and related transactions, and the other matters described in the Proxy Statement. GigCapital7 is mailing the Proxy Statement and other relevant documents to its shareholders as of April 15, 2026, the record date established for voting on the proposed Business Combination.</w:t>
      </w:r>
    </w:p>
    <w:p>
      <w:pPr>
        <w:sectPr>
          <w:pgSz w:w="11900" w:h="16838" w:orient="portrait"/>
          <w:cols w:equalWidth="0" w:num="1">
            <w:col w:w="11020"/>
          </w:cols>
          <w:pgMar w:left="440" w:top="297" w:right="439" w:bottom="1440" w:gutter="0" w:footer="0" w:header="0"/>
        </w:sectPr>
      </w:pPr>
    </w:p>
    <w:bookmarkStart w:id="4" w:name="page5"/>
    <w:bookmarkEnd w:id="4"/>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BEFORE MAKING ANY VOTING OR INVESTMENT DECISION, GIGCAPITAL7’S SHAREHOLDERS AND OTHER INTERESTED PARTIES ARE URGED TO READ, WHEN AVAILABLE, THE DEFINITIVE PROXY STATEMENT/FINAL PROSPECTUS AND ALL OTHER RELEVANT DOCUMENTS FILED OR THAT WILL BE FILED WITH THE SEC IN CONNECTION WITH GIGCAPITAL7’S SOLICITATION OF PROXIES FOR THE EXTRAORDINARY GENERAL MEETING OF ITS SHAREHOLDERS TO BE HELD TO APPROVE THE BUSINESS COMBINATION AGREEMENT, THE BUSINESS COMBINATION AND OTHER MATTERS AS DESCRIBED IN THE DEFINITIVE PROXY STATEMENT/FINAL PROSPECTUS BECAUSE THESE DOCUMENTS WILL CONTAIN IMPORTANT INFORMATION ABOUT GIGCAPITAL7, THE TARGET AND THE PROPOSED TRANSACTIONS. Shareholders and other interested parties may obtain a copy of these documents,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written request to GigCapital7 Corp., Attn: Corporate Secretary, 1731 Embarcadero Rd., Suite 200, Palo Alto, CA 94303.</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CURRENT REPORT. ANY REPRESENTATION TO THE CONTRARY CONSTITUTES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Target, GigCapital7 and their respective directors, executive officers, management and employees, under SEC rules, may be deemed to be participants in a solicitation of proxies of GigCapital7’s shareholders in connection with the Business Combination and related transactions.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GigCapital7’s shareholders in connection with the Business Combination is set forth in the Proxy Statement, along with information concerning the interests of the Target’s and GigCapital7’s participants in the solicitation. Such interests may in some cases be different from those of the Target’s or GigCapital7’s equity holders generally. Investors and security holders may obtain free copies of these documents as described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included in this Current Report on Form 8-K and the exhibit hereto that are not historical facts are forward-looking statements for purposes of the “safe harbor” provisions under the United States Private Securities Litigation Reform Act of 1995. Forward-looking statements generally are accompanied by words such as “may,” “could,” “would,” “should,” “expect,” “possible,” “potential,” “goal,” “opportunity,” “project,” “believe,” “future”, “designed,” “forecast,” “target,” “will,” “anticipate,” “estimate,” “continue,” “intend,” “plan,” “predict,” “seem,” “seek,” “outlook,” and, in each case, similar words and expressions, or their negative variations, and terminology that predict or indicate future events or trends or that are not statements of historical matters. Forward-looking statements generally relate to future events, including, without limitation, statements, estimates, forecasts or projections regarding the Target’s future manufacturing capacity and plant performance; market opportunity and market share; estimates and projections of adjacent energy sector opportunities; the Target’s projected commercialization costs and timeline; the Target’s ability to demonstrate scientific and engineering feasibility of its technologies; the Target’s ability to attract, retain and expand its future customer base; the Target’s ability to timely and effectively meet construction and development timelines and scale its production and manufacturing processes; the Target’s ability to develop products and services and bring them to market in a timely manner; the Target’s ability to compete successfully with energy products and solutions offered by other companies; the Target’s expectations concerning relationships with strategic partners, suppliers, governments, regulatory bodies and other third parties; the Target’s ability to maintain, protect, and enhance its intellectual property; future ventures or investments in companies or products, services, or technologies; the Target’s expectations regarding regulatory framework development; the potential for and timing of receipt of licenses and permits for current and future operations, including licenses to operate nuclear facilities from the U.S. Nuclear Regulatory Commission; the success of proposed projects for which the Target’s products would provide power, which is outside of the Target’s control; the safety profile of the Target’s technology; the execution and success of any definitive agreements related to partnerships and collaborations between the Target and third parties; the Target’s expectations with respect to</w:t>
      </w:r>
    </w:p>
    <w:p>
      <w:pPr>
        <w:sectPr>
          <w:pgSz w:w="11900" w:h="16838" w:orient="portrait"/>
          <w:cols w:equalWidth="0" w:num="1">
            <w:col w:w="11000"/>
          </w:cols>
          <w:pgMar w:left="440" w:top="297" w:right="459" w:bottom="1440" w:gutter="0" w:footer="0" w:header="0"/>
        </w:sectPr>
      </w:pPr>
    </w:p>
    <w:bookmarkStart w:id="5" w:name="page6"/>
    <w:bookmarkEnd w:id="5"/>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future performance; GigCapital7’s and the Target’s respective industries, future events, the anticipated use of the investor presentation by the Target and GigCapital7, potential financing activities by the Target, including any contemplated private placement of SAFEs, potential non-deal roadshows, and possible PIPE financing discussions, the proposed transactions between GigCapital7 and the Target, the anticipated timing and benefits of the Business Combination, the entry into agreements related to the Business Combination, the consummation of the proposed Business Combination; the estimated or anticipated future results and benefits of the combined company following the proposed transactions, including the likelihood and ability of the parties to successfully consummate the proposed transactions, future opportunities for the combined company, GigCapital7’s or the Target’s future financial or operating performance, and other statements that are not historical facts. In addition, these forward-looking statements include, without limitation, statements regarding GigCapital7’s and the Target’s expectations with respect to future performance and anticipated financial impacts of the proposed private placements, the Business Combination and other transactions, the satisfaction of the closing conditions to the Business Combination and other transactions, and the timing of the completion of the Business Combination and other transactions. Such forward-looking statements are subject to risks, uncertainties (some of which are beyond the control of the Target and/or GigCapital7), and other factors which could cause actual results to differ materially from those expressed or implied by such forward-looking statements. These forward-looking statements are based upon estimates and assumptions that, while considered reasonable by GigCapital7 and its management, and the Target and its management, as the case may be, are inherently uncertain. Factors that may cause actual results to differ materially from current expectations include, without limitation: (1) the occurrence of any event, change or other circumstances that could give rise to the termination of the proposed Business Combination or other definitive agreements in connection thereto; (2) the outcome of any legal proceedings that may be instituted against the Target, GigCapital7 or others following the announcement of the proposed Business Combination and any definitive agreements with respect thereto; (3) the inability to successfully or timely consummate the Business Combination and related transactions, including due to the failure to obtain consents and approvals of the shareholders of GigCapital7; (4) the failure to obtain financing to complete the transactions or to satisfy other conditions to closing; delays or failures to obtain necessary regulatory approvals required to complete the transactions; (5) changes to the proposed structure of the transactions as a result of applicable laws, regulations or conditions; (6) the ability of GigCapital7 to meet applicable listing standards following the consummation of the Business Combination; (7) the risk that the Business Combination disrupts current plans and operations of the Target as a result of the announcement and consummation of the Business Combination; (8) projections, estimates and forecasts of revenue and other financial and performance metrics;</w:t>
      </w:r>
    </w:p>
    <w:p>
      <w:pPr>
        <w:spacing w:after="0" w:line="8" w:lineRule="exact"/>
        <w:rPr>
          <w:sz w:val="20"/>
          <w:szCs w:val="20"/>
          <w:color w:val="auto"/>
        </w:rPr>
      </w:pPr>
    </w:p>
    <w:p>
      <w:pPr>
        <w:ind w:left="4" w:right="160" w:hanging="4"/>
        <w:spacing w:after="0" w:line="265" w:lineRule="auto"/>
        <w:tabs>
          <w:tab w:leader="none" w:pos="25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projections about industry trends and market opportunity; expectations relating to the demand for the Target’s micro modular reactor (“</w:t>
      </w:r>
      <w:r>
        <w:rPr>
          <w:rFonts w:ascii="Times New Roman" w:cs="Times New Roman" w:eastAsia="Times New Roman" w:hAnsi="Times New Roman"/>
          <w:sz w:val="17"/>
          <w:szCs w:val="17"/>
          <w:b w:val="1"/>
          <w:bCs w:val="1"/>
          <w:i w:val="1"/>
          <w:iCs w:val="1"/>
          <w:color w:val="auto"/>
        </w:rPr>
        <w:t>MMR</w:t>
      </w:r>
      <w:r>
        <w:rPr>
          <w:rFonts w:ascii="Times New Roman" w:cs="Times New Roman" w:eastAsia="Times New Roman" w:hAnsi="Times New Roman"/>
          <w:sz w:val="17"/>
          <w:szCs w:val="17"/>
          <w:color w:val="auto"/>
        </w:rPr>
        <w:t>”) technology; (10) the Target’s ability to scale and grow its business; (11) the cash position of the Target following closing of the Business Combination;</w:t>
      </w:r>
    </w:p>
    <w:p>
      <w:pPr>
        <w:ind w:left="4" w:right="60" w:hanging="4"/>
        <w:spacing w:after="0" w:line="251" w:lineRule="auto"/>
        <w:tabs>
          <w:tab w:leader="none" w:pos="3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transactions disrupt current plans and operations of the Target as a result of the announcement and consummation of the transactions; (13) the ability to recognize the anticipated benefits of the Business Combination, which may be affected by, among other things, competition, the ability of the Target to successfully commercialize its MMR, and the Target’s ability to source and maintain key relationships with management and key employees; (14) the ability of the combined company to grow and manage growth profitably, continue developing its properties, maintain relationships with customers and suppliers, and retain its management and key employees; (15) costs related to the transactions; (16) risks relating to significant legal, commercial, regulatory and technical uncertainty regarding the classification and management of nuclear energy resources, including evolving environmental standards, permitting requirements, and potential changes in applicable laws or regulations; changes in applicable laws and regulations; political and economic developments and market volatility; (17) the possibility that the Target and/or its related entities may be adversely affected by other economic, business, and/or competitive factors; (18) risks relating to the Target’s anticipated operations and business, including its focus on the development and commercialization of MMR technologies; (19) the risk that the Target does not ever enter into any definitive agreements in connection with commercialization of its technology; (20) the risk that the Target is pursuing an emerging market; (21) the amount of redemption requests made by the GigCapital7 public shareholders; (22) risks related to the future performance of the Target; (23) the potential need for financing for future operations; (24) financial, political and legal conditions; (25) increased competition in the energy industry; (26) limited supply of materials and supply chain disruptions; and (27) other risks and uncertainties set forth under “Risk Factors” and other documents filed, or to be filed, with the SEC by GigCapital7 and/or the Target, including the Registration Statement on Form S-4 that the Target and GigCapital7 filed in connection with the Business Combination, and GigCapital7’s other filings with the SEC, as well as any further risks and uncertainties contained in the Proxy Statement. In addition, there may be additional risks that neither GigCapital7 or the Target presently know, or that GigCapital7 or the Target currently believe are immaterial, that could also cause actual results to differ from those contained in the forward-looking</w:t>
      </w:r>
    </w:p>
    <w:p>
      <w:pPr>
        <w:sectPr>
          <w:pgSz w:w="11900" w:h="16838" w:orient="portrait"/>
          <w:cols w:equalWidth="0" w:num="1">
            <w:col w:w="11004"/>
          </w:cols>
          <w:pgMar w:left="436" w:top="297" w:right="459" w:bottom="1440" w:gutter="0" w:footer="0" w:header="0"/>
        </w:sectPr>
      </w:pPr>
    </w:p>
    <w:bookmarkStart w:id="6" w:name="page7"/>
    <w:bookmarkEnd w:id="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Except as may be required by law, neither GigCapital7 nor the Target undertakes any duty to update these forward-looking statements. The inclusion of any statement in this communication does not constitute an admission by GigCapital7, the Target, or any other person that the events or circumstances described in such statement are material.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Current Report will not constitute a solicitation of a proxy, consent or authorization with respect to any securities or in respect of the Business Combination. This Current Report will also not constitute an offer to sell or the solicitation of an offer to buy any securities, nor will there be any sale of securities in any states or jurisdictions in which such offer, solicitation or sale would be unlawful prior to registration or qualification under the securities laws of any such jurisdiction. No offering of securities will be made except by means of a prospectus meeting the requirements of Section 10 of the Securities Act or an exemption therefrom.</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408"/>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2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Form of Non-Redemption Agreement (incorporated by reference to Exhibit 10.1 to Current Report on Form 8-K filed with the SEC on</w:t>
              </w:r>
            </w:hyperlink>
          </w:p>
        </w:tc>
      </w:tr>
      <w:tr>
        <w:trPr>
          <w:trHeight w:val="196"/>
        </w:trPr>
        <w:tc>
          <w:tcPr>
            <w:tcW w:w="880" w:type="dxa"/>
            <w:vAlign w:val="bottom"/>
          </w:tcPr>
          <w:p>
            <w:pPr>
              <w:spacing w:after="0"/>
              <w:rPr>
                <w:sz w:val="17"/>
                <w:szCs w:val="17"/>
                <w:color w:val="auto"/>
              </w:rPr>
            </w:pPr>
          </w:p>
        </w:tc>
        <w:tc>
          <w:tcPr>
            <w:tcW w:w="9700" w:type="dxa"/>
            <w:vAlign w:val="bottom"/>
            <w:gridSpan w:val="4"/>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May 1, 2026)</w:t>
              </w:r>
            </w:hyperlink>
          </w:p>
        </w:tc>
      </w:tr>
      <w:tr>
        <w:trPr>
          <w:trHeight w:val="20"/>
        </w:trPr>
        <w:tc>
          <w:tcPr>
            <w:tcW w:w="8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Forward Stock Purchase Agreement.</w:t>
            </w:r>
          </w:p>
        </w:tc>
        <w:tc>
          <w:tcPr>
            <w:tcW w:w="642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Proxy Supplement, dated as of May 7, 2026.</w:t>
            </w:r>
          </w:p>
        </w:tc>
      </w:tr>
      <w:tr>
        <w:trPr>
          <w:trHeight w:val="20"/>
        </w:trPr>
        <w:tc>
          <w:tcPr>
            <w:tcW w:w="88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0"/>
          </w:cols>
          <w:pgMar w:left="440" w:top="297"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GIGCAPITAL7 CORP.</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Avi Katz</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52"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May 6, 2026</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GigCapital7 Corp., a Cayman Islands exempted company (“</w:t>
      </w:r>
      <w:r>
        <w:rPr>
          <w:rFonts w:ascii="Times New Roman" w:cs="Times New Roman" w:eastAsia="Times New Roman" w:hAnsi="Times New Roman"/>
          <w:sz w:val="18"/>
          <w:szCs w:val="18"/>
          <w:b w:val="1"/>
          <w:bCs w:val="1"/>
          <w:color w:val="auto"/>
        </w:rPr>
        <w:t>GIG</w:t>
      </w:r>
      <w:r>
        <w:rPr>
          <w:rFonts w:ascii="Times New Roman" w:cs="Times New Roman" w:eastAsia="Times New Roman" w:hAnsi="Times New Roman"/>
          <w:sz w:val="18"/>
          <w:szCs w:val="18"/>
          <w:color w:val="auto"/>
        </w:rPr>
        <w:t>”) and Hadron Energy, Inc., a Delaware corporation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color w:val="auto"/>
        </w:rPr>
        <w:t>1731 Embarcadero Rd., Suite 200, Palo Alto, CA 94303</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[__________________________]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OTC Equity Prepaid Forward Transaction</w:t>
      </w:r>
    </w:p>
    <w:p>
      <w:pPr>
        <w:spacing w:after="0" w:line="225" w:lineRule="exact"/>
        <w:rPr>
          <w:sz w:val="20"/>
          <w:szCs w:val="20"/>
          <w:color w:val="auto"/>
        </w:rPr>
      </w:pPr>
    </w:p>
    <w:p>
      <w:pPr>
        <w:ind w:left="4" w:right="40"/>
        <w:spacing w:after="0" w:line="269" w:lineRule="auto"/>
        <w:rPr>
          <w:sz w:val="20"/>
          <w:szCs w:val="20"/>
          <w:color w:val="auto"/>
        </w:rPr>
      </w:pPr>
      <w:r>
        <w:rPr>
          <w:rFonts w:ascii="Times New Roman" w:cs="Times New Roman" w:eastAsia="Times New Roman" w:hAnsi="Times New Roman"/>
          <w:sz w:val="17"/>
          <w:szCs w:val="17"/>
          <w:color w:val="auto"/>
        </w:rPr>
        <w:t>The purpose of this agreement (this “</w:t>
      </w:r>
      <w:r>
        <w:rPr>
          <w:rFonts w:ascii="Times New Roman" w:cs="Times New Roman" w:eastAsia="Times New Roman" w:hAnsi="Times New Roman"/>
          <w:sz w:val="17"/>
          <w:szCs w:val="17"/>
          <w:b w:val="1"/>
          <w:bCs w:val="1"/>
          <w:color w:val="auto"/>
        </w:rPr>
        <w:t>Confirmation</w:t>
      </w:r>
      <w:r>
        <w:rPr>
          <w:rFonts w:ascii="Times New Roman" w:cs="Times New Roman" w:eastAsia="Times New Roman" w:hAnsi="Times New Roman"/>
          <w:sz w:val="17"/>
          <w:szCs w:val="17"/>
          <w:color w:val="auto"/>
        </w:rPr>
        <w:t>”) is to confirm the terms and conditions of the transaction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entered into between Seller, GIG and Target on the Trade Date specified below. The term “</w:t>
      </w:r>
      <w:r>
        <w:rPr>
          <w:rFonts w:ascii="Times New Roman" w:cs="Times New Roman" w:eastAsia="Times New Roman" w:hAnsi="Times New Roman"/>
          <w:sz w:val="17"/>
          <w:szCs w:val="17"/>
          <w:b w:val="1"/>
          <w:bCs w:val="1"/>
          <w:color w:val="auto"/>
        </w:rPr>
        <w:t>Counterparty</w:t>
      </w:r>
      <w:r>
        <w:rPr>
          <w:rFonts w:ascii="Times New Roman" w:cs="Times New Roman" w:eastAsia="Times New Roman" w:hAnsi="Times New Roman"/>
          <w:sz w:val="17"/>
          <w:szCs w:val="17"/>
          <w:color w:val="auto"/>
        </w:rPr>
        <w:t>” refers to GIG until the closing of the Business Combination (as defined below), then to Hadron following the closing of the Business Combination. In connection with the transactions contemplated by the Business Combination Agreement, dated as of September 27, 2025 (as amended on December 12, 2025 and April 16, 2026, and as may be further amended, modified, supplemented or waived from time to time, the “</w:t>
      </w:r>
      <w:r>
        <w:rPr>
          <w:rFonts w:ascii="Times New Roman" w:cs="Times New Roman" w:eastAsia="Times New Roman" w:hAnsi="Times New Roman"/>
          <w:sz w:val="17"/>
          <w:szCs w:val="17"/>
          <w:b w:val="1"/>
          <w:bCs w:val="1"/>
          <w:color w:val="auto"/>
        </w:rPr>
        <w:t>BCA</w:t>
      </w:r>
      <w:r>
        <w:rPr>
          <w:rFonts w:ascii="Times New Roman" w:cs="Times New Roman" w:eastAsia="Times New Roman" w:hAnsi="Times New Roman"/>
          <w:sz w:val="17"/>
          <w:szCs w:val="17"/>
          <w:color w:val="auto"/>
        </w:rPr>
        <w:t>”), by and among GIG, MMR Merger Sub, Inc., a Delaware corporation and wholly owned subsidiary of GIG (“</w:t>
      </w:r>
      <w:r>
        <w:rPr>
          <w:rFonts w:ascii="Times New Roman" w:cs="Times New Roman" w:eastAsia="Times New Roman" w:hAnsi="Times New Roman"/>
          <w:sz w:val="17"/>
          <w:szCs w:val="17"/>
          <w:b w:val="1"/>
          <w:bCs w:val="1"/>
          <w:color w:val="auto"/>
        </w:rPr>
        <w:t>Merger Sub</w:t>
      </w:r>
      <w:r>
        <w:rPr>
          <w:rFonts w:ascii="Times New Roman" w:cs="Times New Roman" w:eastAsia="Times New Roman" w:hAnsi="Times New Roman"/>
          <w:sz w:val="17"/>
          <w:szCs w:val="17"/>
          <w:color w:val="auto"/>
        </w:rPr>
        <w:t>”) and Target (i) GIG will domesticate from the Cayman Islands to Delaware, (the “</w:t>
      </w:r>
      <w:r>
        <w:rPr>
          <w:rFonts w:ascii="Times New Roman" w:cs="Times New Roman" w:eastAsia="Times New Roman" w:hAnsi="Times New Roman"/>
          <w:sz w:val="17"/>
          <w:szCs w:val="17"/>
          <w:b w:val="1"/>
          <w:bCs w:val="1"/>
          <w:color w:val="auto"/>
        </w:rPr>
        <w:t>Domestication</w:t>
      </w:r>
      <w:r>
        <w:rPr>
          <w:rFonts w:ascii="Times New Roman" w:cs="Times New Roman" w:eastAsia="Times New Roman" w:hAnsi="Times New Roman"/>
          <w:sz w:val="17"/>
          <w:szCs w:val="17"/>
          <w:color w:val="auto"/>
        </w:rPr>
        <w:t>”), and</w:t>
      </w:r>
    </w:p>
    <w:p>
      <w:pPr>
        <w:spacing w:after="0" w:line="4" w:lineRule="exact"/>
        <w:rPr>
          <w:sz w:val="20"/>
          <w:szCs w:val="20"/>
          <w:color w:val="auto"/>
        </w:rPr>
      </w:pPr>
    </w:p>
    <w:p>
      <w:pPr>
        <w:ind w:left="4" w:right="100" w:hanging="4"/>
        <w:spacing w:after="0" w:line="255"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Domestication and as a part of the same overall transaction, Target will merger with and into Merger Sub, with Merger Sub as the surviving entity of such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Domestication and the other transactions contemplated by the BCA,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 Upon the Closing of the Merger, GIG will be renamed “Hadron Energy, Inc.” (“</w:t>
      </w:r>
      <w:r>
        <w:rPr>
          <w:rFonts w:ascii="Times New Roman" w:cs="Times New Roman" w:eastAsia="Times New Roman" w:hAnsi="Times New Roman"/>
          <w:sz w:val="18"/>
          <w:szCs w:val="18"/>
          <w:b w:val="1"/>
          <w:bCs w:val="1"/>
          <w:color w:val="auto"/>
        </w:rPr>
        <w:t>Hadron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Certain terms of the Transaction shall be as set forth in this Confirmation, with additional terms as set forth in one or more pricing date notice(s) (each, a “</w:t>
      </w:r>
      <w:r>
        <w:rPr>
          <w:rFonts w:ascii="Times New Roman" w:cs="Times New Roman" w:eastAsia="Times New Roman" w:hAnsi="Times New Roman"/>
          <w:sz w:val="18"/>
          <w:szCs w:val="18"/>
          <w:b w:val="1"/>
          <w:bCs w:val="1"/>
          <w:color w:val="auto"/>
        </w:rPr>
        <w:t>Pricing Date Notice</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This Confirmation, together with the Pricing Date Notice(s), constitutes a “Confirmation” and the Transaction constitutes a separate “Transaction” as referred to in the ISDA Form (as defined below).</w:t>
      </w:r>
    </w:p>
    <w:p>
      <w:pPr>
        <w:spacing w:after="0" w:line="176"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This Confirmation, together with the Pricing Date Notice(s), evidences a complete binding agreement between Seller, GIG and Target as to the subject matter and terms of the Transaction to which this Confirmation relates and shall supersede all prior or contemporaneous written or oral communications with respect thereto.</w:t>
      </w:r>
    </w:p>
    <w:p>
      <w:pPr>
        <w:spacing w:after="0" w:line="172"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color w:val="auto"/>
        </w:rPr>
        <w:t>The 2006 ISDA Definitions (the “</w:t>
      </w:r>
      <w:r>
        <w:rPr>
          <w:rFonts w:ascii="Times New Roman" w:cs="Times New Roman" w:eastAsia="Times New Roman" w:hAnsi="Times New Roman"/>
          <w:sz w:val="18"/>
          <w:szCs w:val="18"/>
          <w:b w:val="1"/>
          <w:bCs w:val="1"/>
          <w:color w:val="auto"/>
        </w:rPr>
        <w:t>Swap Definitions</w:t>
      </w:r>
      <w:r>
        <w:rPr>
          <w:rFonts w:ascii="Times New Roman" w:cs="Times New Roman" w:eastAsia="Times New Roman" w:hAnsi="Times New Roman"/>
          <w:sz w:val="18"/>
          <w:szCs w:val="18"/>
          <w:color w:val="auto"/>
        </w:rPr>
        <w:t>”) and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and with the Swap Definitions, the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each as published by the International Swaps and Derivatives Association, Inc., are incorporated into this Confirmation. If there is any inconsistency between the Definitions and this Confirmation, this Confirmation governs. If, in relation to the Transaction to which this Confirmation relates, there is any inconsistency between the ISDA Form, this Confirmation (including the Pricing Date Notice(s)), the Swap Definitions and the Equity Definitions, the following will prevail for purposes of such Transaction in the order of precedence indicated: (i) this Confirmation (including the Pricing Date Notice(s)); (ii) the Equity Definitions; (iii) the Swap Definitions, and (iv) the ISDA Form.</w:t>
      </w:r>
    </w:p>
    <w:p>
      <w:pPr>
        <w:spacing w:after="0" w:line="186" w:lineRule="exact"/>
        <w:rPr>
          <w:sz w:val="20"/>
          <w:szCs w:val="20"/>
          <w:color w:val="auto"/>
        </w:rPr>
      </w:pPr>
    </w:p>
    <w:p>
      <w:pPr>
        <w:jc w:val="both"/>
        <w:ind w:left="4" w:right="240"/>
        <w:spacing w:after="0" w:line="266" w:lineRule="auto"/>
        <w:rPr>
          <w:sz w:val="20"/>
          <w:szCs w:val="20"/>
          <w:color w:val="auto"/>
        </w:rPr>
      </w:pPr>
      <w:r>
        <w:rPr>
          <w:rFonts w:ascii="Times New Roman" w:cs="Times New Roman" w:eastAsia="Times New Roman" w:hAnsi="Times New Roman"/>
          <w:sz w:val="18"/>
          <w:szCs w:val="18"/>
          <w:color w:val="auto"/>
        </w:rPr>
        <w:t>This Confirmation, together with the Pricing Date Notice(s), shall supplement, form a part of, and be subject to an agreement in the form of the ISDA 2002 Master Agreement (the “</w:t>
      </w:r>
      <w:r>
        <w:rPr>
          <w:rFonts w:ascii="Times New Roman" w:cs="Times New Roman" w:eastAsia="Times New Roman" w:hAnsi="Times New Roman"/>
          <w:sz w:val="18"/>
          <w:szCs w:val="18"/>
          <w:b w:val="1"/>
          <w:bCs w:val="1"/>
          <w:color w:val="auto"/>
        </w:rPr>
        <w:t>ISDA Form</w:t>
      </w:r>
      <w:r>
        <w:rPr>
          <w:rFonts w:ascii="Times New Roman" w:cs="Times New Roman" w:eastAsia="Times New Roman" w:hAnsi="Times New Roman"/>
          <w:sz w:val="18"/>
          <w:szCs w:val="18"/>
          <w:color w:val="auto"/>
        </w:rPr>
        <w:t>”) as if Seller, Target and Counterparty had executed an agreement in such form (but without any Schedule except as set forth herein under “</w:t>
      </w:r>
      <w:r>
        <w:rPr>
          <w:rFonts w:ascii="Times New Roman" w:cs="Times New Roman" w:eastAsia="Times New Roman" w:hAnsi="Times New Roman"/>
          <w:sz w:val="18"/>
          <w:szCs w:val="18"/>
          <w:b w:val="1"/>
          <w:bCs w:val="1"/>
          <w:color w:val="auto"/>
        </w:rPr>
        <w:t>Schedule Provisions</w:t>
      </w:r>
      <w:r>
        <w:rPr>
          <w:rFonts w:ascii="Times New Roman" w:cs="Times New Roman" w:eastAsia="Times New Roman" w:hAnsi="Times New Roman"/>
          <w:sz w:val="18"/>
          <w:szCs w:val="18"/>
          <w:color w:val="auto"/>
        </w:rPr>
        <w:t>”) on the Trade Date of the Transaction.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Prior to the Trade Date, Seller and its and its affiliated entities and funds previously entered into a non-redemption agreement with GIG.</w:t>
      </w:r>
    </w:p>
    <w:p>
      <w:pPr>
        <w:sectPr>
          <w:pgSz w:w="11900" w:h="16838" w:orient="portrait"/>
          <w:cols w:equalWidth="0" w:num="1">
            <w:col w:w="11024"/>
          </w:cols>
          <w:pgMar w:left="436" w:top="117"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of the particular Transaction to which this Confirmation relates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Terms</w:t>
            </w:r>
          </w:p>
        </w:tc>
        <w:tc>
          <w:tcPr>
            <w:tcW w:w="8200" w:type="dxa"/>
            <w:vAlign w:val="bottom"/>
          </w:tcPr>
          <w:p>
            <w:pPr>
              <w:spacing w:after="0"/>
              <w:rPr>
                <w:sz w:val="17"/>
                <w:szCs w:val="17"/>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35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Transaction:</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Share Forward Transaction</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Date:</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May 6, 2026</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Pricing Date:</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As specified in a Pricing Date Notice.</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One (T+1) Settlement Cycle following the Pricing Date.</w:t>
            </w:r>
          </w:p>
        </w:tc>
      </w:tr>
      <w:tr>
        <w:trPr>
          <w:trHeight w:val="302"/>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date that is six months following the closing of the Business Combination (the date of the closing of</w:t>
            </w:r>
          </w:p>
        </w:tc>
      </w:tr>
      <w:tr>
        <w:trPr>
          <w:trHeight w:val="238"/>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Business Combination,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Price:</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Termination Price shall be equal to the Initial Price.</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Seller.</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Counterparty.</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Prior to the closing of the Business Combination, Class A ordinary shares, par value $0.0001 per share,</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GigCapital7 Corp. (Ticker: “GIG”) and, after the closing of the Business Combination, shares of the</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common stock, par value $0.0001 per share, of Hadron (Ticker: “HDRN”), owned and held by Seller on</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the day prior to the Closing Date (and which are not subject to redemption in connection with the closing</w:t>
            </w: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the Business Combination).</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number of Shares specified in a Pricing Date Notice, but in no event more than the Maximum</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Number of Shares. The Number of Shares is subject to reduction only as described under “Early</w:t>
            </w: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Termination.”</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Number of Shares:</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Initially [•] Shares.</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Remaining Shares:</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As of any date, the Number of Shares less any Terminated Shares as of such date.</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Price:</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Equals the Redemption Price, as defined in the Certificate of Incorporation of GIG upon the occurrence</w:t>
            </w:r>
          </w:p>
        </w:tc>
      </w:tr>
      <w:tr>
        <w:trPr>
          <w:trHeight w:val="212"/>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the Domestication as it is to be filed with the Secretary of State of the State of Delaware (the</w:t>
            </w:r>
          </w:p>
        </w:tc>
      </w:tr>
      <w:tr>
        <w:trPr>
          <w:trHeight w:val="238"/>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Amount:</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 cash amount equal to the product of (i) the Number of Shares as set forth in a Pricing Date Notice</w:t>
            </w: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multiplied by (ii) the Initial Price.</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Subject to Counterparty receiving a Pricing Date Notice, Counterparty will pay the Prepayment Amount</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 bank wire in immediately available funds to an account designated by Seller from the Counterparty’s</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Trust Account maintained by Continental Stock Transfer and Trust Company holding the net proceeds of</w:t>
            </w:r>
          </w:p>
        </w:tc>
      </w:tr>
      <w:tr>
        <w:trPr>
          <w:trHeight w:val="212"/>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sale of the units in Counterparty’s initial public offering and the sale of shares of private placement</w:t>
            </w:r>
          </w:p>
        </w:tc>
      </w:tr>
      <w:tr>
        <w:trPr>
          <w:trHeight w:val="220"/>
        </w:trPr>
        <w:tc>
          <w:tcPr>
            <w:tcW w:w="1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Class B ordinary stock and private placement warrants (the “</w:t>
            </w:r>
            <w:r>
              <w:rPr>
                <w:rFonts w:ascii="Times New Roman" w:cs="Times New Roman" w:eastAsia="Times New Roman" w:hAnsi="Times New Roman"/>
                <w:sz w:val="18"/>
                <w:szCs w:val="18"/>
                <w:b w:val="1"/>
                <w:bCs w:val="1"/>
                <w:color w:val="auto"/>
                <w:w w:val="99"/>
              </w:rPr>
              <w:t>Trust Account</w:t>
            </w:r>
            <w:r>
              <w:rPr>
                <w:rFonts w:ascii="Times New Roman" w:cs="Times New Roman" w:eastAsia="Times New Roman" w:hAnsi="Times New Roman"/>
                <w:sz w:val="18"/>
                <w:szCs w:val="18"/>
                <w:color w:val="auto"/>
                <w:w w:val="99"/>
              </w:rPr>
              <w:t>”), no later than the earlier of</w:t>
            </w:r>
          </w:p>
        </w:tc>
      </w:tr>
      <w:tr>
        <w:trPr>
          <w:trHeight w:val="212"/>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(a) one Local Business Day after the Closing Date and (b) the date any assets from the Trust Account are</w:t>
            </w:r>
          </w:p>
        </w:tc>
      </w:tr>
      <w:tr>
        <w:trPr>
          <w:trHeight w:val="238"/>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disbursed in connection with the Business Combination (such date, the “</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w:t>
            </w:r>
          </w:p>
        </w:tc>
      </w:tr>
      <w:tr>
        <w:trPr>
          <w:trHeight w:val="319"/>
        </w:trPr>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Counterparty shall provide notice to (i) Counterparty’s trustee of the entrance into this Confirmation no</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later than one Local Business Day following the date hereof, with copy to Seller and Seller’s outside</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legal counsel, and (ii) Seller and Seller’s outside legal counsel a final draft of the flow of funds from the</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Trust Account one Local Business Day prior to the closing of the Business Combination itemizing the</w:t>
            </w: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Prepayment Amount due to Seller.</w:t>
            </w:r>
          </w:p>
        </w:tc>
      </w:tr>
      <w:tr>
        <w:trPr>
          <w:trHeight w:val="319"/>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Exchanges and Markets:</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Nasdaq Stock Market LLC, New York Stock Exchange LLC or NYSE American LLC and the OTC</w:t>
            </w: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Markets Group LLC.</w:t>
            </w:r>
          </w:p>
        </w:tc>
      </w:tr>
      <w:tr>
        <w:trPr>
          <w:trHeight w:val="365"/>
        </w:trPr>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980"/>
          </w:cols>
          <w:pgMar w:left="440" w:top="270"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Payment Dates:</w:t>
      </w:r>
    </w:p>
    <w:p>
      <w:pPr>
        <w:spacing w:after="0" w:line="200" w:lineRule="exact"/>
        <w:rPr>
          <w:sz w:val="20"/>
          <w:szCs w:val="20"/>
          <w:color w:val="auto"/>
        </w:rPr>
      </w:pPr>
    </w:p>
    <w:p>
      <w:pPr>
        <w:spacing w:after="0" w:line="345" w:lineRule="exact"/>
        <w:rPr>
          <w:sz w:val="20"/>
          <w:szCs w:val="20"/>
          <w:color w:val="auto"/>
        </w:rPr>
      </w:pPr>
    </w:p>
    <w:p>
      <w:pPr>
        <w:ind w:right="1000"/>
        <w:spacing w:after="0" w:line="399"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Settlement Terms </w:t>
      </w:r>
      <w:r>
        <w:rPr>
          <w:rFonts w:ascii="Times New Roman" w:cs="Times New Roman" w:eastAsia="Times New Roman" w:hAnsi="Times New Roman"/>
          <w:sz w:val="17"/>
          <w:szCs w:val="17"/>
          <w:color w:val="auto"/>
        </w:rPr>
        <w:t>Settlement Method Election: Settlement Method: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Amount: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Dividend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Adjustments: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of Adjustment: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Extraordinary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Consequences of Merger Events involving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Share-for-Share: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Share-for-Other: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Share-for-Combined: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 Offer:</w:t>
      </w:r>
    </w:p>
    <w:p>
      <w:pPr>
        <w:spacing w:after="0" w:line="20" w:lineRule="exact"/>
        <w:rPr>
          <w:sz w:val="20"/>
          <w:szCs w:val="20"/>
          <w:color w:val="auto"/>
        </w:rPr>
      </w:pPr>
      <w:r>
        <w:rPr>
          <w:sz w:val="20"/>
          <w:szCs w:val="20"/>
          <w:color w:val="auto"/>
        </w:rPr>
        <w:br w:type="column"/>
      </w:r>
    </w:p>
    <w:p>
      <w:pPr>
        <w:ind w:left="9" w:right="100"/>
        <w:spacing w:after="0" w:line="282" w:lineRule="auto"/>
        <w:rPr>
          <w:sz w:val="20"/>
          <w:szCs w:val="20"/>
          <w:color w:val="auto"/>
        </w:rPr>
      </w:pPr>
      <w:r>
        <w:rPr>
          <w:rFonts w:ascii="Times New Roman" w:cs="Times New Roman" w:eastAsia="Times New Roman" w:hAnsi="Times New Roman"/>
          <w:sz w:val="18"/>
          <w:szCs w:val="18"/>
          <w:color w:val="auto"/>
        </w:rPr>
        <w:t>Following the Closing Date, the last day of each calendar quarter or, if such date is not a Local Business Day, the next following Local Business Day, until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-391160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Physical Settlement.</w:t>
      </w:r>
    </w:p>
    <w:p>
      <w:pPr>
        <w:spacing w:after="0" w:line="117" w:lineRule="exact"/>
        <w:rPr>
          <w:sz w:val="20"/>
          <w:szCs w:val="20"/>
          <w:color w:val="auto"/>
        </w:rPr>
      </w:pPr>
    </w:p>
    <w:p>
      <w:pPr>
        <w:ind w:left="9"/>
        <w:spacing w:after="0" w:line="261" w:lineRule="auto"/>
        <w:rPr>
          <w:sz w:val="20"/>
          <w:szCs w:val="20"/>
          <w:color w:val="auto"/>
        </w:rPr>
      </w:pPr>
      <w:r>
        <w:rPr>
          <w:rFonts w:ascii="Times New Roman" w:cs="Times New Roman" w:eastAsia="Times New Roman" w:hAnsi="Times New Roman"/>
          <w:sz w:val="18"/>
          <w:szCs w:val="18"/>
          <w:color w:val="auto"/>
        </w:rPr>
        <w:t>On the Maturity Date, in exchange for the return to the Counterparty of the Shares, Counterparty shall pay Seller an amount equal to the product of (x) the number of Remaining Shares and (y) the Initial Price (the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which Settlement Amount shall be fully offset by the Prepayment Amount previously paid in respect of such Remaining Shares.</w:t>
      </w:r>
    </w:p>
    <w:p>
      <w:pPr>
        <w:spacing w:after="0" w:line="7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USD.</w:t>
      </w:r>
    </w:p>
    <w:p>
      <w:pPr>
        <w:spacing w:after="0" w:line="1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Ex Amount.</w:t>
      </w:r>
    </w:p>
    <w:p>
      <w:pPr>
        <w:spacing w:after="0" w:line="11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From time to time and on any date following the Closing Date (any such date, an “</w:t>
      </w:r>
      <w:r>
        <w:rPr>
          <w:rFonts w:ascii="Times New Roman" w:cs="Times New Roman" w:eastAsia="Times New Roman" w:hAnsi="Times New Roman"/>
          <w:sz w:val="18"/>
          <w:szCs w:val="18"/>
          <w:b w:val="1"/>
          <w:bCs w:val="1"/>
          <w:color w:val="auto"/>
        </w:rPr>
        <w:t>ET Date</w:t>
      </w:r>
      <w:r>
        <w:rPr>
          <w:rFonts w:ascii="Times New Roman" w:cs="Times New Roman" w:eastAsia="Times New Roman" w:hAnsi="Times New Roman"/>
          <w:sz w:val="18"/>
          <w:szCs w:val="18"/>
          <w:color w:val="auto"/>
        </w:rPr>
        <w:t>”) and,</w:t>
      </w:r>
    </w:p>
    <w:p>
      <w:pPr>
        <w:spacing w:after="0" w:line="3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subject to the terms and conditions below, upon the sale of any Shares (the number of such Shares the</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Terminated Shares</w:t>
      </w:r>
      <w:r>
        <w:rPr>
          <w:rFonts w:ascii="Times New Roman" w:cs="Times New Roman" w:eastAsia="Times New Roman" w:hAnsi="Times New Roman"/>
          <w:sz w:val="17"/>
          <w:szCs w:val="17"/>
          <w:color w:val="auto"/>
        </w:rPr>
        <w:t>”). As of each ET Date, Counterparty shall be entitled to an amount from Seller, and</w:t>
      </w:r>
    </w:p>
    <w:p>
      <w:pPr>
        <w:spacing w:after="0" w:line="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the Seller shall pay to Counterparty an amount, equal to the product of (x) the number of newly</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Terminated Shares since the last ET Date (or the Closing Date if no prior ET Date) and (y) the</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Termination Price in respect of such ET Date (an “</w:t>
      </w:r>
      <w:r>
        <w:rPr>
          <w:rFonts w:ascii="Times New Roman" w:cs="Times New Roman" w:eastAsia="Times New Roman" w:hAnsi="Times New Roman"/>
          <w:sz w:val="18"/>
          <w:szCs w:val="18"/>
          <w:b w:val="1"/>
          <w:bCs w:val="1"/>
          <w:color w:val="auto"/>
        </w:rPr>
        <w:t>Early Termination Obligation</w:t>
      </w:r>
      <w:r>
        <w:rPr>
          <w:rFonts w:ascii="Times New Roman" w:cs="Times New Roman" w:eastAsia="Times New Roman" w:hAnsi="Times New Roman"/>
          <w:sz w:val="18"/>
          <w:szCs w:val="18"/>
          <w:color w:val="auto"/>
        </w:rPr>
        <w:t>”). Seller shall pay the</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Early Termination Obligation to the accounts and in the amounts as directed by Counterparty, and in</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connection with such payment, Seller shall deliver notice to the Counterparty reporting the sales made by</w:t>
      </w:r>
    </w:p>
    <w:p>
      <w:pPr>
        <w:spacing w:after="0" w:line="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Seller on the ET Date. The remainder of the Transaction, if any, shall continue in accordance with its</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terms. The Early Termination Obligation shall be payable by Seller on the first Local Business Day</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following the date of settlement of the applicable sale of Shares. For the avoidance of doubt, no other</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amounts as may be set forth in Sections 16.1 and 18.1 of the Swap Definitions shall be due to</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Counterparty upon an Early Termination. The payment date may be changed within a quarter at the</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mutual written agreement of the parties.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Calculation Agent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Calculation Agent Adjustment.</w:t>
      </w:r>
    </w:p>
    <w:p>
      <w:pPr>
        <w:spacing w:after="0" w:line="1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Cancellation and Payment.</w:t>
      </w:r>
    </w:p>
    <w:p>
      <w:pPr>
        <w:spacing w:after="0" w:line="1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Component Adjustment.</w:t>
      </w:r>
    </w:p>
    <w:p>
      <w:pPr>
        <w:spacing w:after="0" w:line="11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Section 12.1(d) of the Equity Definitions is hereby amended by</w:t>
      </w:r>
    </w:p>
    <w:p>
      <w:pPr>
        <w:spacing w:after="0" w:line="29" w:lineRule="exact"/>
        <w:rPr>
          <w:sz w:val="20"/>
          <w:szCs w:val="20"/>
          <w:color w:val="auto"/>
        </w:rPr>
      </w:pPr>
    </w:p>
    <w:p>
      <w:pPr>
        <w:jc w:val="both"/>
        <w:ind w:left="9" w:right="80" w:hanging="9"/>
        <w:spacing w:after="0" w:line="255" w:lineRule="auto"/>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reference therein to “10%” with “25%” and (ii) adding “, or of the outstanding Shares,” before “of the Issuer” in the fourth line thereof. Sections 12.1(e) and 12.1(l)(ii) of the Equity Definitions are hereby amended by adding “or Shares, as applicable,” after “voting Shares”.</w:t>
      </w:r>
    </w:p>
    <w:p>
      <w:pPr>
        <w:spacing w:after="0" w:line="118" w:lineRule="exact"/>
        <w:rPr>
          <w:sz w:val="20"/>
          <w:szCs w:val="20"/>
          <w:color w:val="auto"/>
        </w:rPr>
      </w:pPr>
    </w:p>
    <w:p>
      <w:pPr>
        <w:ind w:left="204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3060" w:space="351"/>
            <w:col w:w="7589"/>
          </w:cols>
          <w:pgMar w:left="440" w:top="270" w:right="4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Consequences of Tender Offers:</w:t>
            </w:r>
          </w:p>
        </w:tc>
        <w:tc>
          <w:tcPr>
            <w:tcW w:w="760" w:type="dxa"/>
            <w:vAlign w:val="bottom"/>
          </w:tcPr>
          <w:p>
            <w:pPr>
              <w:spacing w:after="0"/>
              <w:rPr>
                <w:sz w:val="17"/>
                <w:szCs w:val="17"/>
                <w:color w:val="auto"/>
              </w:rPr>
            </w:pPr>
          </w:p>
        </w:tc>
        <w:tc>
          <w:tcPr>
            <w:tcW w:w="7780" w:type="dxa"/>
            <w:vAlign w:val="bottom"/>
          </w:tcPr>
          <w:p>
            <w:pPr>
              <w:spacing w:after="0"/>
              <w:rPr>
                <w:sz w:val="17"/>
                <w:szCs w:val="17"/>
                <w:color w:val="auto"/>
              </w:rPr>
            </w:pPr>
          </w:p>
        </w:tc>
      </w:tr>
      <w:tr>
        <w:trPr>
          <w:trHeight w:val="345"/>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Share-for-Share:</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Share-for-Other:</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Share-for-Combined:</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Composition of Combined Consideration:</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0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Nationalization, Insolvency or Delisting:</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Cancellation and Payment (Calculation Agent Determination); provided that in addition to the provisions</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Section 12.6(a)(iii) of the Equity Definitions, it shall also constitute a Delisting if the Exchange is</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located in the United States and the Shares are not immediately re-listed, re-traded or re-quoted on any of</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New York Stock Exchange, the NYSE American, the Nasdaq Global Select Market, Nasdaq Capital</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Market or the Nasdaq Global Market (or their respective successors) or such other exchange or quotation</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system which, in the determination of the Calculation Agent, has liquidity comparable to the</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aforementioned exchanges; if the Shares are immediately re-listed, re-traded or re-quoted on any such</w:t>
            </w: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or quotation system, such exchange or quotation system shall be deemed to be the Exchange.</w:t>
            </w:r>
          </w:p>
        </w:tc>
      </w:tr>
      <w:tr>
        <w:trPr>
          <w:trHeight w:val="30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Combination Exclusion:</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Notwithstanding the foregoing or any other provision herein, the parties agree that neither any financing</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connection with the Business Combination nor the Business Combination shall constitute a Merger</w:t>
            </w: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Event, Tender Offer, Delisting or any other Extraordinary Event hereunder.</w:t>
            </w:r>
          </w:p>
        </w:tc>
      </w:tr>
      <w:tr>
        <w:trPr>
          <w:trHeight w:val="499"/>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Additional Disruption Events:</w:t>
            </w:r>
          </w:p>
        </w:tc>
        <w:tc>
          <w:tcPr>
            <w:tcW w:w="900" w:type="dxa"/>
            <w:vAlign w:val="bottom"/>
            <w:gridSpan w:val="2"/>
          </w:tcPr>
          <w:p>
            <w:pPr>
              <w:spacing w:after="0"/>
              <w:rPr>
                <w:sz w:val="24"/>
                <w:szCs w:val="24"/>
                <w:color w:val="auto"/>
              </w:rPr>
            </w:pPr>
          </w:p>
        </w:tc>
        <w:tc>
          <w:tcPr>
            <w:tcW w:w="7780" w:type="dxa"/>
            <w:vAlign w:val="bottom"/>
          </w:tcPr>
          <w:p>
            <w:pPr>
              <w:spacing w:after="0"/>
              <w:rPr>
                <w:sz w:val="24"/>
                <w:szCs w:val="24"/>
                <w:color w:val="auto"/>
              </w:rPr>
            </w:pPr>
          </w:p>
        </w:tc>
      </w:tr>
      <w:tr>
        <w:trPr>
          <w:trHeight w:val="32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Change in Law:</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adding the</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words “(including, for the avoidance of doubt and without limitation, adoption or promulgation of new</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regulations authorized or mandated by existing statute)” after the word “regulation” in the second line</w:t>
            </w: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thereof.</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Failure to Deliver:</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Insolvency Filing:</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Hedging Disruption:</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 Increased Cost of Hedging:</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 Loss of Stock Borrow:</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 Increased Cost of Stock Borrow:</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0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Determining Party:</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For all applicable events, Seller, unless (i) an Event of Default, Potential Event of Default or Termination</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Event has occurred and is continuing with respect to Seller, or (ii) if Seller fails to perform its obligations</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Determining Party, in which case a Third Party Dealer (as defined below) in the relevant market</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selected by Counterparty will be the Determining Party. When making any determination or calculation</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“Determining Party”, Seller shall be bound by the same obligations relating to required acts of the</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Agent as set forth in Section 1.40 of the Equity Definitions and this Confirmation as if</w:t>
            </w: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Determining Party were the Calculation Agent.</w:t>
            </w:r>
          </w:p>
        </w:tc>
      </w:tr>
      <w:tr>
        <w:trPr>
          <w:trHeight w:val="365"/>
        </w:trPr>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4</w:t>
            </w:r>
          </w:p>
        </w:tc>
      </w:tr>
    </w:tbl>
    <w:p>
      <w:pPr>
        <w:ind w:left="2240"/>
        <w:spacing w:after="0"/>
        <w:rPr>
          <w:sz w:val="20"/>
          <w:szCs w:val="20"/>
          <w:color w:val="auto"/>
        </w:rPr>
        <w:sectPr>
          <w:pgSz w:w="11900" w:h="16838" w:orient="portrait"/>
          <w:cols w:equalWidth="0" w:num="1">
            <w:col w:w="11000"/>
          </w:cols>
          <w:pgMar w:left="440" w:top="257"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Additional Provisions:</w:t>
            </w:r>
          </w:p>
        </w:tc>
        <w:tc>
          <w:tcPr>
            <w:tcW w:w="840" w:type="dxa"/>
            <w:vAlign w:val="bottom"/>
          </w:tcPr>
          <w:p>
            <w:pPr>
              <w:spacing w:after="0"/>
              <w:rPr>
                <w:sz w:val="17"/>
                <w:szCs w:val="17"/>
                <w:color w:val="auto"/>
              </w:rPr>
            </w:pPr>
          </w:p>
        </w:tc>
        <w:tc>
          <w:tcPr>
            <w:tcW w:w="8440" w:type="dxa"/>
            <w:vAlign w:val="bottom"/>
          </w:tcPr>
          <w:p>
            <w:pPr>
              <w:spacing w:after="0"/>
              <w:rPr>
                <w:sz w:val="17"/>
                <w:szCs w:val="17"/>
                <w:color w:val="auto"/>
              </w:rPr>
            </w:pPr>
          </w:p>
        </w:tc>
      </w:tr>
      <w:tr>
        <w:trPr>
          <w:trHeight w:val="32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Calculation Agent:</w:t>
            </w: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Seller, unless (i) an Event of Default, Potential Event of Default or Termination Event has occurred and</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is continuing with respect to Seller, or (ii) if Seller fails to perform its obligations as Calculation Agent,</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 which case an unaffiliated leading dealer in the relevant market selected by Counterparty in its sole</w:t>
            </w:r>
          </w:p>
        </w:tc>
      </w:tr>
      <w:tr>
        <w:trPr>
          <w:trHeight w:val="234"/>
        </w:trPr>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discretion will be the Calculation Agent.</w:t>
            </w:r>
          </w:p>
        </w:tc>
      </w:tr>
      <w:tr>
        <w:trPr>
          <w:trHeight w:val="306"/>
        </w:trPr>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 the event that a party (the “</w:t>
            </w:r>
            <w:r>
              <w:rPr>
                <w:rFonts w:ascii="Times New Roman" w:cs="Times New Roman" w:eastAsia="Times New Roman" w:hAnsi="Times New Roman"/>
                <w:sz w:val="18"/>
                <w:szCs w:val="18"/>
                <w:b w:val="1"/>
                <w:bCs w:val="1"/>
                <w:color w:val="auto"/>
              </w:rPr>
              <w:t>Disputing Party</w:t>
            </w:r>
            <w:r>
              <w:rPr>
                <w:rFonts w:ascii="Times New Roman" w:cs="Times New Roman" w:eastAsia="Times New Roman" w:hAnsi="Times New Roman"/>
                <w:sz w:val="18"/>
                <w:szCs w:val="18"/>
                <w:color w:val="auto"/>
              </w:rPr>
              <w:t>”) does not agree with any determination made (or the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failure to make any determination) by the Calculation Agent or the Determining Party, the Disputing</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Party shall have the right to require that the Calculation Agent or the Determining Party, as applicable,</w:t>
            </w:r>
          </w:p>
        </w:tc>
      </w:tr>
      <w:tr>
        <w:trPr>
          <w:trHeight w:val="212"/>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have such determination reviewed by a disinterested third party that is a dealer in derivatives of the type</w:t>
            </w:r>
          </w:p>
        </w:tc>
      </w:tr>
      <w:tr>
        <w:trPr>
          <w:trHeight w:val="220"/>
        </w:trPr>
        <w:tc>
          <w:tcPr>
            <w:tcW w:w="1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that is the subject of the dispute and that is not an Affiliate of either party (a “</w:t>
            </w:r>
            <w:r>
              <w:rPr>
                <w:rFonts w:ascii="Times New Roman" w:cs="Times New Roman" w:eastAsia="Times New Roman" w:hAnsi="Times New Roman"/>
                <w:sz w:val="18"/>
                <w:szCs w:val="18"/>
                <w:b w:val="1"/>
                <w:bCs w:val="1"/>
                <w:color w:val="auto"/>
              </w:rPr>
              <w:t>Third Party Dealer</w:t>
            </w:r>
            <w:r>
              <w:rPr>
                <w:rFonts w:ascii="Times New Roman" w:cs="Times New Roman" w:eastAsia="Times New Roman" w:hAnsi="Times New Roman"/>
                <w:sz w:val="18"/>
                <w:szCs w:val="18"/>
                <w:color w:val="auto"/>
              </w:rPr>
              <w:t>”).</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Such Third Party Dealer shall be jointly selected by the parties within one Local Business Day after the</w:t>
            </w:r>
          </w:p>
        </w:tc>
      </w:tr>
      <w:tr>
        <w:trPr>
          <w:trHeight w:val="212"/>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Disputing Party’s exercise of its rights hereunder (once selected, such Third Party Dealer shall be the</w:t>
            </w:r>
          </w:p>
        </w:tc>
      </w:tr>
      <w:tr>
        <w:trPr>
          <w:trHeight w:val="220"/>
        </w:trPr>
        <w:tc>
          <w:tcPr>
            <w:tcW w:w="1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Calculation Agent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Substitute Determining Party,</w:t>
            </w:r>
            <w:r>
              <w:rPr>
                <w:rFonts w:ascii="Times New Roman" w:cs="Times New Roman" w:eastAsia="Times New Roman" w:hAnsi="Times New Roman"/>
                <w:sz w:val="18"/>
                <w:szCs w:val="18"/>
                <w:color w:val="auto"/>
              </w:rPr>
              <w:t>” as applicable). If the parties are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unable to agree on a Substitute Calculation Agent or Substitute Determining Party, as applicable, within</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the prescribed time, each of the parties shall elect a Third Party Dealer and such two dealers shall agree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on a Third Party Dealer by the end of the subsequent Local Business Day. Such Third Party Dealer shall</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be deemed to be the Substitute Calculation Agent or Substitute Determining Party, as applicable. Any</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exercise by the Disputing Party of its rights hereunder must be in writing and shall be delivered to the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Calculation Agent or Determining Party, as applicable, not later than the third Local Business Day</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following the Local Business Day on which the Calculation Agent or Determining Party, as applicable,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notifies the Disputing Party of any determination made (or of the failure to make any determination).</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Any determination by the Substitute Calculation Agent or Substitute Determining Party, as applicable,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shall be binding in the absence of manifest error and shall be made as soon as possible but no later than</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the second Local Business Day following the Substitute Calculation Agent’s or Substitute Determining</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Party’s, appointment, as applicable. The costs of such Substitute Calculation Agent or Substitute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Determining Party, as applicable, shall be borne by (a) the Disputing Party if the Substitute Calculation</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Agent or Substitute Determining Party, as applicable, substantially agrees with the Calculation Agent or</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Determining Party, or (b) the non-Disputing Party if the Substitute Calculation Agent or Substitute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Determining Party, as applicable, does not substantially agree with the Calculation Agent or Determining</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Party, as applicable. If, after following the procedures and within the specified time frames set forth</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above, a binding determination is not achieved, the original determination of the Calculation Agent or</w:t>
            </w:r>
          </w:p>
        </w:tc>
      </w:tr>
      <w:tr>
        <w:trPr>
          <w:trHeight w:val="234"/>
        </w:trPr>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Determining Party, as applicable, shall apply.</w:t>
            </w:r>
          </w:p>
        </w:tc>
      </w:tr>
      <w:tr>
        <w:trPr>
          <w:trHeight w:val="319"/>
        </w:trPr>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Following any adjustment, determination or calculation by the Calculation Agent hereunder, upon a</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written request by Counterparty (which may be by email), the Calculation Agent will promptly (but in</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any event within five Exchange Business Days) provide to Counterparty by email to the email address</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provided by Counterparty in such written request a report (in a commonly used file format for the storage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and manipulation of financial data) displaying in reasonable detail the basis for such adjustment,</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determination or calculation (including any quotations, market data or information from internal or</w:t>
            </w:r>
          </w:p>
        </w:tc>
      </w:tr>
      <w:tr>
        <w:trPr>
          <w:trHeight w:val="234"/>
        </w:trPr>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external sources, and any assumptions used in making such</w:t>
            </w:r>
          </w:p>
        </w:tc>
      </w:tr>
      <w:tr>
        <w:trPr>
          <w:trHeight w:val="378"/>
        </w:trPr>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4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5</w:t>
            </w:r>
          </w:p>
        </w:tc>
      </w:tr>
    </w:tbl>
    <w:p>
      <w:pPr>
        <w:ind w:left="2900"/>
        <w:spacing w:after="0"/>
        <w:rPr>
          <w:sz w:val="20"/>
          <w:szCs w:val="20"/>
          <w:color w:val="auto"/>
        </w:rPr>
        <w:sectPr>
          <w:pgSz w:w="11900" w:h="16838" w:orient="portrait"/>
          <w:cols w:equalWidth="0" w:num="1">
            <w:col w:w="11000"/>
          </w:cols>
          <w:pgMar w:left="440" w:top="257"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adjustment, determination or calculation), it being understood that in no event will the Calculation Agent</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 obligated to share with Counterparty any proprietary or confidential data or information or any</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proprietary or confidential models used by it in making such adjustment, determination or calculation or</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any information that is subject to an obligation not to disclose such information. All calculations and</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determinations by the Calculation Agent shall be made in good faith and in a commercially reasonable</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manner.</w:t>
            </w: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Non-Reliance:</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30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Agreements and Acknowledgements</w:t>
            </w:r>
          </w:p>
        </w:tc>
        <w:tc>
          <w:tcPr>
            <w:tcW w:w="7980" w:type="dxa"/>
            <w:vAlign w:val="bottom"/>
          </w:tcPr>
          <w:p>
            <w:pPr>
              <w:spacing w:after="0"/>
              <w:rPr>
                <w:sz w:val="24"/>
                <w:szCs w:val="24"/>
                <w:color w:val="auto"/>
              </w:rPr>
            </w:pPr>
          </w:p>
        </w:tc>
      </w:tr>
      <w:tr>
        <w:trPr>
          <w:trHeight w:val="23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Acknowledgements:</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50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Provisions:</w:t>
            </w:r>
          </w:p>
        </w:tc>
        <w:tc>
          <w:tcPr>
            <w:tcW w:w="7980" w:type="dxa"/>
            <w:vAlign w:val="bottom"/>
          </w:tcPr>
          <w:p>
            <w:pPr>
              <w:spacing w:after="0"/>
              <w:rPr>
                <w:sz w:val="24"/>
                <w:szCs w:val="24"/>
                <w:color w:val="auto"/>
              </w:rPr>
            </w:pPr>
          </w:p>
        </w:tc>
      </w:tr>
      <w:tr>
        <w:trPr>
          <w:trHeight w:val="344"/>
        </w:trPr>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Specified Entity:</w:t>
            </w:r>
          </w:p>
        </w:tc>
        <w:tc>
          <w:tcPr>
            <w:tcW w:w="144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relation to both Seller and Counterparty for the purpose of:</w:t>
            </w:r>
          </w:p>
        </w:tc>
      </w:tr>
      <w:tr>
        <w:trPr>
          <w:trHeight w:val="306"/>
        </w:trPr>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5(a)(v), Not Applicable</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5(a)(vi), Not Applicable</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5(a)(vii), Not Applicable</w:t>
            </w: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Cross-Default:</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“Cross-Default” provisions of Section 5(a)(vi) of the ISDA Form will not apply to either party.</w:t>
            </w:r>
          </w:p>
        </w:tc>
      </w:tr>
      <w:tr>
        <w:trPr>
          <w:trHeight w:val="30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Event Upon Merger:</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The “Credit Event Upon Merger” provisions of Section 5(b)(v) of the ISDA Form will not apply to either</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party.</w:t>
            </w: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Automatic Early Termination:</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“Automatic Early Termination” of Section 6(a) of the ISDA Form will not apply to either party.</w:t>
            </w:r>
          </w:p>
        </w:tc>
      </w:tr>
      <w:tr>
        <w:trPr>
          <w:trHeight w:val="30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Events of Early Termination</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Notwithstanding anything to the contrary herein, in the Definitions or in the ISDA Form, if the Business</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Combination does not close and the Shares are redeemed pursuant to a SPAC liquidation, this</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 shall automatically terminate as of the time when redemptions are first effected without any</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amounts or other obligations being owed by either party to the other hereunder.</w:t>
            </w: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Currency:</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States Dollars.</w:t>
            </w:r>
          </w:p>
        </w:tc>
      </w:tr>
      <w:tr>
        <w:trPr>
          <w:trHeight w:val="30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Termination Events:</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Will apply to Seller. The occurrence of any of the following events, and only these events, shall</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constitute an Additional Termination Event in respect of which Seller shall be the Affected Party.</w:t>
            </w:r>
          </w:p>
        </w:tc>
      </w:tr>
      <w:tr>
        <w:trPr>
          <w:trHeight w:val="319"/>
        </w:trPr>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    The BCA is terminated pursuant to its terms prior to the closing of the Business Combination;</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and</w:t>
            </w:r>
          </w:p>
        </w:tc>
      </w:tr>
      <w:tr>
        <w:trPr>
          <w:trHeight w:val="319"/>
        </w:trPr>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    If it is, or, as a consequence of a change in law, regulation or interpretation, it becomes or will</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become, unlawful for the Seller to perform any of its obligations contemplated by the</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Transaction.</w:t>
            </w:r>
          </w:p>
        </w:tc>
      </w:tr>
      <w:tr>
        <w:trPr>
          <w:trHeight w:val="441"/>
        </w:trPr>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Notwithstanding anything to the contrary herein, in the Definitions or in the ISDA Form, if an Early</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Termination Date is designated as a result of an Additional Termination Event, then this Transaction will</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terminate as of such Early Termination Date without any amounts or other obligations being owed by</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either party to the other hereunder.</w:t>
            </w:r>
          </w:p>
        </w:tc>
      </w:tr>
      <w:tr>
        <w:trPr>
          <w:trHeight w:val="441"/>
        </w:trPr>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Notwithstanding the foregoing, Counterparty’s obligations set forth under the caption “Other Provisions</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(d) Indemnification” shall survive any termination due to the occurrence of either of the foregoing</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Additional Termination Events.</w:t>
            </w:r>
          </w:p>
        </w:tc>
      </w:tr>
      <w:tr>
        <w:trPr>
          <w:trHeight w:val="378"/>
        </w:trPr>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98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6</w:t>
            </w:r>
          </w:p>
        </w:tc>
      </w:tr>
    </w:tbl>
    <w:p>
      <w:pPr>
        <w:ind w:left="244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p>
      <w:pPr>
        <w:ind w:left="4"/>
        <w:spacing w:after="0"/>
        <w:rPr>
          <w:sz w:val="20"/>
          <w:szCs w:val="20"/>
          <w:color w:val="auto"/>
        </w:rPr>
      </w:pPr>
      <w:r>
        <w:rPr>
          <w:rFonts w:ascii="Times New Roman" w:cs="Times New Roman" w:eastAsia="Times New Roman" w:hAnsi="Times New Roman"/>
          <w:sz w:val="17"/>
          <w:szCs w:val="17"/>
          <w:color w:val="auto"/>
        </w:rPr>
        <w:t>Governing Law:</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New York law (without reference to choice of law doctrine other than Sections 5-1401 and 5-1402 of the General Obligations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-391160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704" w:space="720"/>
            <w:col w:w="7580"/>
          </w:cols>
          <w:pgMar w:left="436" w:top="270" w:right="459" w:bottom="1440" w:gutter="0" w:footer="0" w:header="0"/>
        </w:sectPr>
      </w:pPr>
    </w:p>
    <w:p>
      <w:pPr>
        <w:ind w:left="4"/>
        <w:spacing w:after="0"/>
        <w:rPr>
          <w:sz w:val="20"/>
          <w:szCs w:val="20"/>
          <w:color w:val="auto"/>
        </w:rPr>
      </w:pPr>
      <w:r>
        <w:rPr>
          <w:rFonts w:ascii="Times New Roman" w:cs="Times New Roman" w:eastAsia="Times New Roman" w:hAnsi="Times New Roman"/>
          <w:sz w:val="17"/>
          <w:szCs w:val="17"/>
          <w:color w:val="auto"/>
        </w:rPr>
        <w:t>Credit Support Provider: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With respect to Seller and Counterparty, None.</w:t>
      </w:r>
    </w:p>
    <w:p>
      <w:pPr>
        <w:spacing w:after="0" w:line="129"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Local Business Days: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Seller specifies the following places for the purposes of the definition of Local Business Day as it applies to it: New York. Counterparty specifies the following places for the purposes of the definition of Local Business Day as it applies to it: New York.</w:t>
      </w:r>
    </w:p>
    <w:p>
      <w:pPr>
        <w:spacing w:after="0" w:line="200"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spacing w:after="0" w:line="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Warranties and Covenants</w:t>
      </w:r>
    </w:p>
    <w:p>
      <w:pPr>
        <w:spacing w:after="0" w:line="135" w:lineRule="exact"/>
        <w:rPr>
          <w:sz w:val="20"/>
          <w:szCs w:val="20"/>
          <w:color w:val="auto"/>
        </w:rPr>
      </w:pPr>
    </w:p>
    <w:p>
      <w:pPr>
        <w:ind w:left="424" w:right="4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Counterparty, Target and Seller represents and warrants to, and covenants and agrees with, the other as of the date on which it enters into the Transaction that (in the absence of any written agreement between the parties that expressly imposes affirmative obligations to the contrary for the Transaction) as follows.</w:t>
      </w:r>
    </w:p>
    <w:p>
      <w:pPr>
        <w:spacing w:after="0" w:line="79" w:lineRule="exact"/>
        <w:rPr>
          <w:sz w:val="20"/>
          <w:szCs w:val="20"/>
          <w:color w:val="auto"/>
        </w:rPr>
      </w:pPr>
    </w:p>
    <w:p>
      <w:pPr>
        <w:ind w:left="424" w:hanging="424"/>
        <w:spacing w:after="0" w:line="25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Non-Reliance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acting for its own account, and it has made its own independent decisions to enter into the Transaction and as to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is appropriate or proper for it based upon its own judgment and upon advice from such advisers as it has deemed necessary. It is not relying on any communication (written or oral) of the other party as investment advice or as a recommendation to enter into the Transaction, it being understood that information and explanations related to the terms and conditions of the Transaction will not be considered investment advice or a recommendation to enter into the Transaction. No communication (written or oral) received from the other party will be deemed to be an assurance or guarantee as to the expected results of the Transaction.</w:t>
      </w:r>
    </w:p>
    <w:p>
      <w:pPr>
        <w:spacing w:after="0" w:line="87" w:lineRule="exact"/>
        <w:rPr>
          <w:rFonts w:ascii="Times New Roman" w:cs="Times New Roman" w:eastAsia="Times New Roman" w:hAnsi="Times New Roman"/>
          <w:sz w:val="18"/>
          <w:szCs w:val="18"/>
          <w:color w:val="auto"/>
        </w:rPr>
      </w:pPr>
    </w:p>
    <w:p>
      <w:pPr>
        <w:jc w:val="both"/>
        <w:ind w:left="424" w:right="120" w:hanging="424"/>
        <w:spacing w:after="0" w:line="26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Assessment and Understanding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capable of assessing the merits of and understanding (on its own behalf or through independent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advice), and understands and accepts, the terms, conditions and risks of the Transaction. It is also capable of assuming, and assumes, the risks of the Transaction.</w:t>
      </w:r>
    </w:p>
    <w:p>
      <w:pPr>
        <w:spacing w:after="0" w:line="7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Non-Public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in compliance with Section 10(b)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424" w:right="60" w:hanging="424"/>
        <w:spacing w:after="0" w:line="26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Tender Offer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Target and Seller each acknowledge that the Transaction has been structured, and all activity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has been undertaken to comply with the requirements of all tender offer regulations applicable to the Business Combination, including Rule 14e-5 under the Exchange Act.</w:t>
      </w:r>
    </w:p>
    <w:p>
      <w:pPr>
        <w:spacing w:after="0" w:line="78" w:lineRule="exact"/>
        <w:rPr>
          <w:rFonts w:ascii="Times New Roman" w:cs="Times New Roman" w:eastAsia="Times New Roman" w:hAnsi="Times New Roman"/>
          <w:sz w:val="18"/>
          <w:szCs w:val="18"/>
          <w:color w:val="auto"/>
        </w:rPr>
      </w:pPr>
    </w:p>
    <w:p>
      <w:pPr>
        <w:ind w:left="424" w:right="120" w:hanging="424"/>
        <w:spacing w:after="0" w:line="26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Authorization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including this Confirmation, has been entered into pursuant to authority granted by its board of directors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authority. It has no internal policy, whether written or oral, that would prohibit it from entering into any aspect of the Transaction, including, but not limited to, the purchase of Shares to be made in connection therewith.</w:t>
      </w:r>
    </w:p>
    <w:p>
      <w:pPr>
        <w:spacing w:after="0" w:line="78" w:lineRule="exact"/>
        <w:rPr>
          <w:rFonts w:ascii="Times New Roman" w:cs="Times New Roman" w:eastAsia="Times New Roman" w:hAnsi="Times New Roman"/>
          <w:sz w:val="18"/>
          <w:szCs w:val="18"/>
          <w:color w:val="auto"/>
        </w:rPr>
      </w:pPr>
    </w:p>
    <w:p>
      <w:pPr>
        <w:ind w:left="424" w:right="300" w:hanging="424"/>
        <w:spacing w:after="0" w:line="258"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Enforceability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including the Confirmation, when executed and delivered by each of the parties, will constitute the valid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legally binding obligation of each such party, enforceable against each of them in accordance with its terms, except (i) as limited by applicable bankruptcy, insolvency, reorganization, moratorium, fraudulent conveyance and any other laws of general application affecting enforcement of creditors’ rights generally, or (ii) as limited by laws relating to the availability of specific performance, injunctive relief or other equitable remedies.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type w:val="continuous"/>
        </w:sectPr>
      </w:pPr>
    </w:p>
    <w:bookmarkStart w:id="15" w:name="page16"/>
    <w:bookmarkEnd w:id="15"/>
    <w:p>
      <w:pPr>
        <w:ind w:left="424" w:right="40" w:hanging="424"/>
        <w:spacing w:after="0" w:line="257"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Other Instruments and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execution, delivery and performance of this Transaction, including the Confirmation,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Transaction,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any applicable federal or state statute, rule or regulation, in each case (other than clause (i)), which would have a material adverse effect on it or its ability to consummate the Transaction.</w:t>
      </w:r>
    </w:p>
    <w:p>
      <w:pPr>
        <w:spacing w:after="0" w:line="87" w:lineRule="exact"/>
        <w:rPr>
          <w:rFonts w:ascii="Times New Roman" w:cs="Times New Roman" w:eastAsia="Times New Roman" w:hAnsi="Times New Roman"/>
          <w:sz w:val="18"/>
          <w:szCs w:val="18"/>
          <w:color w:val="auto"/>
        </w:rPr>
      </w:pPr>
    </w:p>
    <w:p>
      <w:pPr>
        <w:ind w:left="424" w:right="600" w:hanging="424"/>
        <w:spacing w:after="0" w:line="267"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Affiliate Status</w:t>
      </w:r>
      <w:r>
        <w:rPr>
          <w:rFonts w:ascii="Times New Roman" w:cs="Times New Roman" w:eastAsia="Times New Roman" w:hAnsi="Times New Roman"/>
          <w:sz w:val="18"/>
          <w:szCs w:val="18"/>
          <w:color w:val="auto"/>
        </w:rPr>
        <w:t>. It is the intention of the parties hereto that Seller shall not be an “affiliate” (as such term is defined in Rule 405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of Target or Counterparty, including GIG, following the closing of the Business Combination, as a result of the transactions contemplated hereunder.</w:t>
      </w:r>
    </w:p>
    <w:p>
      <w:pPr>
        <w:spacing w:after="0" w:line="81"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to, and covenants and agrees with, Seller as of the date on which it enters into the Transaction, that:</w:t>
      </w:r>
    </w:p>
    <w:p>
      <w:pPr>
        <w:spacing w:after="0" w:line="129" w:lineRule="exact"/>
        <w:rPr>
          <w:sz w:val="20"/>
          <w:szCs w:val="20"/>
          <w:color w:val="auto"/>
        </w:rPr>
      </w:pPr>
    </w:p>
    <w:p>
      <w:pPr>
        <w:jc w:val="both"/>
        <w:ind w:left="424" w:right="100" w:hanging="424"/>
        <w:spacing w:after="0" w:line="267"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Non-Reliance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limiting the generality of Section 13.1 of the Equity Definitions, Counterparty acknowledges that Seller is not making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or warranties or taking any position or expressing any view with respect to the treatment of the Transaction under any accounting standards.</w:t>
      </w:r>
    </w:p>
    <w:p>
      <w:pPr>
        <w:spacing w:after="0" w:line="78"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Solvency</w:t>
      </w:r>
      <w:r>
        <w:rPr>
          <w:rFonts w:ascii="Times New Roman" w:cs="Times New Roman" w:eastAsia="Times New Roman" w:hAnsi="Times New Roman"/>
          <w:sz w:val="18"/>
          <w:szCs w:val="18"/>
          <w:color w:val="auto"/>
        </w:rPr>
        <w:t>. Counterparty is, and shall be as of the date of any payment or delivery by Counterparty under the Transaction, solvent and able to pay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debts as they come due, with assets having a fair value greater than liabilities and with capital sufficient to carry on the businesses in which it engages. Counterparty: (i) has not engaged in and will not engage in any business or transaction after which the property remaining with it will be unreasonably small in relation to its business, and (ii) as a result of entering into and performing its obligations under the Transaction, (a) it has not violated and will not violate any relevant state law provision applicable to the acquisition or redemption by an issuer of its own securities and</w:t>
      </w:r>
    </w:p>
    <w:p>
      <w:pPr>
        <w:ind w:left="424"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Counterparty would not be nor would it be rendered “insolvent” (as such term is defined under Section 101(32) of the Bankruptcy Code or under any other applicable local insolvency regime).</w:t>
      </w:r>
    </w:p>
    <w:p>
      <w:pPr>
        <w:spacing w:after="0" w:line="84" w:lineRule="exact"/>
        <w:rPr>
          <w:rFonts w:ascii="Times New Roman" w:cs="Times New Roman" w:eastAsia="Times New Roman" w:hAnsi="Times New Roman"/>
          <w:sz w:val="18"/>
          <w:szCs w:val="18"/>
          <w:color w:val="auto"/>
        </w:rPr>
      </w:pPr>
    </w:p>
    <w:p>
      <w:pPr>
        <w:ind w:left="424" w:right="80" w:hanging="424"/>
        <w:spacing w:after="0" w:line="258"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Public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Trade Date, Counterparty is in material compliance with its reporting obligations under the Exchange Act,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and other documents filed by Counterparty with the Securities and Exchange Commission pursuant to the Exchange Act, when considered as a whole (with the most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under which they were made, not misleading.</w:t>
      </w:r>
    </w:p>
    <w:p>
      <w:pPr>
        <w:spacing w:after="0" w:line="88" w:lineRule="exact"/>
        <w:rPr>
          <w:rFonts w:ascii="Times New Roman" w:cs="Times New Roman" w:eastAsia="Times New Roman" w:hAnsi="Times New Roman"/>
          <w:sz w:val="18"/>
          <w:szCs w:val="18"/>
          <w:color w:val="auto"/>
        </w:rPr>
      </w:pPr>
    </w:p>
    <w:p>
      <w:pPr>
        <w:ind w:left="424" w:right="200" w:hanging="424"/>
        <w:spacing w:after="0" w:line="267"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Distribution</w:t>
      </w:r>
      <w:r>
        <w:rPr>
          <w:rFonts w:ascii="Times New Roman" w:cs="Times New Roman" w:eastAsia="Times New Roman" w:hAnsi="Times New Roman"/>
          <w:sz w:val="18"/>
          <w:szCs w:val="18"/>
          <w:color w:val="auto"/>
        </w:rPr>
        <w:t>. Counterparty is not entering into the Transaction to facilitate a distribution of the Shares (or any security that may be converted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or exercised or exchanged for Shares, or whose value under its terms may in whole or in significant part be determined by the value of the Shares) or in connection with any future issuance of securities.</w:t>
      </w:r>
    </w:p>
    <w:p>
      <w:pPr>
        <w:spacing w:after="0" w:line="78" w:lineRule="exact"/>
        <w:rPr>
          <w:rFonts w:ascii="Times New Roman" w:cs="Times New Roman" w:eastAsia="Times New Roman" w:hAnsi="Times New Roman"/>
          <w:sz w:val="18"/>
          <w:szCs w:val="18"/>
          <w:color w:val="auto"/>
        </w:rPr>
      </w:pPr>
    </w:p>
    <w:p>
      <w:pPr>
        <w:ind w:left="424" w:right="60" w:hanging="424"/>
        <w:spacing w:after="0" w:line="256"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 Documents; Disclosure</w:t>
      </w:r>
      <w:r>
        <w:rPr>
          <w:rFonts w:ascii="Times New Roman" w:cs="Times New Roman" w:eastAsia="Times New Roman" w:hAnsi="Times New Roman"/>
          <w:sz w:val="18"/>
          <w:szCs w:val="18"/>
          <w:color w:val="auto"/>
        </w:rPr>
        <w:t>. Counterparty shall make all regulatory filings that it is required by law or regulation to make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The Counterparty shall comply with the Securities and Exchange Commission’s guidance, including Compliance and Disclosure Interpretation No. 166.01, for all relevant disclosure in connection with this Confirmation and the Transaction, and will not file with the Securities and Exchange Commission any Form 8-K or, Registration Statement on Form S-4, including any post-effective amendment thereof, proxy statement, or other document that includes any disclosure regarding this Confirmation or the Transaction without consulting with and reasonably considering any comments received from Seller, provided that, no consultation shall be required with respect to any subsequent disclosures that are substantially similar to prior disclosures by Counterparty that were reviewed by Seller.</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68" w:right="439" w:bottom="1440" w:gutter="0" w:footer="0" w:header="0"/>
        </w:sectPr>
      </w:pPr>
    </w:p>
    <w:bookmarkStart w:id="16" w:name="page17"/>
    <w:bookmarkEnd w:id="16"/>
    <w:p>
      <w:pPr>
        <w:ind w:left="424" w:right="20" w:hanging="424"/>
        <w:spacing w:after="0" w:line="258"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 M and Approvals</w:t>
      </w:r>
      <w:r>
        <w:rPr>
          <w:rFonts w:ascii="Times New Roman" w:cs="Times New Roman" w:eastAsia="Times New Roman" w:hAnsi="Times New Roman"/>
          <w:sz w:val="18"/>
          <w:szCs w:val="18"/>
          <w:color w:val="auto"/>
        </w:rPr>
        <w:t>. Counterparty is not on the Trade Date and agrees and covenants on behalf of itself and Target that it and Target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on any date Seller is purchasing shares that may be included in a Pricing Date Notice, engaged or engaging in a distribution, as such term is used in Regulation M under the Exchange Act, of any securities of Counterparty, other than a distribution meeting the requirements of the exception set forth in Rules 101(b)(10) and 102(b)(7) of Regulation M. Counterparty shall not and shall cause Target to not, until the second scheduled trading day immediately following dates referenced in the preceding sentence, engage in any such distribution.</w:t>
      </w:r>
    </w:p>
    <w:p>
      <w:pPr>
        <w:spacing w:after="0" w:line="88" w:lineRule="exact"/>
        <w:rPr>
          <w:rFonts w:ascii="Times New Roman" w:cs="Times New Roman" w:eastAsia="Times New Roman" w:hAnsi="Times New Roman"/>
          <w:sz w:val="18"/>
          <w:szCs w:val="18"/>
          <w:color w:val="auto"/>
        </w:rPr>
      </w:pPr>
    </w:p>
    <w:p>
      <w:pPr>
        <w:ind w:left="424" w:right="660" w:hanging="424"/>
        <w:spacing w:after="0" w:line="284"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Investment Company Act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is not and, after giving effect to the Transaction, will not be required to register as an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under, and as such term is defined in, the Investment Company Act of 1940, as amended.</w:t>
      </w:r>
    </w:p>
    <w:p>
      <w:pPr>
        <w:spacing w:after="0" w:line="66" w:lineRule="exact"/>
        <w:rPr>
          <w:sz w:val="20"/>
          <w:szCs w:val="20"/>
          <w:color w:val="auto"/>
        </w:rPr>
      </w:pPr>
    </w:p>
    <w:p>
      <w:pPr>
        <w:ind w:left="424" w:right="22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represents and warrants to, and covenants and agrees with, Counterparty and Target as of the date on which it enters into the Transaction, that:</w:t>
      </w:r>
    </w:p>
    <w:p>
      <w:pPr>
        <w:spacing w:after="0" w:line="65" w:lineRule="exact"/>
        <w:rPr>
          <w:sz w:val="20"/>
          <w:szCs w:val="20"/>
          <w:color w:val="auto"/>
        </w:rPr>
      </w:pPr>
    </w:p>
    <w:p>
      <w:pPr>
        <w:ind w:left="424" w:hanging="424"/>
        <w:spacing w:after="0" w:line="267"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Regulatory Filings</w:t>
      </w:r>
      <w:r>
        <w:rPr>
          <w:rFonts w:ascii="Times New Roman" w:cs="Times New Roman" w:eastAsia="Times New Roman" w:hAnsi="Times New Roman"/>
          <w:sz w:val="18"/>
          <w:szCs w:val="18"/>
          <w:color w:val="auto"/>
        </w:rPr>
        <w:t>. Seller will make all regulatory filings that it is required by law or regulation to make with respect to the Transaction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limitation, as may be required by Section 13 or Section 16 (if applicable) under the Exchange Act and, assuming the accuracy of Counterparty’s Repurchase Notices (as described under “Repurchase Notices” below) any sales of the Shares will be in compliance therewith.</w:t>
      </w:r>
    </w:p>
    <w:p>
      <w:pPr>
        <w:spacing w:after="0" w:line="78" w:lineRule="exact"/>
        <w:rPr>
          <w:rFonts w:ascii="Times New Roman" w:cs="Times New Roman" w:eastAsia="Times New Roman" w:hAnsi="Times New Roman"/>
          <w:sz w:val="18"/>
          <w:szCs w:val="18"/>
          <w:color w:val="auto"/>
        </w:rPr>
      </w:pPr>
    </w:p>
    <w:p>
      <w:pPr>
        <w:ind w:left="424" w:right="460" w:hanging="424"/>
        <w:spacing w:after="0" w:line="284"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Eligible Contract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 is an “eligible contract participant” under, and as defined in, the Commodity Exchange Act (7 U.S.C.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1a(18)) and CFTC regulations (17 CFR § 1.3).</w:t>
      </w:r>
    </w:p>
    <w:p>
      <w:pPr>
        <w:spacing w:after="0" w:line="63" w:lineRule="exact"/>
        <w:rPr>
          <w:rFonts w:ascii="Times New Roman" w:cs="Times New Roman" w:eastAsia="Times New Roman" w:hAnsi="Times New Roman"/>
          <w:sz w:val="18"/>
          <w:szCs w:val="18"/>
          <w:color w:val="auto"/>
        </w:rPr>
      </w:pPr>
    </w:p>
    <w:p>
      <w:pPr>
        <w:ind w:left="424" w:right="40" w:hanging="424"/>
        <w:spacing w:after="0" w:line="267"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Characterization</w:t>
      </w:r>
      <w:r>
        <w:rPr>
          <w:rFonts w:ascii="Times New Roman" w:cs="Times New Roman" w:eastAsia="Times New Roman" w:hAnsi="Times New Roman"/>
          <w:sz w:val="18"/>
          <w:szCs w:val="18"/>
          <w:color w:val="auto"/>
        </w:rPr>
        <w:t>. Seller shall treat the Transaction as a derivative financial contract for U.S. federal income tax purposes, and it shall not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or tax return filing position contrary to this characterization, except to the extent otherwise required by a “determination” within the meaning of Section 1313 of the Internal Revenue Code of 1986, as amended, or any similar provision of state, local or foreign law.</w:t>
      </w:r>
    </w:p>
    <w:p>
      <w:pPr>
        <w:spacing w:after="0" w:line="78" w:lineRule="exact"/>
        <w:rPr>
          <w:rFonts w:ascii="Times New Roman" w:cs="Times New Roman" w:eastAsia="Times New Roman" w:hAnsi="Times New Roman"/>
          <w:sz w:val="18"/>
          <w:szCs w:val="18"/>
          <w:color w:val="auto"/>
        </w:rPr>
      </w:pPr>
    </w:p>
    <w:p>
      <w:pPr>
        <w:ind w:left="424" w:right="260" w:hanging="424"/>
        <w:spacing w:after="0" w:line="267"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Private Placement</w:t>
      </w:r>
      <w:r>
        <w:rPr>
          <w:rFonts w:ascii="Times New Roman" w:cs="Times New Roman" w:eastAsia="Times New Roman" w:hAnsi="Times New Roman"/>
          <w:sz w:val="18"/>
          <w:szCs w:val="18"/>
          <w:color w:val="auto"/>
        </w:rPr>
        <w:t>. Seller (i) is an “accredited investor” as such term is defined in Regulation D as promulgated under the Securities Act, (ii)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entering into the Transaction for its own account without a view to the distribution or resale thereof and (iii) understands that the assignment, transfer or other disposition of the Transaction has not been and will not be registered under the Securities Act.</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by Seller in the Shares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Seller hereby waives the redemption rights set forth in the Certificate of Incorporation in connection with the Business Combination with respect to the Shares only during the term of this Confirmation. Prior to the earlier of the Maturity Date or such date as which Seller no longer holds any Remaining Shares, Seller may not sell or otherwise transfer, loan, hedge or dispose of any of the Shares or any other shares or securities of the Counterparty in one or more public or private transactions at any time, except that Seller may make sales or dispositions of the Shares at a price that is at least $12.00 per Share.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Trust Account Waiver</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Seller hereby waives any and all right, title and interest, or any claim of any kind they have or may have during the term of this Confirmation, in or to any monies held in the Counterparty’s Trust Account and agrees not to seek recourse against the Trust Account in each case, as a result of, or arising out of, this Transaction; provided, however, that nothing herein shall (x) serve to limit or prohibit Seller’s right to pursue a claim against the Counterparty for legal relief against assets held outside the Trust Account, for specific performance or other equitable relief, (y) serve to limit or prohibit any claims that the Seller may have in the future against the Counterparty’s assets or funds that are not held in the Trust Account (including any funds that have been released from the Trust Account and any assets that have been purchased or acquired with any such funds), (z) be deemed to limit Seller’s right, title, interest or claim to the Trust Account by virtue of such Seller’s record or beneficial ownership of securities of the Counterparty acquired by any means other than pursuant to this Transaction or (aa) serve to limit Seller’s redemption right with respect to any such securities of the Seller other than during the term of the Confirmation.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8"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Arrangements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Seller, Counterparty and Target each acknowledge and agree that: (i) there are no voting, hedging or settlement arrangements between or among Seller, Counterparty and Target with respect to any Shares or the Counterparty or Target, other than those set forth herein; (ii) Seller may not hedge its risk under the Transaction in any way; (iii) Counterparty and Target will not be entitled to any voting rights in respect of any of the Shares underlying the Transaction; and (iv) Counterparty and Target will not seek to influence Seller with respect to the voting or disposition of any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Wall Street Transparency and Accountability Act</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connection with Section 739 of the Wall Street Transparency and Accountability Act 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WSTAA, nor any requirement under WSTAA or an amendment made by WSTAA, nor any similar legal certainty provision in any legislation enacted, or rule or regulation promulgated, on or after the date of this Confirmation, shall limit or otherwise impair either party’s otherwise applicable rights to terminate, renegotiate, modify, amend or supplement this Confirmation or the ISDA Form, as applicable, arising from a termination event, force majeure, illegality, increased costs, regulatory change or similar event under this Confirmation, the Equity Definitions incorporated herein, or the ISDA Form.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Address for Notices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to Seller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to Counterparty: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Dr. Avi S. Katz,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94105-2933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Jeffrey C. Selman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jeffrey.selman@us.dlapiper.com</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66" w:right="51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the Closing of the Business Combination:</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Hadron Energy,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Twin Dolphin Drive, Suite 260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Samuel Gibson, Chief Executive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Francisco, CA 94105-2933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Jeffrey C. Selman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jeffrey.selman@us.dlapiper.com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Other Provisions.</w:t>
      </w:r>
    </w:p>
    <w:p>
      <w:pPr>
        <w:spacing w:after="0" w:line="135"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w:t>
      </w:r>
    </w:p>
    <w:p>
      <w:pPr>
        <w:spacing w:after="0" w:line="130" w:lineRule="exact"/>
        <w:rPr>
          <w:rFonts w:ascii="Times New Roman" w:cs="Times New Roman" w:eastAsia="Times New Roman" w:hAnsi="Times New Roman"/>
          <w:sz w:val="18"/>
          <w:szCs w:val="18"/>
          <w:color w:val="auto"/>
        </w:rPr>
      </w:pPr>
    </w:p>
    <w:p>
      <w:pPr>
        <w:ind w:left="964" w:right="20" w:hanging="532"/>
        <w:spacing w:after="0" w:line="256"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to Seller that Counterparty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for the purpose of inducing the purchase or sale of such securities or otherwise in violation of the Exchange Act, and Counterparty represents and warrants to Seller that Counterparty has not entered into or altered, and agrees that Counterparty will not enter into or alter, any corresponding or hedging transaction or position with respect to the Shares.</w:t>
      </w:r>
    </w:p>
    <w:p>
      <w:pPr>
        <w:spacing w:after="0" w:line="92"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that it will not seek to control or influence Seller’s decision to make any “purchases or sales” under the Transaction, except that prior to the earlier of the Maturity Date and or such date as which Seller no longer holds any Remaining Shares, Seller may not enter into any hedging transactions. Counterparty represents and warrants that it has consulted with its own advisors as to the legal aspects of its adoption and implementation of this Confirmation and the Transaction under the federal securities laws, including without limitation, the prohibitions on manipulative and deceptive devices under the Exchange Act.</w:t>
      </w:r>
    </w:p>
    <w:p>
      <w:pPr>
        <w:spacing w:after="0" w:line="88" w:lineRule="exact"/>
        <w:rPr>
          <w:rFonts w:ascii="Times New Roman" w:cs="Times New Roman" w:eastAsia="Times New Roman" w:hAnsi="Times New Roman"/>
          <w:sz w:val="18"/>
          <w:szCs w:val="18"/>
          <w:color w:val="auto"/>
        </w:rPr>
      </w:pPr>
    </w:p>
    <w:p>
      <w:pPr>
        <w:ind w:left="964" w:right="40" w:hanging="532"/>
        <w:spacing w:after="0" w:line="255"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acknowledges and agrees that any amendment, modification, waiver or termination of this Confirmation must be effected in accordance with the requirements for the amendment or termination of a written trading plan for trading securities. Without limiting the generality of the foregoing, Counterparty acknowledges and agrees that any such amendment, modification, waiver or termination shall be made in good faith and not as part of a plan or scheme to evade compliance with the federal securities laws, including without limitation the prohibition on manipulative and deceptive devises under the Exchange Act and no such amendment, modification or waiver shall be made at any time at which Counterparty or any officer, director, manager or similar person of Counterparty is aware of any material non-public information regarding Counterparty or the Shares.</w:t>
      </w:r>
    </w:p>
    <w:p>
      <w:pPr>
        <w:spacing w:after="0" w:line="92" w:lineRule="exact"/>
        <w:rPr>
          <w:rFonts w:ascii="Times New Roman" w:cs="Times New Roman" w:eastAsia="Times New Roman" w:hAnsi="Times New Roman"/>
          <w:sz w:val="18"/>
          <w:szCs w:val="18"/>
          <w:color w:val="auto"/>
        </w:rPr>
      </w:pPr>
    </w:p>
    <w:p>
      <w:pPr>
        <w:ind w:left="424" w:right="20" w:hanging="424"/>
        <w:spacing w:after="0" w:line="25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Repurchase Notices</w:t>
      </w:r>
      <w:r>
        <w:rPr>
          <w:rFonts w:ascii="Times New Roman" w:cs="Times New Roman" w:eastAsia="Times New Roman" w:hAnsi="Times New Roman"/>
          <w:sz w:val="18"/>
          <w:szCs w:val="18"/>
          <w:color w:val="auto"/>
        </w:rPr>
        <w:t>. Counterparty shall, on any day on which Counterparty effects any repurchase of Shares (other than in connection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equity compensation program (e.g., to fund taxes in connection with vested RSUs)), promptly give Seller a written notice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if following such repurchase, the number of outstanding Shares as determined on such day is (i) less than the number of Shares outstanding that would result in the percentage of total Shares outstanding represented by the number of Shares underlying the Transaction increasing by 0.10% (in the case of the first such notice) or (ii) thereafter more than the number of Shares that would need to be repurchased to result in the percentage of total Shares outstanding represented by the number of Shares underlying the Transaction increasing by a further 0.10% less than the number of Shares included in the immediately preceding Repurchase Notice; provided that Counterparty</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8" w:right="479" w:bottom="1440" w:gutter="0" w:footer="0" w:header="0"/>
        </w:sectPr>
      </w:pPr>
    </w:p>
    <w:bookmarkStart w:id="19" w:name="page20"/>
    <w:bookmarkEnd w:id="19"/>
    <w:p>
      <w:pPr>
        <w:ind w:left="42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that this information does not constitute material non-public information; provided further if this information shall be material non-public information, it shall publicly disclosed immediately. Counterparty agrees to indemnify and hold harmless Seller and its affiliates and their respective officers, directors, employees, affiliates, 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and all losses, claims, damages, judgments, liabilities and reasonable and documented out-of-pocket expenses (including reasonable and documented attorney’s fees), joint or several, which an Indemnified Person may become subject to, as a result of Counterparty’s failure to provide Seller with a Repurchase Notice on the day and in the manner specified in this paragraph, and to reimburse, within thirty days, upon written request, each of such Indemnified Persons for any reasonable and documented legal or other expenses incurred in connection with investigating, preparing for, providing testimony or other evidence in connection with or defending any of the foregoing; provided, however, for the avoidance of doubt, Counterparty has no indemnification or other obligations with respect to Seller becoming a Section 16 “insider” prior to the closing of the Business Combination. If any suit, action, proceeding (including any governmental or regulatory investigation), claim or demand shall be brought or asserted against the Indemnified Person as a result of Counterparty’s failure to provide Seller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107" w:lineRule="exact"/>
        <w:rPr>
          <w:sz w:val="20"/>
          <w:szCs w:val="20"/>
          <w:color w:val="auto"/>
        </w:rPr>
      </w:pPr>
    </w:p>
    <w:p>
      <w:pPr>
        <w:ind w:left="424" w:right="80" w:hanging="424"/>
        <w:spacing w:after="0" w:line="25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or Assignment</w:t>
      </w:r>
      <w:r>
        <w:rPr>
          <w:rFonts w:ascii="Times New Roman" w:cs="Times New Roman" w:eastAsia="Times New Roman" w:hAnsi="Times New Roman"/>
          <w:sz w:val="18"/>
          <w:szCs w:val="18"/>
          <w:color w:val="auto"/>
        </w:rPr>
        <w:t>. The rights and duties under this Confirmation may not be transferred or assigned by any party hereto without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of the other party, such consent not to be unreasonably withheld, subject to the immediately following sentence. If at any time following the closing of the Business Combination at which (A) the Section 16 Percentage exceeds 9.9%, or (B) the Share Amount exceeds the Applicable Share Limit, if any applies (any such condition described in clause (A) or (B),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Seller is unable to effect a transfer or assignment of a portion of the Transaction to a third party on pricing terms reasonably acceptable to Seller and within a time period reasonably acceptable to Seller such that no Excess Ownership Position exists, then Seller may designate any Local Business Day as an Early Termination Date with respect to a portion of the Transaction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such that following such partial termination no Excess Ownership Position exists. In the event that Seller so designates an Early Termination Date with respect to a portion of the Transaction, a portion of the Shares with respect to the Transaction shall be delivered to Counterparty as if the Early Termination Date was the Maturity Date in respect of a Transaction having terms identical to the Transaction and a Number of Shares equal to the number of Shares underlying the Terminated Portion. The “</w:t>
      </w:r>
      <w:r>
        <w:rPr>
          <w:rFonts w:ascii="Times New Roman" w:cs="Times New Roman" w:eastAsia="Times New Roman" w:hAnsi="Times New Roman"/>
          <w:sz w:val="18"/>
          <w:szCs w:val="18"/>
          <w:b w:val="1"/>
          <w:bCs w:val="1"/>
          <w:color w:val="auto"/>
        </w:rPr>
        <w:t>Section 16 Percentage</w:t>
      </w:r>
      <w:r>
        <w:rPr>
          <w:rFonts w:ascii="Times New Roman" w:cs="Times New Roman" w:eastAsia="Times New Roman" w:hAnsi="Times New Roman"/>
          <w:sz w:val="18"/>
          <w:szCs w:val="18"/>
          <w:color w:val="auto"/>
        </w:rPr>
        <w:t>” as of any day is the fraction, expressed as a percentage, as determined by Seller, (A) the numerator of which is the number of Shares that Seller and each person subject to aggregation of Shares with Seller under Section 13 or Section 16 of the Exchange Act and rules promulgated thereunder and all persons who may form a “group” (within the meaning of Rule</w:t>
      </w:r>
    </w:p>
    <w:p>
      <w:pPr>
        <w:spacing w:after="0" w:line="3" w:lineRule="exact"/>
        <w:rPr>
          <w:rFonts w:ascii="Times New Roman" w:cs="Times New Roman" w:eastAsia="Times New Roman" w:hAnsi="Times New Roman"/>
          <w:sz w:val="18"/>
          <w:szCs w:val="18"/>
          <w:color w:val="auto"/>
        </w:rPr>
      </w:pPr>
    </w:p>
    <w:p>
      <w:pPr>
        <w:ind w:left="424"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13d-5(b)(1) of the Exchange Act) with Seller directly or indirectly beneficially own (as defined under Section 13 or Section 16 of the Exchange Act and rules promulgated thereunder) and (B) the denominator of which is the number of Shares outstanding.</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20" w:name="page21"/>
    <w:bookmarkEnd w:id="20"/>
    <w:p>
      <w:pPr>
        <w:ind w:left="444"/>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Seller and any person whose ownership position would be aggregated with that of Seller and any group (however designated) of which Seller is a member (Seller or any such person or group, a “</w:t>
      </w:r>
      <w:r>
        <w:rPr>
          <w:rFonts w:ascii="Times New Roman" w:cs="Times New Roman" w:eastAsia="Times New Roman" w:hAnsi="Times New Roman"/>
          <w:sz w:val="18"/>
          <w:szCs w:val="18"/>
          <w:b w:val="1"/>
          <w:bCs w:val="1"/>
          <w:color w:val="auto"/>
        </w:rPr>
        <w:t>Seller Person</w:t>
      </w:r>
      <w:r>
        <w:rPr>
          <w:rFonts w:ascii="Times New Roman" w:cs="Times New Roman" w:eastAsia="Times New Roman" w:hAnsi="Times New Roman"/>
          <w:sz w:val="18"/>
          <w:szCs w:val="18"/>
          <w:color w:val="auto"/>
        </w:rPr>
        <w:t>”) under any law, rule, regulation, regulatory order or organizational documents or contracts of Counterparty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Seller in its sole discretion.</w:t>
      </w:r>
    </w:p>
    <w:p>
      <w:pPr>
        <w:spacing w:after="0" w:line="71" w:lineRule="exact"/>
        <w:rPr>
          <w:sz w:val="20"/>
          <w:szCs w:val="20"/>
          <w:color w:val="auto"/>
        </w:rPr>
      </w:pPr>
    </w:p>
    <w:p>
      <w:pPr>
        <w:ind w:left="444" w:right="40"/>
        <w:spacing w:after="0" w:line="26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could give rise to reporting (other than on Schedule 13D or 13G) or registration obligations or other requirements (including obtaining prior approval from any person or entity) of a Seller Person, or could result in an adverse effect on a Seller Person, under any Applicable Restriction, as determined by Seller in its sole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0.1% of the number of Shares outstanding.</w:t>
      </w:r>
    </w:p>
    <w:p>
      <w:pPr>
        <w:spacing w:after="0" w:line="84" w:lineRule="exact"/>
        <w:rPr>
          <w:sz w:val="20"/>
          <w:szCs w:val="20"/>
          <w:color w:val="auto"/>
        </w:rPr>
      </w:pPr>
    </w:p>
    <w:p>
      <w:pPr>
        <w:ind w:left="424" w:hanging="424"/>
        <w:spacing w:after="0" w:line="251"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w:t>
      </w:r>
      <w:r>
        <w:rPr>
          <w:rFonts w:ascii="Times New Roman" w:cs="Times New Roman" w:eastAsia="Times New Roman" w:hAnsi="Times New Roman"/>
          <w:sz w:val="18"/>
          <w:szCs w:val="18"/>
          <w:color w:val="auto"/>
        </w:rPr>
        <w:t>. Counterparty agrees to indemnify and hold harmless each Indemnified Person from and against any and all losses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financial losses to an Indemnified Person relating to the economic terms of the Transaction provided that the Counterparty performs its obligations under this Confirmation in accordance with its terms), claims, damages and liabilities (or actions in respect thereof) expenses (including reasonable fees and expenses of one outside legal counsel), joint or several, incurred by or asserted against such Indemnified Person arising out of, in connection with, or relating to, and to reimburse, within thirty days, upon written request, each of such Indemnified Persons for any reasonable legal or other expenses incurred in connection with investigating, preparing or defending against any litigation, commenced or threatened, or any claim whatsoever between any of the Indemnified Persons and any third party, or otherwise, to which they or any of them may become subject under the Securities Act, the Exchange Act or any other statute or at common law or otherwise or under the laws of foreign countries, arising out of or based upon the Transaction, including the execution or delivery of this Confirmation, the performance by Counterparty of its obligations under the Transaction, regulatory filings and submissions made by or on behalf of the Counterparty related to the Transaction (other than as relates to any information provided in writing by or on behalf of Seller or its affiliates), or the consummation of the transactions contemplated hereby, or any untrue statement or alleged untrue statement of a material fact contained in any registration statement, press release, filings or other document, or the omission or alleged omission therefrom of a material fact required to be stated therein or necessary to make the statements therein, in the light of the circumstances under which they were made, not misleading. Counterparty will not be liable under the foregoing indemnification provision to the extent that any loss, claim, damage, liability or expense is related to the manner in which Seller sells, or arising out of any sales by Seller of, any Shares, or found in a nonappealable judgment by a court of competent jurisdiction to have resulted from Seller’s material breach of any covenant, representation or other obligation in this Confirmation or the ISDA Form or from Seller’s willful misconduct, bad faith or gross negligence in performing the services that are subject of the Transaction. If for any reason the foregoing indemnification is unavailable to any Indemnified Person or insufficient to hold harmless any Indemnified Person, then Counterparty shall contribute, to the maximum extent permitted by law, to the amount paid or payable by the Indemnified Person as a result of such loss, claim, damage or liability, Counterparty will reimburse any Indemnified Person for all reasonable, out-of-pocket, expenses (including reasonable fees and expenses of one outside legal counsel) as they are incurred in connection with the investigation of, preparation for or defense or settlement of any pending or threatened claim or any action, suit or proceeding arising therefrom, whether or not such Indemnified Person is a party thereto and whether or not such claim, action, suit or proceeding is initiated or brought by or on behalf of Counterparty. Counterparty also agrees that no Indemnified Person shall have any liability to Counterparty or any person asserting claims on behalf of or in right of Counterparty in connection with or as a result of any matter referred to in this Confirmation except to the extent that any losses, claims, damages, liabilities or expenses incurred by Counterparty result from such Indemnified Person’s breach of any covenant, representation or other obligation in this Confirmation or the ISDA Form or from the gross negligence, willful misconduct or bad faith of the Indemnified Person or breach of any U.S. federal or state securities laws or the rules, regulations or applicable interpretations of the Commission. The provisions of this paragraph shall survive the completion of the Transaction contemplated by this Confirmation and any assignment and/or delegation of the Transaction made pursuant to the ISDA Form or this Confirmation shall inure to the benefit of any permitted assignee of Seller.</w:t>
      </w:r>
    </w:p>
    <w:p>
      <w:pPr>
        <w:spacing w:after="0" w:line="1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21" w:name="page22"/>
    <w:bookmarkEnd w:id="21"/>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 to Equity Definitions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140" w:hanging="532"/>
        <w:spacing w:after="0" w:line="261"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12.6(a)(ii) of the Equity Definitions is hereby amended by (i) deleting from the fourth line thereof the word “or” after the word “official” and inserting a comma therefor, and (ii) deleting the semi-colon at the end of subsection (B) thereof and inserting the following words therefor “or (C) the occurrence of any of the events specified in Section 5(a)(vii)(1) through (9) of the ISDA Form with respect to that Issuer.”; and</w:t>
      </w:r>
    </w:p>
    <w:p>
      <w:pPr>
        <w:spacing w:after="0" w:line="85" w:lineRule="exact"/>
        <w:rPr>
          <w:rFonts w:ascii="Times New Roman" w:cs="Times New Roman" w:eastAsia="Times New Roman" w:hAnsi="Times New Roman"/>
          <w:sz w:val="18"/>
          <w:szCs w:val="18"/>
          <w:color w:val="auto"/>
        </w:rPr>
      </w:pPr>
    </w:p>
    <w:p>
      <w:pPr>
        <w:ind w:left="964" w:right="80" w:hanging="532"/>
        <w:spacing w:after="0" w:line="266"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12.6(c)(ii) of the Equity Definitions is hereby amended by replacing the words “the Transaction will be cancelled,” in the first line with the words “Seller will have the right, which it must exercise or refrain from exercising, as applicable, in good faith acting in a commercially reasonable manner, to cancel the Transaction,”;</w:t>
      </w:r>
    </w:p>
    <w:p>
      <w:pPr>
        <w:spacing w:after="0" w:line="79"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 may have to a trial by jury in respect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88" w:lineRule="exact"/>
        <w:rPr>
          <w:rFonts w:ascii="Times New Roman" w:cs="Times New Roman" w:eastAsia="Times New Roman" w:hAnsi="Times New Roman"/>
          <w:sz w:val="18"/>
          <w:szCs w:val="18"/>
          <w:color w:val="auto"/>
        </w:rPr>
      </w:pPr>
    </w:p>
    <w:p>
      <w:pPr>
        <w:ind w:left="424" w:right="80" w:hanging="424"/>
        <w:spacing w:after="0" w:line="267"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Attorney and Other Fees</w:t>
      </w:r>
      <w:r>
        <w:rPr>
          <w:rFonts w:ascii="Times New Roman" w:cs="Times New Roman" w:eastAsia="Times New Roman" w:hAnsi="Times New Roman"/>
          <w:sz w:val="18"/>
          <w:szCs w:val="18"/>
          <w:color w:val="auto"/>
        </w:rPr>
        <w:t>. Subject to clause (d) Indemnification (above), in the event of any legal action initiated by any party arising under or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 connection with or in respect of, this Confirmation or the Transaction, the prevailing party shall be entitled to reasonable and documented attorneys’ fees, costs and expenses incurred in such action, as determined and fixed by the court.</w:t>
      </w:r>
    </w:p>
    <w:p>
      <w:pPr>
        <w:spacing w:after="0" w:line="78"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and each of its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85" w:lineRule="exact"/>
        <w:rPr>
          <w:rFonts w:ascii="Times New Roman" w:cs="Times New Roman" w:eastAsia="Times New Roman" w:hAnsi="Times New Roman"/>
          <w:sz w:val="18"/>
          <w:szCs w:val="18"/>
          <w:color w:val="auto"/>
        </w:rPr>
      </w:pPr>
    </w:p>
    <w:p>
      <w:pPr>
        <w:ind w:left="424" w:right="100" w:hanging="424"/>
        <w:spacing w:after="0" w:line="253"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The parties hereto intend for (i) the Transaction to be (a) a “securities contract”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Bankruptcy Code, in which case each payment and delivery made pursuant to the Transaction is a “termination value,” “payment amount” or “other transfer obligation” within the meaning of Section 362 of the Bankruptcy Code and a “settlement payment,” within the meaning of Section 546 of the Bankruptcy Code, and (b) a “swap agreement” as defined in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a “payment or other transfer of property” within the meaning of Sections 362 and 546 of the Bankruptcy Code, and the parties hereto to be entitled to the protections afforded by, among other Sections, Sections 362(b)(6), 362(b)(17), 546(e), 546(g), 555 and 560 of the Bankruptcy Code, (ii) a party’s right to liquidate, terminate and accelerate the Transaction and to exercise any other remedies upon the occurrence of any Event of Default under the ISDA Form with respect to the other party to constitute a “contractual right” as described in the Bankruptcy Code, and (iii) each payment and delivery of cash, securities or other property hereunder to otherwise constitute a “margin payment” or “settlement payment” and a “transfer” as defined in the Bankruptcy Code.</w:t>
      </w:r>
    </w:p>
    <w:p>
      <w:pPr>
        <w:spacing w:after="0" w:line="9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Process Agent</w:t>
      </w:r>
      <w:r>
        <w:rPr>
          <w:rFonts w:ascii="Times New Roman" w:cs="Times New Roman" w:eastAsia="Times New Roman" w:hAnsi="Times New Roman"/>
          <w:sz w:val="18"/>
          <w:szCs w:val="18"/>
          <w:color w:val="auto"/>
        </w:rPr>
        <w:t>. For the purposes of Section 13(c) of the ISDA Form:</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Seller appoints as its Process Agent: None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Counterparty appoints as its Process Agent: None.</w:t>
      </w:r>
    </w:p>
    <w:p>
      <w:pPr>
        <w:spacing w:after="0" w:line="2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2" w:name="page23"/>
    <w:bookmarkEnd w:id="22"/>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that the foregoing correctly sets forth the terms of our agreement by executing a copy of this Confirmation and returning it to us at your earliest convenience.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Very truly yours,</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59"/>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Agreed and accepted by:</w:t>
            </w: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GIGCAPITAL7 CORP.</w:t>
            </w: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40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Name: Dr. Avi S. Katz</w:t>
            </w:r>
          </w:p>
        </w:tc>
        <w:tc>
          <w:tcPr>
            <w:tcW w:w="2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2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HADRON ENERGY, INC.</w:t>
            </w: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40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Name: Samuel Gibson</w:t>
            </w:r>
          </w:p>
        </w:tc>
        <w:tc>
          <w:tcPr>
            <w:tcW w:w="2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2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00" w:type="dxa"/>
            <w:vAlign w:val="bottom"/>
          </w:tcPr>
          <w:p>
            <w:pPr>
              <w:spacing w:after="0"/>
              <w:rPr>
                <w:sz w:val="24"/>
                <w:szCs w:val="24"/>
                <w:color w:val="auto"/>
              </w:rPr>
            </w:pPr>
          </w:p>
        </w:tc>
        <w:tc>
          <w:tcPr>
            <w:tcW w:w="4100" w:type="dxa"/>
            <w:vAlign w:val="bottom"/>
            <w:gridSpan w:val="3"/>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Subscriber</w:t>
            </w:r>
          </w:p>
        </w:tc>
        <w:tc>
          <w:tcPr>
            <w:tcW w:w="212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4500" w:type="dxa"/>
            <w:vAlign w:val="bottom"/>
            <w:gridSpan w:val="4"/>
            <w:vMerge w:val="restart"/>
          </w:tcPr>
          <w:p>
            <w:pPr>
              <w:jc w:val="right"/>
              <w:ind w:right="155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4100" w:type="dxa"/>
            <w:vAlign w:val="bottom"/>
            <w:gridSpan w:val="3"/>
            <w:vMerge w:val="continue"/>
          </w:tcPr>
          <w:p>
            <w:pPr>
              <w:spacing w:after="0"/>
              <w:rPr>
                <w:sz w:val="16"/>
                <w:szCs w:val="16"/>
                <w:color w:val="auto"/>
              </w:rPr>
            </w:pPr>
          </w:p>
        </w:tc>
        <w:tc>
          <w:tcPr>
            <w:tcW w:w="212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5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PRICING DATE NOTICE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May [•],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GigCapital7 Corp. (“Counterparty”)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1731 Embarcadero Rd., Suite 200, Palo Alto, CA 94303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 OTC Equity Prepaid Forward Transaction</w:t>
      </w:r>
    </w:p>
    <w:p>
      <w:pPr>
        <w:spacing w:after="0" w:line="225" w:lineRule="exact"/>
        <w:rPr>
          <w:sz w:val="20"/>
          <w:szCs w:val="20"/>
          <w:color w:val="auto"/>
        </w:rPr>
      </w:pPr>
    </w:p>
    <w:p>
      <w:pPr>
        <w:ind w:left="4" w:right="160" w:hanging="4"/>
        <w:spacing w:after="0" w:line="266" w:lineRule="auto"/>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Pricing Date Notice supplements, forms part of, and is subject to the Confirmation Re: OTC Equity Prepaid Forward Transaction dated as of May [•], 2026 (the “Confirmation”) between Counterparty and Seller, as amended and supplemented from time to time. All provisions contained in the Confirmation govern this Pricing Date Notice except as expressly modified below.</w:t>
      </w:r>
    </w:p>
    <w:p>
      <w:pPr>
        <w:spacing w:after="0" w:line="175" w:lineRule="exact"/>
        <w:rPr>
          <w:rFonts w:ascii="Times New Roman" w:cs="Times New Roman" w:eastAsia="Times New Roman" w:hAnsi="Times New Roman"/>
          <w:sz w:val="18"/>
          <w:szCs w:val="18"/>
          <w:color w:val="auto"/>
        </w:rPr>
      </w:pPr>
    </w:p>
    <w:p>
      <w:pPr>
        <w:ind w:left="4" w:right="280" w:hanging="4"/>
        <w:spacing w:after="0" w:line="282" w:lineRule="auto"/>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Pricing Date Notice is to confirm certain terms and conditions of the Transaction entered into between Seller and Counterparty pursuant to the Confirmation.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Pricing Date: [•]</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Shares: [•]</w:t>
      </w:r>
    </w:p>
    <w:p>
      <w:pPr>
        <w:sectPr>
          <w:pgSz w:w="11900" w:h="16838" w:orient="portrait"/>
          <w:cols w:equalWidth="0" w:num="1">
            <w:col w:w="11024"/>
          </w:cols>
          <w:pgMar w:left="436" w:top="266"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SCHEDULE 14A/A</w:t>
      </w:r>
    </w:p>
    <w:p>
      <w:pPr>
        <w:spacing w:after="0" w:line="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0"/>
          <w:szCs w:val="20"/>
          <w:color w:val="auto"/>
        </w:rPr>
      </w:pPr>
    </w:p>
    <w:p>
      <w:pPr>
        <w:ind w:left="424" w:hanging="424"/>
        <w:spacing w:after="0"/>
        <w:tabs>
          <w:tab w:leader="none" w:pos="424"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0"/>
          <w:szCs w:val="20"/>
          <w:color w:val="auto"/>
        </w:rPr>
      </w:pPr>
    </w:p>
    <w:p>
      <w:pPr>
        <w:ind w:left="424" w:hanging="424"/>
        <w:spacing w:after="0"/>
        <w:tabs>
          <w:tab w:leader="none" w:pos="424"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0"/>
          <w:szCs w:val="20"/>
          <w:color w:val="auto"/>
        </w:rPr>
      </w:pPr>
    </w:p>
    <w:p>
      <w:pPr>
        <w:ind w:left="424" w:hanging="424"/>
        <w:spacing w:after="0"/>
        <w:tabs>
          <w:tab w:leader="none" w:pos="424"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GigCapital7 Corp.</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0"/>
          <w:szCs w:val="20"/>
          <w:color w:val="auto"/>
        </w:rPr>
      </w:pPr>
    </w:p>
    <w:p>
      <w:pPr>
        <w:ind w:left="424" w:hanging="424"/>
        <w:spacing w:after="0"/>
        <w:tabs>
          <w:tab w:leader="none" w:pos="424"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0"/>
          <w:szCs w:val="20"/>
          <w:color w:val="auto"/>
        </w:rPr>
      </w:pPr>
    </w:p>
    <w:p>
      <w:pPr>
        <w:ind w:left="424" w:hanging="424"/>
        <w:spacing w:after="0"/>
        <w:tabs>
          <w:tab w:leader="none" w:pos="424"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 TO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GigCapital7,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Dated May 7, 2026</w:t>
      </w:r>
    </w:p>
    <w:p>
      <w:pPr>
        <w:spacing w:after="0" w:line="20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disclosures in this proxy supplement (the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i w:val="1"/>
          <w:iCs w:val="1"/>
          <w:color w:val="auto"/>
        </w:rPr>
        <w:t>”) supplement, and should be read in conjunction with, the disclosures contained in the joint definitive proxy statement/final prospectus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i w:val="1"/>
          <w:iCs w:val="1"/>
          <w:color w:val="auto"/>
        </w:rPr>
        <w:t>”), filed on April 15, 2026, and the supplement to the Proxy Statement dated April 20, 2026 (the “</w:t>
      </w:r>
      <w:r>
        <w:rPr>
          <w:rFonts w:ascii="Times New Roman" w:cs="Times New Roman" w:eastAsia="Times New Roman" w:hAnsi="Times New Roman"/>
          <w:sz w:val="18"/>
          <w:szCs w:val="18"/>
          <w:b w:val="1"/>
          <w:bCs w:val="1"/>
          <w:i w:val="1"/>
          <w:iCs w:val="1"/>
          <w:color w:val="auto"/>
        </w:rPr>
        <w:t>Prior Supplement</w:t>
      </w:r>
      <w:r>
        <w:rPr>
          <w:rFonts w:ascii="Times New Roman" w:cs="Times New Roman" w:eastAsia="Times New Roman" w:hAnsi="Times New Roman"/>
          <w:sz w:val="18"/>
          <w:szCs w:val="18"/>
          <w:i w:val="1"/>
          <w:iCs w:val="1"/>
          <w:color w:val="auto"/>
        </w:rPr>
        <w:t>”), each of which in turn should be read in its entirety. To the extent the information set forth herein differs from or updates information contained in the Proxy Statement or Prior Supplement, the information set forth herein shall supersede or supplement the information in the Proxy Statement or Prior Supplement, as applicable. All other information in the Proxy Statement and the Prior Supplement remains unchanged.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provided in the Proxy Statement, GigCapital7 Corp., a Cayman Islands exempted company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i w:val="1"/>
          <w:iCs w:val="1"/>
          <w:color w:val="auto"/>
        </w:rPr>
        <w:t>”) is soliciting stockholder approval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among other things, its proposed business combination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i w:val="1"/>
          <w:iCs w:val="1"/>
          <w:color w:val="auto"/>
        </w:rPr>
        <w:t>”) with Hadron Energy, Inc., a Delaware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i w:val="1"/>
          <w:iCs w:val="1"/>
          <w:color w:val="auto"/>
        </w:rPr>
        <w:t>”) and the other matters as described in the Proxy Statement, which includes a prospectus relating to the offer of the securities to be issued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stockholders of the Company in connection with the Business Combination. The purpose of the following supplemental disclosures is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about the Non-Redemption Agreements and Forward Purchase Agreement (as defined below). Terms used herein,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otherwise defined, have the meanings set forth in the Proxy Statement or the Prior Supplement.</w:t>
      </w:r>
    </w:p>
    <w:p>
      <w:pPr>
        <w:sectPr>
          <w:pgSz w:w="11900" w:h="16838" w:orient="portrait"/>
          <w:cols w:equalWidth="0" w:num="1">
            <w:col w:w="11000"/>
          </w:cols>
          <w:pgMar w:left="440" w:top="266" w:right="4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NON-REDEMPTION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2026 and May 6, 2026, GigCapital7 entered into separate agreements (each, a “</w:t>
      </w:r>
      <w:r>
        <w:rPr>
          <w:rFonts w:ascii="Times New Roman" w:cs="Times New Roman" w:eastAsia="Times New Roman" w:hAnsi="Times New Roman"/>
          <w:sz w:val="18"/>
          <w:szCs w:val="18"/>
          <w:b w:val="1"/>
          <w:bCs w:val="1"/>
          <w:color w:val="auto"/>
        </w:rPr>
        <w:t>Non-Redemption Agreement</w:t>
      </w:r>
      <w:r>
        <w:rPr>
          <w:rFonts w:ascii="Times New Roman" w:cs="Times New Roman" w:eastAsia="Times New Roman" w:hAnsi="Times New Roman"/>
          <w:sz w:val="18"/>
          <w:szCs w:val="18"/>
          <w:color w:val="auto"/>
        </w:rPr>
        <w:t>”, and together,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Non-Redemption Agreements</w:t>
      </w:r>
      <w:r>
        <w:rPr>
          <w:rFonts w:ascii="Times New Roman" w:cs="Times New Roman" w:eastAsia="Times New Roman" w:hAnsi="Times New Roman"/>
          <w:sz w:val="18"/>
          <w:szCs w:val="18"/>
          <w:color w:val="auto"/>
        </w:rPr>
        <w:t>”) with certain of the public stockholders of GigCapital7 (each, individually, a “</w:t>
      </w:r>
      <w:r>
        <w:rPr>
          <w:rFonts w:ascii="Times New Roman" w:cs="Times New Roman" w:eastAsia="Times New Roman" w:hAnsi="Times New Roman"/>
          <w:sz w:val="18"/>
          <w:szCs w:val="18"/>
          <w:b w:val="1"/>
          <w:bCs w:val="1"/>
          <w:color w:val="auto"/>
        </w:rPr>
        <w:t>Public Stockholder</w:t>
      </w:r>
      <w:r>
        <w:rPr>
          <w:rFonts w:ascii="Times New Roman" w:cs="Times New Roman" w:eastAsia="Times New Roman" w:hAnsi="Times New Roman"/>
          <w:sz w:val="18"/>
          <w:szCs w:val="18"/>
          <w:color w:val="auto"/>
        </w:rPr>
        <w:t>”, and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 eligible to redeem their respective Class A ordinary shares, par value $0.0001 per share, of GigCapital7 (“</w:t>
      </w:r>
      <w:r>
        <w:rPr>
          <w:rFonts w:ascii="Times New Roman" w:cs="Times New Roman" w:eastAsia="Times New Roman" w:hAnsi="Times New Roman"/>
          <w:sz w:val="18"/>
          <w:szCs w:val="18"/>
          <w:b w:val="1"/>
          <w:bCs w:val="1"/>
          <w:color w:val="auto"/>
        </w:rPr>
        <w:t>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the upcoming extraordinary general meeting of the shareholders of GigCapital7 scheduled for May 7, 2026 (the “</w:t>
      </w:r>
      <w:r>
        <w:rPr>
          <w:rFonts w:ascii="Times New Roman" w:cs="Times New Roman" w:eastAsia="Times New Roman" w:hAnsi="Times New Roman"/>
          <w:sz w:val="18"/>
          <w:szCs w:val="18"/>
          <w:b w:val="1"/>
          <w:bCs w:val="1"/>
          <w:color w:val="auto"/>
        </w:rPr>
        <w:t>May 2026 Meeting</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 the business combination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contemplated by that certain Business Combination Agreement,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2025, as amended by the First Amendment to Business Combination Agreement, dated as of December 12, 2025, and as further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Second Amendment to Business Combination Agreement, dated as of April 16, 2026 (as may further be amended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GigCapital7, the Company, and MMR Merger Sub, Inc., a Delaware corporation and wholly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subsidiary of GigCapital7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Capitalized terms used herein but not otherwise defined shall have the meanings ascribed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in the Non-Redemption Agreements. Any reference herein to the “</w:t>
      </w:r>
      <w:r>
        <w:rPr>
          <w:rFonts w:ascii="Times New Roman" w:cs="Times New Roman" w:eastAsia="Times New Roman" w:hAnsi="Times New Roman"/>
          <w:sz w:val="18"/>
          <w:szCs w:val="18"/>
          <w:b w:val="1"/>
          <w:bCs w:val="1"/>
          <w:color w:val="auto"/>
        </w:rPr>
        <w:t>Non-Redemption Agreement</w:t>
      </w:r>
      <w:r>
        <w:rPr>
          <w:rFonts w:ascii="Times New Roman" w:cs="Times New Roman" w:eastAsia="Times New Roman" w:hAnsi="Times New Roman"/>
          <w:sz w:val="18"/>
          <w:szCs w:val="18"/>
          <w:color w:val="auto"/>
        </w:rPr>
        <w:t>” is to be treated as a reference to each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separate agreement and should be construed accordingly and any action taken by a Public Stockholder should be construed as an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its own respective agreement.</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the Public Stockholders that have entered into the Non-Redemption Agreements have agreed not to exercise redemption rights with respect to their respective Ordinary Shares in connection with the Business Combination, and to waive all redemption rights with respect to the aggregate number of 2,000,000 Ordinary Shares (the “</w:t>
      </w:r>
      <w:r>
        <w:rPr>
          <w:rFonts w:ascii="Times New Roman" w:cs="Times New Roman" w:eastAsia="Times New Roman" w:hAnsi="Times New Roman"/>
          <w:sz w:val="18"/>
          <w:szCs w:val="18"/>
          <w:b w:val="1"/>
          <w:bCs w:val="1"/>
          <w:color w:val="auto"/>
        </w:rPr>
        <w:t>Non-Redemption Shares</w:t>
      </w:r>
      <w:r>
        <w:rPr>
          <w:rFonts w:ascii="Times New Roman" w:cs="Times New Roman" w:eastAsia="Times New Roman" w:hAnsi="Times New Roman"/>
          <w:sz w:val="18"/>
          <w:szCs w:val="18"/>
          <w:color w:val="auto"/>
        </w:rPr>
        <w:t>”), provided that no Public Stockholder is required to hold a number of Ordinary Shares representing in excess of 9.99% of the total number of Ordinary Shares outstanding. The Non-Redemption Shares held by the Public Stockholders will not be subject to any other transfer restrictions than those described in the Non-Redemption Agreements. The Public Stockholders will have no obligation to hold the Non-Redemption Shares beyond the Redemption Deadline, after which such shares will be freely tradeable without restrictive legends.</w:t>
      </w:r>
    </w:p>
    <w:p>
      <w:pPr>
        <w:spacing w:after="0" w:line="18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the event that GigCapital7 enters one or more other non-redemption agreements in connection with the Business Combination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GigCapital7 has agreed that the terms of such Other Agreements will not be materially more favorable to such other investors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Non-Redemption Agreements are in respect of the Public Stockholders. In the event that another third party is afforded any such more favorable terms than the Public Stockholders, GigCapital7 has agreed to promptly inform the Public Stockholders of such more favorable terms in writing, and the Public Stockholders will then have the right to elect to have such more favorable terms included in each Public Stockholder’s respective Non-Redemption Agreement.</w:t>
      </w:r>
    </w:p>
    <w:p>
      <w:pPr>
        <w:spacing w:after="0" w:line="1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copy of the form of Non-Redemption Agreement is filed as Exhibit 10.1 to the Current Report on Form 8-K filed with the SEC by GigCapital7 on May 1, 2026, and the foregoing description of the Non-Redemption Agreements is qualified in its entirety by reference thereto.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FORWARD PURCHASE AGREEMENTS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on May 6, 2026, GigCapital7 and the Company entered into a forward stock purchase agreement (the “</w:t>
      </w:r>
      <w:r>
        <w:rPr>
          <w:rFonts w:ascii="Times New Roman" w:cs="Times New Roman" w:eastAsia="Times New Roman" w:hAnsi="Times New Roman"/>
          <w:sz w:val="18"/>
          <w:szCs w:val="18"/>
          <w:b w:val="1"/>
          <w:bCs w:val="1"/>
          <w:i w:val="1"/>
          <w:iCs w:val="1"/>
          <w:color w:val="auto"/>
        </w:rPr>
        <w:t>Forward Purchase Agreement</w:t>
      </w:r>
      <w:r>
        <w:rPr>
          <w:rFonts w:ascii="Times New Roman" w:cs="Times New Roman" w:eastAsia="Times New Roman" w:hAnsi="Times New Roman"/>
          <w:sz w:val="18"/>
          <w:szCs w:val="18"/>
          <w:color w:val="auto"/>
        </w:rPr>
        <w:t>”) with certain investors (together, the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for an OTC Equity Prepaid Forward Transaction. For purposes of the Forward Purchase Agreement, “Counterparty” refers to GigCapital7 prior to the consummation of the Business Combination, and GigCapital7, in its domesticated to Delaware and post-combination form (“</w:t>
      </w:r>
      <w:r>
        <w:rPr>
          <w:rFonts w:ascii="Times New Roman" w:cs="Times New Roman" w:eastAsia="Times New Roman" w:hAnsi="Times New Roman"/>
          <w:sz w:val="18"/>
          <w:szCs w:val="18"/>
          <w:b w:val="1"/>
          <w:bCs w:val="1"/>
          <w:i w:val="1"/>
          <w:iCs w:val="1"/>
          <w:color w:val="auto"/>
        </w:rPr>
        <w:t>Hadron</w:t>
      </w:r>
      <w:r>
        <w:rPr>
          <w:rFonts w:ascii="Times New Roman" w:cs="Times New Roman" w:eastAsia="Times New Roman" w:hAnsi="Times New Roman"/>
          <w:sz w:val="18"/>
          <w:szCs w:val="18"/>
          <w:color w:val="auto"/>
        </w:rPr>
        <w:t>”) after the consummation of the Business Combination. Capitalized terms used herein but not defined shall have the meanings ascribed to them in the Forward Purchase Agreement.</w:t>
      </w:r>
    </w:p>
    <w:p>
      <w:pPr>
        <w:sectPr>
          <w:pgSz w:w="11900" w:h="16838" w:orient="portrait"/>
          <w:cols w:equalWidth="0" w:num="1">
            <w:col w:w="11000"/>
          </w:cols>
          <w:pgMar w:left="440" w:top="266" w:right="459" w:bottom="1440" w:gutter="0" w:footer="0" w:header="0"/>
        </w:sectPr>
      </w:pPr>
    </w:p>
    <w:bookmarkStart w:id="27" w:name="page28"/>
    <w:bookmarkEnd w:id="2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the terms of the Forward Purchase Agreement, the Number of Shares subject to the Forward Purchase Agreement will be specified in one or more Pricing Date Notices, but in no event more than a maximum of 546,219 Ordinary Shares (the “</w:t>
      </w:r>
      <w:r>
        <w:rPr>
          <w:rFonts w:ascii="Times New Roman" w:cs="Times New Roman" w:eastAsia="Times New Roman" w:hAnsi="Times New Roman"/>
          <w:sz w:val="18"/>
          <w:szCs w:val="18"/>
          <w:b w:val="1"/>
          <w:bCs w:val="1"/>
          <w:i w:val="1"/>
          <w:iCs w:val="1"/>
          <w:color w:val="auto"/>
        </w:rPr>
        <w:t>Maximum Number of Shares</w:t>
      </w:r>
      <w:r>
        <w:rPr>
          <w:rFonts w:ascii="Times New Roman" w:cs="Times New Roman" w:eastAsia="Times New Roman" w:hAnsi="Times New Roman"/>
          <w:sz w:val="18"/>
          <w:szCs w:val="18"/>
          <w:color w:val="auto"/>
        </w:rPr>
        <w:t>”), which are Shares owned and held by Seller on the day prior to the Closing Date (and which are not subject to redemption in connection with the closing of the Business Combination). The Number of Shares is subject to reduction following an early termination of the Forward Purchase Agreement with respect to such shares as described under “Early Termination” in the Forward Purchase Agreement.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Prior to the earlier of the Maturity Date or such date as which Seller no longer holds any Remaining Shares, Seller may not sell or otherwise transfer, loan, hedge or dispose of any of the Shares or any other shares or securities of the Counterparty, except that Seller may make sales or dispositions of the Shares at a price that is at least $12.00 per Share.</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Forward Purchase Agreement provides that Seller will be paid an aggregate cash amount (the “</w:t>
      </w:r>
      <w:r>
        <w:rPr>
          <w:rFonts w:ascii="Times New Roman" w:cs="Times New Roman" w:eastAsia="Times New Roman" w:hAnsi="Times New Roman"/>
          <w:sz w:val="18"/>
          <w:szCs w:val="18"/>
          <w:b w:val="1"/>
          <w:bCs w:val="1"/>
          <w:i w:val="1"/>
          <w:iCs w:val="1"/>
          <w:color w:val="auto"/>
        </w:rPr>
        <w:t>Prepayment Amount</w:t>
      </w:r>
      <w:r>
        <w:rPr>
          <w:rFonts w:ascii="Times New Roman" w:cs="Times New Roman" w:eastAsia="Times New Roman" w:hAnsi="Times New Roman"/>
          <w:sz w:val="18"/>
          <w:szCs w:val="18"/>
          <w:color w:val="auto"/>
        </w:rPr>
        <w:t>”) equal to the product of (i) the Number of Shares as set forth in each Pricing Date Notice and (ii) the Initial Price, which equals the redemption price per share as defined in the Certificate of Incorporation of GigCapital7 upon the occurrence of its domestication from the Cayman Islands to Delaware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The Counterparty will pay to the Seller the Prepayment Amount from the Counterparty’s Trust Account maintained by Continental Stock Transfer &amp; Trust Company holding the net proceeds of the sale of the units in the Counterparty’s initial public offering and the sale of shares of private placement Class B ordinary shares and private placement warrants (the “</w:t>
      </w:r>
      <w:r>
        <w:rPr>
          <w:rFonts w:ascii="Times New Roman" w:cs="Times New Roman" w:eastAsia="Times New Roman" w:hAnsi="Times New Roman"/>
          <w:sz w:val="17"/>
          <w:szCs w:val="17"/>
          <w:b w:val="1"/>
          <w:bCs w:val="1"/>
          <w:i w:val="1"/>
          <w:iCs w:val="1"/>
          <w:color w:val="auto"/>
        </w:rPr>
        <w:t>Trust Account</w:t>
      </w:r>
      <w:r>
        <w:rPr>
          <w:rFonts w:ascii="Times New Roman" w:cs="Times New Roman" w:eastAsia="Times New Roman" w:hAnsi="Times New Roman"/>
          <w:sz w:val="17"/>
          <w:szCs w:val="17"/>
          <w:color w:val="auto"/>
        </w:rPr>
        <w:t>”), no later than the earlier of (a) one business day after the Closing Date and (b) the date any assets from the Trust Account are disbursed in connection with the Business Combination (such date, the “</w:t>
      </w:r>
      <w:r>
        <w:rPr>
          <w:rFonts w:ascii="Times New Roman" w:cs="Times New Roman" w:eastAsia="Times New Roman" w:hAnsi="Times New Roman"/>
          <w:sz w:val="17"/>
          <w:szCs w:val="17"/>
          <w:b w:val="1"/>
          <w:bCs w:val="1"/>
          <w:i w:val="1"/>
          <w:iCs w:val="1"/>
          <w:color w:val="auto"/>
        </w:rPr>
        <w:t>Prepayment Date</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Forward Purchase Agreement provides for physical settlement. On the Maturity Date, which is the date that is six months following the Closing Date, in exchange for the return to the Counterparty of the Remaining Shares (the Number of Shares less any Terminated Shares (as defined below)), the Counterparty shall pay the Seller an amount equal to the product of (x) the number of Remaining Shares and (y) the Initial Price (the “</w:t>
      </w:r>
      <w:r>
        <w:rPr>
          <w:rFonts w:ascii="Times New Roman" w:cs="Times New Roman" w:eastAsia="Times New Roman" w:hAnsi="Times New Roman"/>
          <w:sz w:val="18"/>
          <w:szCs w:val="18"/>
          <w:b w:val="1"/>
          <w:bCs w:val="1"/>
          <w:i w:val="1"/>
          <w:iCs w:val="1"/>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 which Settlement Amount shall be fully offset by the Prepayment Amount previously paid in respect of such Remaining Shares.</w:t>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From time to time and on any date following the Closing Date (any such date, an “</w:t>
      </w:r>
      <w:r>
        <w:rPr>
          <w:rFonts w:ascii="Times New Roman" w:cs="Times New Roman" w:eastAsia="Times New Roman" w:hAnsi="Times New Roman"/>
          <w:sz w:val="18"/>
          <w:szCs w:val="18"/>
          <w:b w:val="1"/>
          <w:bCs w:val="1"/>
          <w:i w:val="1"/>
          <w:iCs w:val="1"/>
          <w:color w:val="auto"/>
        </w:rPr>
        <w:t>ET Date</w:t>
      </w:r>
      <w:r>
        <w:rPr>
          <w:rFonts w:ascii="Times New Roman" w:cs="Times New Roman" w:eastAsia="Times New Roman" w:hAnsi="Times New Roman"/>
          <w:sz w:val="18"/>
          <w:szCs w:val="18"/>
          <w:color w:val="auto"/>
        </w:rPr>
        <w:t>”), upon the sale of any Shares, which as stated above, such sales may only occur at a price that is at least $12.00 per share (the number of such Shares, the “</w:t>
      </w:r>
      <w:r>
        <w:rPr>
          <w:rFonts w:ascii="Times New Roman" w:cs="Times New Roman" w:eastAsia="Times New Roman" w:hAnsi="Times New Roman"/>
          <w:sz w:val="18"/>
          <w:szCs w:val="18"/>
          <w:b w:val="1"/>
          <w:bCs w:val="1"/>
          <w:i w:val="1"/>
          <w:iCs w:val="1"/>
          <w:color w:val="auto"/>
        </w:rPr>
        <w:t>Terminated Shares</w:t>
      </w:r>
      <w:r>
        <w:rPr>
          <w:rFonts w:ascii="Times New Roman" w:cs="Times New Roman" w:eastAsia="Times New Roman" w:hAnsi="Times New Roman"/>
          <w:sz w:val="18"/>
          <w:szCs w:val="18"/>
          <w:color w:val="auto"/>
        </w:rPr>
        <w:t>”), the Counterparty shall be entitled to an amount from the Seller equal to the product of (x) the number of newly Terminated Shares since the last ET Date (or the Closing Date if no prior ET Date) and (y) the Termination Price, which equals the Initial Price, in respect of such ET Date (an “</w:t>
      </w:r>
      <w:r>
        <w:rPr>
          <w:rFonts w:ascii="Times New Roman" w:cs="Times New Roman" w:eastAsia="Times New Roman" w:hAnsi="Times New Roman"/>
          <w:sz w:val="18"/>
          <w:szCs w:val="18"/>
          <w:b w:val="1"/>
          <w:bCs w:val="1"/>
          <w:i w:val="1"/>
          <w:iCs w:val="1"/>
          <w:color w:val="auto"/>
        </w:rPr>
        <w:t>Early Termination Obligation</w:t>
      </w:r>
      <w:r>
        <w:rPr>
          <w:rFonts w:ascii="Times New Roman" w:cs="Times New Roman" w:eastAsia="Times New Roman" w:hAnsi="Times New Roman"/>
          <w:sz w:val="18"/>
          <w:szCs w:val="18"/>
          <w:color w:val="auto"/>
        </w:rPr>
        <w:t>”). The Seller shall pay the Early Termination Obligation to the accounts and in the amounts as directed by the Counterparty. The remainder of the Transaction, if any, shall continue in accordance with its terms.</w:t>
      </w:r>
    </w:p>
    <w:p>
      <w:pPr>
        <w:spacing w:after="0" w:line="186"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Seller has agreed to waive any redemption rights under GigCapital7’s Certificate of Incorporation with respect to the Shares in connection with the Business Combination during the term of the Forward Purchase Agreement. Such waiver may reduce the number of Ordinary Shares redeemed in connection with the Business Combination, and such reduction could alter the perception of the potential strength of the Business Combination.</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Forward Purchase Agreement has been structured, and all activity in connection with such agreement has been undertaken, to comply with the requirements of all tender offer regulations applicable to the Business Combination, including Rule 14e-5 under the Securities Exchange Act of 1934, as amended.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form of Forward Purchase Agreement is filed as Exhibit 10.2 to the Current Report on Form 8-K filed with the SEC by GigCapital7 on the date hereof, and the foregoing description of the Forward Purchase Agreement is qualified in its entirety by reference thereto.</w:t>
      </w:r>
    </w:p>
    <w:p>
      <w:pPr>
        <w:sectPr>
          <w:pgSz w:w="11900" w:h="16838" w:orient="portrait"/>
          <w:cols w:equalWidth="0" w:num="1">
            <w:col w:w="11000"/>
          </w:cols>
          <w:pgMar w:left="440" w:top="270"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NOTICES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GigCapital7 is a blank check company, also commonly referred to as a special purpose acquisition company, or SPAC, formed for the purpose of entering into a merger, capital stock exchange, asset acquisition, stock purchase reorganization or similar business combination with one or more businesses or entities. While GigCapital7’s efforts to identify a target business may span many industries, the focus of GigCapital7’s search is for prospects within the technology, media, and telecommunications, artificial intelligence and machine learning, cybersecurity, medical technology and medical equipment, semiconductor and sustainable industries. GigCapital7 was sponsored by GigAcquisitions7, LLC, which was founded by GigFounders, LLC, each a member entity of GigCapital Global, and formed for the purpose of entering into a merger, share exchange, asset acquisition, stock purchase, recapitalization, reorganization, or similar business combination with one or more businesses.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September 27, 2025, GigCapital7 entered into the Business Combination Agreement with Merger Sub and the Company, pursuant to the terms of which, Merger Sub will merge with and into the Company, with the Company surviving as a wholly-owned subsidiary of GigCapital7, which will be renamed as Hadron Energy,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Business Combination between GigCapital7 and the Company, GigCapital7 has filed the Proxy Statement, which includes a prospectus, with the SEC, and has commenced distribution of the Proxy Statement to GigCapital7’s shareholders in connection with GigCapital7’s solicitation of proxies for the shareholder vote in connection with the Business Combination and related transactions, and the other matters described in the Proxy Statement. GigCapital7 is mailing the Proxy Statement and other relevant documents to its shareholders as of April 15, 2026, the record date established for voting on the proposed Business Combination.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BEFORE MAKING ANY VOTING OR INVESTMENT DECISION, GIGCAPITAL7’S SHAREHOLDERS AND OTHER INTERESTED PARTIES ARE URGED TO READ, WHEN AVAILABLE, THE DEFINITIVE PROXY STATEMENT/FINAL PROSPECTUS AND ALL OTHER RELEVANT DOCUMENTS FILED OR THAT WILL BE FILED WITH THE SEC IN CONNECTION WITH GIGCAPITAL7’S SOLICITATION OF PROXIES FOR THE EXTRAORDINARY GENERAL MEETING OF ITS SHAREHOLDERS TO BE HELD TO APPROVE THE BUSINESS COMBINATION AGREEMENT, THE BUSINESS COMBINATION AND OTHER MATTERS AS DESCRIBED IN THE DEFINITIVE PROXY STATEMENT/FINAL PROSPECTUS BECAUSE THESE DOCUMENTS WILL CONTAIN IMPORTANT INFORMATION ABOUT GIGCAPITAL7, THE COMPANY AND THE PROPOSED TRANSACTIONS. Shareholders and other interested parties may obtain a copy of these documents,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written request to GigCapital7 Corp., Attn: Corporate Secretary, 1731 Embarcadero Rd., Suite 200, Palo Alto, CA 94303.</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CURRENT REPORT. ANY REPRESENTATION TO THE CONTRARY CONSTITUTES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GigCapital7 and their respective directors, executive officers, management and employees, under SEC rules, may be deemed to be participants in a solicitation of proxies of GigCapital7’s shareholders in connection with the Business Combination and related transactions.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GigCapital7’s shareholders in connection with the Business Combination is set forth in the Proxy Statement, along with information concerning the interests of the Company’s and GigCapital7’s participants in the solicitation. Such interests may in some cases be different from those of the Company’s or GigCapital7’s equity holders generally. Investors and security holders may obtain free copies of these documents as described above.</w:t>
      </w:r>
    </w:p>
    <w:p>
      <w:pPr>
        <w:sectPr>
          <w:pgSz w:w="11900" w:h="16838" w:orient="portrait"/>
          <w:cols w:equalWidth="0" w:num="1">
            <w:col w:w="10980"/>
          </w:cols>
          <w:pgMar w:left="440" w:top="266"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included in this Current Report on Form 8-K and the exhibit hereto that are not historical facts are forward-looking statements for purposes of the “safe harbor” provisions under the United States Private Securities Litigation Reform Act of 1995. Forward-looking statements generally are accompanied by words such as “may,” “could,” “would,” “should,” “expect,” “possible,” “potential,” “goal,” “opportunity,” “project,” “believe,” “future”, “designed,” “forecast,” “target,” “will,” “anticipate,” “estimate,” “continue,” “intend,” “plan,” “predict,” “seem,” “seek,” “outlook,” and, in each case, similar words and expressions, or their negative variations, and terminology that predict or indicate future events or trends or that are not statements of historical matters. Forward-looking statements generally relate to future events, including, without limitation, statements, estimates, forecasts or projections regarding the Company’s future manufacturing capacity and plant performance; market opportunity and market share; estimates and projections of adjacent energy sector opportunities; the Company’s projected commercialization costs and timeline; the Company’s ability to demonstrate scientific and engineering feasibility of its technologies; the Company’s ability to attract, retain and expand its future customer base; the Company’s ability to timely and effectively meet construction and development timelines and scale its production and manufacturing processes; the Company’s ability to develop products and services and bring them to market in a timely manner; the Company’s ability to compete successfully with energy products and solutions offered by other companies; the Company’s expectations concerning relationships with strategic partners, suppliers, governments, regulatory bodies and other third parties; the Company’s ability to maintain, protect, and enhance its intellectual property; future ventures or investments in companies or products, services, or technologies; the Company’s expectations regarding regulatory framework development; the potential for and timing of receipt of licenses and permits for current and future operations, including licenses to operate nuclear facilities from the U.S. Nuclear Regulatory Commission; the success of proposed projects for which the Company’s products would provide power, which is outside of the Company’s control; the safety profile of the Company’s technology; the execution and success of any definitive agreements related to partnerships and collaborations between the Company and third parties; the Company’s expectations with respect to future performance; GigCapital7’s and the Company’s respective industries, future events, the anticipated use of the investor presentation by the Company and GigCapital7, potential financing activities by the Company, including any contemplated private placement of SAFEs, potential non-deal roadshows, and possible PIPE financing discussions, the proposed transactions between GigCapital7 and the Company, the anticipated timing and benefits of the Business Combination, the entry into agreements related to the Business Combination, the consummation of the proposed Business Combination; the estimated or anticipated future results and benefits of the combined company following the proposed transactions, including the likelihood and ability of the parties to successfully consummate the proposed transactions, future opportunities for the combined company, GigCapital7’s or the Company’s future financial or operating performance, and other statements that are not historical facts. In addition, these forward-looking statements include, without limitation, statements regarding GigCapital7’s and the Company’s expectations with respect to future performance and anticipated financial impacts of the proposed private placements, the Business Combination and other transactions, the satisfaction of the closing conditions to the Business Combination and other transactions, and the timing of the completion of the Business Combination and other transactions. Such forward-looking statements are subject to risks, uncertainties (some of which are beyond the control of the Company and/or GigCapital7), and other factors which could cause actual results to differ materially from those expressed or implied by such forward-looking statements. These forward-looking statements are based upon estimates and assumptions that, while considered reasonable by GigCapital7 and its management, and the Company and its management, as the case may be, are inherently uncertain. Factors that may cause actual results to differ materially from current expectations include, without limitation: (1) the occurrence of any event, change or other circumstances that could give rise to the termination of the proposed Business Combination or other definitive agreements in connection thereto; (2) the outcome of any legal proceedings that may be instituted against the Company, GigCapital7 or others following the announcement of the proposed Business Combination and any definitive agreements with respect thereto; (3) the inability to successfully or timely consummate the Business Combination and related transactions, including due to the failure to obtain consents and approvals of the shareholders of GigCapital7; (4) the failure to obtain financing to complete the transactions or to satisfy other conditions to closing; delays or failures to obtain necessary regulatory</w:t>
      </w:r>
    </w:p>
    <w:p>
      <w:pPr>
        <w:sectPr>
          <w:pgSz w:w="11900" w:h="16838" w:orient="portrait"/>
          <w:cols w:equalWidth="0" w:num="1">
            <w:col w:w="11000"/>
          </w:cols>
          <w:pgMar w:left="440" w:top="266" w:right="459" w:bottom="1440" w:gutter="0" w:footer="0" w:header="0"/>
        </w:sectPr>
      </w:pPr>
    </w:p>
    <w:bookmarkStart w:id="30" w:name="page31"/>
    <w:bookmarkEnd w:id="30"/>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approvals required to complete the transactions; (5) changes to the proposed structure of the transactions as a result of applicable laws, regulations or conditions; (6) the ability of GigCapital7 to meet applicable listing standards following the consummation of the Business Combination; (7) the risk that the Business Combination disrupts current plans and operations of the Company as a result of the announcement and consummation of the Business Combination; (8) projections, estimates and forecasts of revenue and other financial and performance metrics; (9) projections about industry trends and market opportunity; expectations relating to the demand for the Company’s micro modular reactor (“</w:t>
      </w:r>
      <w:r>
        <w:rPr>
          <w:rFonts w:ascii="Times New Roman" w:cs="Times New Roman" w:eastAsia="Times New Roman" w:hAnsi="Times New Roman"/>
          <w:sz w:val="17"/>
          <w:szCs w:val="17"/>
          <w:b w:val="1"/>
          <w:bCs w:val="1"/>
          <w:color w:val="auto"/>
        </w:rPr>
        <w:t>MMR</w:t>
      </w:r>
      <w:r>
        <w:rPr>
          <w:rFonts w:ascii="Times New Roman" w:cs="Times New Roman" w:eastAsia="Times New Roman" w:hAnsi="Times New Roman"/>
          <w:sz w:val="17"/>
          <w:szCs w:val="17"/>
          <w:color w:val="auto"/>
        </w:rPr>
        <w:t>”) technology; (10) the Company’s ability to scale and grow its business; (11) the cash position of the Company following closing of the Business Combination; (12) the risk that the transactions disrupt current plans and operations of the Company as a result of the announcement and consummation of the transactions; (13) the ability to recognize the anticipated benefits of the Business Combination, which may be affected by, among other things, competition, the ability of the Company to successfully commercialize its MMR, and the Company’s ability to source and maintain key relationships with management and key employees;</w:t>
      </w:r>
    </w:p>
    <w:p>
      <w:pPr>
        <w:spacing w:after="0" w:line="5" w:lineRule="exact"/>
        <w:rPr>
          <w:sz w:val="20"/>
          <w:szCs w:val="20"/>
          <w:color w:val="auto"/>
        </w:rPr>
      </w:pPr>
    </w:p>
    <w:p>
      <w:pPr>
        <w:ind w:left="4" w:hanging="4"/>
        <w:spacing w:after="0" w:line="251" w:lineRule="auto"/>
        <w:tabs>
          <w:tab w:leader="none" w:pos="3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company to grow and manage growth profitably, continue developing its properties, maintain relationships with customers and suppliers, and retain its management and key employees; (15) costs related to the transactions; (16) risks relating to significant legal, commercial, regulatory and technical uncertainty regarding the classification and management of nuclear energy resources, including evolving environmental standards, permitting requirements, and potential changes in applicable laws or regulations; changes in applicable laws and regulations; political and economic developments and market volatility; (17) the possibility that the Company and/or its related entities may be adversely affected by other economic, business, and/or competitive factors; (18) risks relating to the Company’s anticipated operations and business, including its focus on the development and commercialization of MMR technologies; (19) the risk that the Company does not ever enter into any definitive agreements in connection with commercialization of its technology; (20) the risk that the Company is pursuing an emerging market; (21) the amount of redemption requests made by the GigCapital7 public shareholders; (22) risks related to the future performance of the Company; (23) the potential need for financing for future operations; (24) financial, political and legal conditions; (25) increased competition in the energy industry; (26) limited supply of materials and supply chain disruptions; and (27) other risks and uncertainties set forth under “Risk Factors” and other documents filed, or to be filed, with the SEC by GigCapital7 and/or the Company, including the Registration Statement that the Company and GigCapital7 filed in connection with the Business Combination, and GigCapital7’s other filings with the SEC, as well as any further risks and uncertainties e contained in the Proxy Statement. In addition, there may be additional risks that neither GigCapital7 or the Company presently know, or that GigCapital7 or the Company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Except as may be required by law, neither GigCapital7 nor the Company undertakes any duty to update these forward-looking statements. The inclusion of any statement in this communication does not constitute an admission by GigCapital7, the Company, or any other person that the events or circumstances described in such statement are material.</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9"/>
    </w:lvl>
  </w:abstractNum>
  <w:abstractNum w:abstractNumId="3">
    <w:nsid w:val="7FDCC233"/>
    <w:multiLevelType w:val="hybridMultilevel"/>
    <w:lvl w:ilvl="0">
      <w:lvlJc w:val="left"/>
      <w:lvlText w:val="(%1)"/>
      <w:numFmt w:val="decimal"/>
      <w:start w:val="12"/>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1)"/>
      <w:numFmt w:val="lowerRoman"/>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7"/>
    </w:lvl>
  </w:abstractNum>
  <w:abstractNum w:abstractNumId="9">
    <w:nsid w:val="519B500D"/>
    <w:multiLevelType w:val="hybridMultilevel"/>
    <w:lvl w:ilvl="0">
      <w:lvlJc w:val="left"/>
      <w:lvlText w:val="%1."/>
      <w:numFmt w:val="decimal"/>
      <w:start w:val="2"/>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6"/>
    </w:lvl>
  </w:abstractNum>
  <w:abstractNum w:abstractNumId="12">
    <w:nsid w:val="7C83E458"/>
    <w:multiLevelType w:val="hybridMultilevel"/>
    <w:lvl w:ilvl="0">
      <w:lvlJc w:val="left"/>
      <w:lvlText w:val="%1."/>
      <w:numFmt w:val="decimal"/>
      <w:start w:val="3"/>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1"/>
    </w:lvl>
    <w:lvl w:ilvl="1">
      <w:lvlJc w:val="left"/>
      <w:lvlText w:val="(%2)"/>
      <w:numFmt w:val="lowerRoman"/>
      <w:start w:val="1"/>
    </w:lvl>
  </w:abstractNum>
  <w:abstractNum w:abstractNumId="15">
    <w:nsid w:val="436C6125"/>
    <w:multiLevelType w:val="hybridMultilevel"/>
    <w:lvl w:ilvl="0">
      <w:lvlJc w:val="left"/>
      <w:lvlText w:val="(%1)"/>
      <w:numFmt w:val="lowerLetter"/>
      <w:start w:val="3"/>
    </w:lvl>
  </w:abstractNum>
  <w:abstractNum w:abstractNumId="16">
    <w:nsid w:val="628C895D"/>
    <w:multiLevelType w:val="hybridMultilevel"/>
    <w:lvl w:ilvl="0">
      <w:lvlJc w:val="left"/>
      <w:lvlText w:val="(%1)"/>
      <w:numFmt w:val="lowerLetter"/>
      <w:start w:val="4"/>
    </w:lvl>
  </w:abstractNum>
  <w:abstractNum w:abstractNumId="17">
    <w:nsid w:val="333AB105"/>
    <w:multiLevelType w:val="hybridMultilevel"/>
    <w:lvl w:ilvl="0">
      <w:lvlJc w:val="left"/>
      <w:lvlText w:val="(%1)"/>
      <w:numFmt w:val="lowerLetter"/>
      <w:start w:val="5"/>
    </w:lvl>
    <w:lvl w:ilvl="1">
      <w:lvlJc w:val="left"/>
      <w:lvlText w:val="(%2)"/>
      <w:numFmt w:val="lowerRoman"/>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21" Type="http://schemas.openxmlformats.org/officeDocument/2006/relationships/hyperlink" Target="http://www.sec.gov/Archives/edgar/data/2023730/000119312526201664/d7253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2026-05-07T15:16:03Z</dcterms:created>
  <dcterms:modified xsi:type="dcterms:W3CDTF">2026-05-07T15:16:03Z</dcterms:modified>
</cp:coreProperties>
</file>