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iwwu-20251231.htm"/>
      <w:bookmarkStart w:id="1" w:name="ksgiwwu20251231"/>
      <w:bookmarkEnd w:id="0"/>
      <w:bookmarkEnd w:id="1"/>
      <w:r>
        <w:rPr/>
        <w:t> </w:t>
      </w:r>
    </w:p>
    <w:p>
      <w:pPr>
        <w:pStyle w:val="TextBody"/>
        <w:pBdr>
          <w:top w:val="double" w:sz="6" w:space="1" w:color="000000"/>
        </w:pBdr>
        <w:bidi w:val="0"/>
        <w:jc w:val="both"/>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001-42893</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GigCapital8 Corp.</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22" w:type="dxa"/>
        <w:jc w:val="left"/>
        <w:tblInd w:w="0" w:type="dxa"/>
        <w:tblLayout w:type="fixed"/>
        <w:tblCellMar>
          <w:top w:w="28" w:type="dxa"/>
          <w:left w:w="28" w:type="dxa"/>
          <w:bottom w:w="28" w:type="dxa"/>
          <w:right w:w="28" w:type="dxa"/>
        </w:tblCellMar>
      </w:tblPr>
      <w:tblGrid>
        <w:gridCol w:w="4171"/>
        <w:gridCol w:w="2251"/>
      </w:tblGrid>
      <w:tr>
        <w:trPr/>
        <w:tc>
          <w:tcPr>
            <w:tcW w:w="417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98-1868645</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1731 Embarcadero Rd., Suite 200</w:t>
            </w:r>
            <w:r>
              <w:rPr>
                <w:rFonts w:ascii="Times New Roman" w:hAnsi="Times New Roman"/>
                <w:color w:val="000000"/>
                <w:sz w:val="20"/>
              </w:rPr>
              <w:t xml:space="preserve"> </w:t>
            </w:r>
            <w:r>
              <w:rPr>
                <w:rFonts w:ascii="Times New Roman" w:hAnsi="Times New Roman"/>
                <w:b/>
                <w:color w:val="000000"/>
                <w:sz w:val="20"/>
              </w:rPr>
              <w:t>Palo Alto, CA</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94303</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(650) 276-7040</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0"/>
        <w:gridCol w:w="109"/>
        <w:gridCol w:w="799"/>
        <w:gridCol w:w="109"/>
        <w:gridCol w:w="2458"/>
      </w:tblGrid>
      <w:tr>
        <w:trPr/>
        <w:tc>
          <w:tcPr>
            <w:tcW w:w="6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673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73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 each consisting of one Class A ordinary share, $0.0001 par value and one right to receive one-fifth of one Class A ordinary share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GIWWU</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73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Class A ordinary share, par value $0.0001 per share</w:t>
            </w:r>
            <w:r>
              <w:rPr>
                <w:rFonts w:ascii="Times New Roman" w:hAnsi="Times New Roman"/>
                <w:color w:val="000000"/>
                <w:sz w:val="20"/>
              </w:rPr>
              <w:t xml:space="preserve"> </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GIW</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7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Rights, to receive one-fifth of one Class A ordinary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GIWWR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rFonts w:ascii="Times New Roman" w:hAnsi="Times New Roman"/>
          <w:sz w:val="20"/>
        </w:rPr>
      </w:pPr>
      <w:r>
        <w:rPr>
          <w:rFonts w:ascii="Times New Roman" w:hAnsi="Times New Roman"/>
          <w:color w:val="000000"/>
          <w:sz w:val="17"/>
        </w:rPr>
        <w:t xml:space="preserve">Securities registered pursuant to Section 12(g) of the Act: </w:t>
      </w:r>
      <w:r>
        <w:rPr>
          <w:rFonts w:ascii="Times New Roman" w:hAnsi="Times New Roman"/>
          <w:b/>
          <w:color w:val="000000"/>
          <w:sz w:val="17"/>
        </w:rPr>
        <w:t>None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the Registrant is a well-known seasoned issuer, as defined in Rule 405 of the Securities Act.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the Registrant is not required to file reports pursuant to Section 13 or 15(d) of the Act.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17"/>
        </w:rPr>
        <w:t xml:space="preserve">.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w:t>
      </w:r>
      <w:r>
        <w:rPr>
          <w:rFonts w:ascii="Times New Roman" w:hAnsi="Times New Roman"/>
          <w:color w:val="000000"/>
          <w:sz w:val="20"/>
        </w:rPr>
        <w:t xml:space="preserve"> </w:t>
      </w:r>
      <w:r>
        <w:rPr>
          <w:rFonts w:ascii="Times New Roman" w:hAnsi="Times New Roman"/>
          <w:color w:val="000000"/>
          <w:sz w:val="16"/>
        </w:rPr>
        <w:t>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000000"/>
          <w:sz w:val="17"/>
        </w:rPr>
        <w:t xml:space="preserve">.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color w:val="333333"/>
          <w:sz w:val="17"/>
        </w:rPr>
      </w:pPr>
      <w:r>
        <w:rPr>
          <w:rFonts w:ascii="Times New Roman" w:hAnsi="Times New Roman"/>
          <w:color w:val="333333"/>
          <w:sz w:val="17"/>
        </w:rPr>
        <w:t>The registrant was not a public company as of June 30, 2025 and therefore it cannot calculate the aggregate market value of its common equity held by non-affiliates as of such date.</w:t>
      </w:r>
    </w:p>
    <w:p>
      <w:pPr>
        <w:pStyle w:val="TextBody"/>
        <w:bidi w:val="0"/>
        <w:jc w:val="left"/>
        <w:rPr>
          <w:rFonts w:ascii="Times New Roman" w:hAnsi="Times New Roman"/>
          <w:sz w:val="20"/>
        </w:rPr>
      </w:pPr>
      <w:r>
        <w:rPr>
          <w:rFonts w:ascii="Times New Roman" w:hAnsi="Times New Roman"/>
          <w:color w:val="333333"/>
          <w:sz w:val="17"/>
        </w:rPr>
        <w:t>As of March 30, 2026, 25,657,625</w:t>
      </w:r>
      <w:r>
        <w:rPr>
          <w:rFonts w:ascii="Times New Roman" w:hAnsi="Times New Roman"/>
          <w:color w:val="333333"/>
          <w:sz w:val="20"/>
        </w:rPr>
        <w:t xml:space="preserve"> </w:t>
      </w:r>
      <w:r>
        <w:rPr>
          <w:rFonts w:ascii="Times New Roman" w:hAnsi="Times New Roman"/>
          <w:color w:val="333333"/>
          <w:sz w:val="17"/>
        </w:rPr>
        <w:t>Class A</w:t>
      </w:r>
      <w:r>
        <w:rPr>
          <w:rFonts w:ascii="Times New Roman" w:hAnsi="Times New Roman"/>
          <w:color w:val="000000"/>
          <w:sz w:val="20"/>
        </w:rPr>
        <w:t xml:space="preserve"> </w:t>
      </w:r>
      <w:r>
        <w:rPr>
          <w:rFonts w:ascii="Times New Roman" w:hAnsi="Times New Roman"/>
          <w:color w:val="000000"/>
          <w:sz w:val="17"/>
        </w:rPr>
        <w:t>ordinary shares, par value $0.0001 per share and 10,814,432</w:t>
      </w:r>
      <w:r>
        <w:rPr>
          <w:rFonts w:ascii="Times New Roman" w:hAnsi="Times New Roman"/>
          <w:color w:val="000000"/>
          <w:sz w:val="20"/>
        </w:rPr>
        <w:t xml:space="preserve"> </w:t>
      </w:r>
      <w:r>
        <w:rPr>
          <w:rFonts w:ascii="Times New Roman" w:hAnsi="Times New Roman"/>
          <w:color w:val="000000"/>
          <w:sz w:val="17"/>
        </w:rPr>
        <w:t>Class B ordinary shares, par value $0.0001 per share, were issued and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d_analy">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Shareholder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and_rel">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CERTAIN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References in this Annual Report on Form 10-K (the “Annual Report”) to “we,” “us,” “our,” “GigCapital8” or the “Company” refer to GigCapital8 Corp. References to our “management” or our “management team” refer to our directors and executive officers. References to the “Sponsor” refer to GigAcquisitions8 Corp. References to "founder shares" refer to the Class B ordinary shares initially purchased by our Sponsor in the private placement prior to the initial public offering and then partially sold to four directors and the Class A ordinary shares that will be issued upon the automatic conversion of the Class B ordinary shares at the time our initial business combination as well as shares transferred to our Chief Financial Officer. References to “initial shareholders” refer to our Sponsor (or non-affiliated investors to which our Sponsor assigns the subscription for the private placement units and as a result, transfers any founders shares), the non-managing investors and our directors and officers to the extent they held the founders shares immediately prior to the initial public offering. References to “insiders” refers to our Sponsor and all of our officers and directors to the extent they held the founder shares immediately prior to the consummation of the initial public offering and / or purchased private placement units concurrent with the initial public offering. References to “private placement units” refer to the private placement units sold in the private placement closed concurrently with our initial public offering, and references to “private placement shares” and “private placement rights” refer to the Class A ordinary shares and rights to receive one-fifth of one Class A ordinary share upon the consummation of an initial business combination, respectively, underlying the private placement units sold in the private placement. The following discussion and analysis of the Company’s financial condition and results of operations should be read in conjunction with the financial statements and the notes thereto contained elsewhere in this Annual Report. Certain information contained in the discussion and analysis set forth below includes forward-looking statements that involve risks and uncertainties.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Annual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Actual results and shareholders’ value will be affected by a variety of risks and factors, including, without limitation, international, national and local economic conditions, merger, acquisition and business combination risks, financing risks, geo-political risks, acts of terror or war, and those risk factors described under “Item 1A. Risk Factors.” Many of the risks and factors that will determine these results and shareholders’ value are beyond the Company’s ability to control or predict.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such forward-looking statements speak only as of the date of this Annual Report. The Company expressly disclaims any obligation or undertaking to release publicly any updates or revisions to any forward-looking statements contained herein to reflect any change in the Company’s expectations with regard thereto or any change in events, conditions or circumstances on which any such statement is based. All subsequent written or oral forward-looking statements attributable to us or persons acting on the Company’s behalf are qualified in their entirety by this Special Note Regarding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120" w:after="283"/>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Cayman Islands exempted company formed for the purpose of effecting a merger, capital share exchange, asset acquisition, share purchase, reorganization or similar business combination with one or more businesses, which we refer to throughout this Annual Report as our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7, 2025, we consummated an initial public offering (“Offering”) of 25,300,000 units (the “public units”), including the issuance of 3,300,000 public units as a result of the underwriters’ exercise in full of their over-allotment option. Each public unit consists of one Class A ordinary share of the Company (each a “public share”), and one right to receive one-fifth of one Class A ordinary share upon the consummation of an initial business combination (a “public right”). The public units were sold at a price of $10.00 per unit, generating gross proceeds to the Company of $253,000,000.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our Sponsor, GigAcquisitions8 Corp., which is owned by two of our directors, Dr. Avi S. Katz and Dr. Raluca Dinu, together with four of our other directors, James Greene, Luis Machuca, Bryan Timm and Raanan Horowitz, and non-affiliated Lynrock Lake Master Fund LP (“Lynrock”) subscribed pursuant to unit purchase agreements (collectively, the “Unit Purchase Agreements”) to purchase an aggregate of 95,200 private placement units, at a price of $9.7374 per unit, for an aggregate purchase price of $927,000. Each unit sold in this private placement consisted of one Class A ordinary share and one right to receive one-fifth of one Class A ordinary share upon the consummation of an initial business combination. The private placement units are identical to the public units sold in the Offering, subject to certain limited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eight groups of institutional accredited investors (none of which are affiliated with any member of our management, our Sponsor or any other investor), which we refer to as the “non-managing investors,” purchased an aggregate of (a) 2,964,203 Class B ordinary shares at a purchase price per Class B ordinary share of $0.023254, and (b) an aggregate of 262,425 private placement units at a price of $9.7374 per private placement unit, for an aggregate purchase price of $2,624,266. We refer to the 2,964,203 Class B ordinary shares issued to the non-managing investors as “private investor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selected any specific business combination target. Our efforts to identify a prospective target business will not be limited to a particular industry or geographic region, although we intend to focus on companies in the aerospace and defense services (“A&amp;D”), cybersecurity and secured communications and quantum-based command and control systems, artificial intelligence (“AI”) and machine learning industries (“ML”). We intend to effectuate our initial business combination using cash from the proceeds of our Offering, the sale of the private placement units, the sale of private investor shares, our common equity or any preferred equity that we may create in accordance with the terms of our charter documents, debt, or a combination of cash, common or preferred equity and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capitalize on the significant experience and contacts of our management team to complete our initial business combination. We believe our management team’s distinctive background and record of acquisition and operational success could have a transformative impact on verified target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has significant hands-on experience helping companies optimize their existing and new growth initiatives. Further, we intend to share best practices and key learnings, gathered from our management team’s operating and investing experience, through their more than 30 years of experience in the public markets and more so the last nine years as repeat sponsors of special purpose acquisition company (“SPAC”) entities, as well as strong relationships in the A&amp;D, cybersecurity and secured communications and quantum-based command and control systems, AI and ML industries, to help shape corporate strategies. Additionally, our management team has operated and invested in leading global A&amp;D, cybersecurity and secured communications and quantum-based command and control systems, AI and ML companies across their corporate life cycles and has developed deep relationships with key large multi-national organizations, global leaders and executives, and private and public investors. We believe that these relationships and our management team’s know-how present a significant opportunity to help drive strategic dialogue, access new customer and strategic partner relationships, and achieve global ambitions to unlock value through the business combination closing, as well as following the completion of our initial business combination for a horizon of 3-5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distinguish ourselves with our ability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Tap into our vast international network of relationships to develop a distinctive pipeline of acquisition opportunities. </w:t>
      </w:r>
      <w:r>
        <w:rPr>
          <w:rFonts w:ascii="Times New Roman" w:hAnsi="Times New Roman"/>
          <w:color w:val="000000"/>
          <w:sz w:val="20"/>
        </w:rPr>
        <w:t>We believe the combination of our Chief Executive Officer’s (“CEO”) industry experience and our directors’ and management’s ability and network of relationships with CEOs, founders, family offices, private equity, hedge 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Revitalize the acquisition target and generate value for shareholders after the business combination. </w:t>
      </w:r>
      <w:r>
        <w:rPr>
          <w:rFonts w:ascii="Times New Roman" w:hAnsi="Times New Roman"/>
          <w:color w:val="000000"/>
          <w:sz w:val="20"/>
        </w:rPr>
        <w:t>Given our management’s 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Show a proven record of successful completions of business combinations</w:t>
      </w:r>
      <w:r>
        <w:rPr>
          <w:rFonts w:ascii="Times New Roman" w:hAnsi="Times New Roman"/>
          <w:color w:val="000000"/>
          <w:sz w:val="20"/>
        </w:rPr>
        <w:t>. We believe that our management team’s track record and experience will provide a distinct advantage for identifying, valuing and completing a business combination that will meet our investors’ expectations. GigCapital8 is the eighth of nine SPACs affiliated with GigCapital Global. Of the nine SPACs, five have completed business combinations, one has entered into a business combination agreement, one was liquidated before completing an initial business combination, and two are seeking a suitable business target, as summarized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 Inc. (“GIG1”),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GigCapital2, Inc. (“GIG2”),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for $56 million in cash and Cloudbreak Health to an affiliate of GTCR, LLC in March 2024 for $180 million in cash. Following an adverse legal judgment, in September 2023, UpHealth Holdings, Inc., a subsidiary of UpHealth, Inc., filed a voluntary petition for relief under Chapter 11 of the U.S. Bankruptcy Code. In addition, in October 2023, two of UpHealth Holdings’ wholly-owned subsidiaries, Thrasys, Inc. and Behavioral Health Services, LLC, and each of their subsidiaries filed voluntary petitions for relief under Chapter 11 of the U.S. Bankruptcy Code. The Bankruptcy Court confirmed a plan of liquidation for each of these entities on September 11, 2025, and as of this time, there are no longer any operations of UpHealth.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GigCapital3, Inc. (“GIG3”),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 for approximately $10 million in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 and continues to trade as of today.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GigCapital5, Inc. (“GIG5”), a Private-to-Public Equity (PPE) company formed for the purpose of acquiring a company in the TMT, A&amp;D, advanced medical equipment, intelligent automation and sustainable industries, completed its initial public offering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in March 2024, GIG5 successfully completed its business combination with QT Imaging, Inc., following which it was renamed as QT Imaging Holdings, Inc. (Nasdaq: QTI) and continues to trade as of today.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GIG7 entered into a business combination agreement with Hadron Energy, Inc. on September 27, 2025 and filed a registration statement on Form S-4 with the SEC on November 12, 2025, with the third amendment thereto filed with the SEC on March 11,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GigCapital9 Corp. (“GIG9”), a Private-to-Public Equity (PPE) company formed for the purpose of acquiring a company in the aerospace and defense services industry and the TMT industry, including TMT companies focused on, cybersecurity and secured communications and quantum-based command and control systems, AI and ML industries, completed its initial public offering in January 2026, in which it sold 25,300,000 units at a per unit price of $10.00, with each unit consisting of one Class A ordinary share and one right to receive one-fifth of one Class A ordinary share of GIG9 upon the consummation of an initial business combination, generating $253 million. GIG9 listed on Nasdaq under the symbol “GIX” and is currently looking for a suitable acquisition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foregoing examples, the past performance of the members of our management team or their affiliates, including with respect to GIG1, GIG2, GIG3, GIG4, GIG5, GIG7 and GIG9,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 efficient de-SPAC process. You should not rely on the historical record of the performance of our management or any of its affiliates’ performance, including GIG1, GIG2, GIG3, GIG4, GIG5, GIG7 and GIG9, as indicative of our future performance. Members of our management team and their affiliates are likely to form other Private-to-Public Equity (PPE) companies prior to the completion of our initial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our strategy, we have identified general criteria and guidelines that we believe are important in evaluating prospective target businesses and, when evaluating a prospective target business,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 target business that does not meet any or all of these criteria or guidelines: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embrace today’s digital transformation and intelligent automation.</w:t>
      </w:r>
      <w:r>
        <w:rPr>
          <w:color w:val="000000"/>
        </w:rPr>
        <w:t xml:space="preserve"> </w:t>
      </w:r>
      <w:r>
        <w:rPr>
          <w:rFonts w:ascii="Times New Roman" w:hAnsi="Times New Roman"/>
          <w:color w:val="000000"/>
          <w:sz w:val="20"/>
        </w:rPr>
        <w:t>We will seek acquisition candidates active in the A&amp;D services, cybersecurity and secured communications and quantum-based command and control systems,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will benefit from a public listing.</w:t>
      </w:r>
      <w:r>
        <w:rPr>
          <w:color w:val="000000"/>
        </w:rPr>
        <w:t xml:space="preserve"> </w:t>
      </w:r>
      <w:r>
        <w:rPr>
          <w:rFonts w:ascii="Times New Roman" w:hAnsi="Times New Roman"/>
          <w:color w:val="000000"/>
          <w:sz w:val="20"/>
        </w:rPr>
        <w:t>We will focus on partners looking to move to the next level through a public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will benefit from our industry expertise and relationships.</w:t>
      </w:r>
      <w:r>
        <w:rPr>
          <w:color w:val="000000"/>
        </w:rPr>
        <w:t xml:space="preserve"> </w:t>
      </w:r>
      <w:r>
        <w:rPr>
          <w:rFonts w:ascii="Times New Roman" w:hAnsi="Times New Roman"/>
          <w:color w:val="000000"/>
          <w:sz w:val="20"/>
        </w:rPr>
        <w:t>We will seek companies that will be best positioned to 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are market-leading participants.</w:t>
      </w:r>
      <w:r>
        <w:rPr>
          <w:color w:val="000000"/>
        </w:rPr>
        <w:t xml:space="preserve"> </w:t>
      </w:r>
      <w:r>
        <w:rPr>
          <w:rFonts w:ascii="Times New Roman" w:hAnsi="Times New Roman"/>
          <w:color w:val="000000"/>
          <w:sz w:val="20"/>
        </w:rPr>
        <w:t>We will seek an acquisition target that has an established business and market position. While we will focus on the A&amp;D services, cybersecurity and secured communications and quantum-based command and control systems, AI and ML, we will not seek a target that is pre-revenue or in early stages of development with unproven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with strong management.</w:t>
      </w:r>
      <w:r>
        <w:rPr>
          <w:color w:val="000000"/>
        </w:rPr>
        <w:t xml:space="preserve"> </w:t>
      </w:r>
      <w:r>
        <w:rPr>
          <w:rFonts w:ascii="Times New Roman" w:hAnsi="Times New Roman"/>
          <w:color w:val="000000"/>
          <w:sz w:val="20"/>
        </w:rPr>
        <w:t xml:space="preserve">We will prioritize entities with well-established, proven and talented management teams that 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Sources of Target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evaluate opportunities that are sourced through the relationship networks of Dr. Katz and our combined management and advisory team, which includes numerous entrepreneurs, management teams,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intermediaries and venture capital funds. Dr. Katz and our combined management and advisory team have considerable expertise in the evaluation of technology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based on our combined team’s business knowledge and past experience that there are numerous acquisition candidates. Our principal means of identifying potential target businesses is through the extensive contacts and relationships of our combined management team and advisory team. Although our Sponsor, GigAcquisitions8 Corp.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over their careers and their access to their contacts and resources generate a number of potential business combination opportunities that can warrant further investigation. We also anticipate that target business candidates may also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our filings with the Securities and Exchange Commission (the “SEC”)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Market Value of Target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anticipate structuring a business combination involving 100% of the equity interests or assets of the target business or businesses. We may, however, structure our initial business combination where we merge directly with the target business or involving less than 100% of such interests or assets of the target business in order to meet certain objectives of the target management team or shareholder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shareholders with our analysis of the fair market value of the target business, as well as the basis for our determinations. If our board is not able to independently determine that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Status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structure makes us an attractive business combination partner to target businesses. As an existing public company, we offer a target business an alternative to the traditional initial public offering (“IPO”) through a merger or other business combination. In this situation, the owners of the target business would exchange their shares in the target business for shares or other securities or for a combination of shares, other securities and cash, allowing us to tailor the consideration to the specific needs of the sellers. We believe target businesses might find this method a more certain and cost-effective method to becoming a public company than the typical IPO. In a typical IPO, there are additional expenses incurred in marketing, roadshow and public reporting efforts that may not be present to the same extent in connection with a business combination with us. Furthermore, once the business combination is consummated, the target business will have effectively become public, whereas an IPO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shareholders’ interests than it would have as a privately-held company. It can offer further benefits by augmenting a company’s profile among potential new customers and vendors and aid in attracting talented employees. However, there is currently no market for the target company’s securities and a market for the target company’s securities may not develop. As a result, this purported benefit may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our status as a public company will make us an attractive business partner, some potential target businesses may view the inherent limitations in our status as a blank check company as a deterrent and may prefer to effect a business combination with a more established entity or with a private company. These inherent limitations include limitations on our available financial resources, which may be inferior to those of other entities pursuing the acquisition of similar target businesses; the requirement that we seek shareholder approval of a business combination or conduct a tender offer in relation thereto, which may delay the consummation of a transaction; and the existence of our outstanding rights and units, which may represent a source of future dilution.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funds available for a business combination as of December 31, 2025 in the amount of $255,267,683, assuming no redemptions, we can offer the target business a means to fund future expansion and growth of its business. Because we are able to consummate a business combination using the cash proceeds in our trust account, debt or a combination of the foregoing, we have the flexibility to use an efficient structure allowing us to tailor the consideration to be paid to the target business to address the needs of the parties. However, if a business combination requires us to use substantially all of our cash to pay for the purchase price, we may need to arrange third party financing to help fund our business combination. Since we have no specific business combination under consideration, we have not taken any steps to secure third-party financing. Accordingly, our flexibility in structuring a business combination may be subject to constraints resulting from a need to finance such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Lack of Business Diversification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negative economic, competitive and regulatory developments, any or all of which may have a substantial adverse impact on the particular industry in which we operate after our initial business combination,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us to depend on the marketing and sale of a single product or limited number of products or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Limited Ability to Evaluate a Target’s Management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intend to closely scrutinize the management of a prospective target business when evaluating the desirability of effecting our initial business combination with that business, our assessment of a target 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board of directors or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combined company will be made at the time of our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Shareholders May Not Have the Ability to Approve Our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taxes payable), or (2) provide our shareholders with the opportunity to sell their shares to us by means of a tender offer (and thereby avoid the need for a shareholder vote) for an amount equal to their pro rata share of the aggregate amount then on deposit in the trust account (net of taxes payable), in each case subject to the limitations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seek shareholder approval if it is required by applicable law or stock exchange listing requirement, provided, that we may also decide to seek shareholder approval for business or other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Nasdaq listing rules, shareholder approval would be required for our initial business combination if,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issue (other than in a public offering for cash) ordinary shares that will either (a) be equal to or in excess of 20% of the number of ordinary shares then outstanding or (b) have voting power equal to or in excess of 20% of the voting power then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5% of the number of ordinary shares or 5% of the voting power outstanding before the issuance in the case of any substantial security holders;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or potential issuance of ordinary shares will result in our undergoing a change of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cost of holding a shareholder vote;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our shareholders would fail to approve the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time and budget constraints;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legal complexities of an initial business combination that would be time-consuming and burdensome to present to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shareholder approval, a majority of the ordinary shares voted at a shareholder meeting are voted in favor of the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Redemption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any meeting called to approve an initial business combination, public shareholders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with the opportunity to sell their public shares to us through a tender offer (and thereby avoid the need for a shareholder vote) for an amount equal to their pro rata share of the aggregate amount then on deposit in the trust account, less any taxes then due but not yet paid. Our Sponsor, executive officers and directors have each entered into a letter agreement with us, pursuant to which they have agreed to waive their redemption rights with respect to founder shares, private placement shares and any Class A ordinary shares issuable upon conversion thereof in connection with the completion of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non-managing investors that hold private investor shares and private placement units are not required to (i) hold any public units, public shares or public rights they purchased in the Offering or may purchase thereafter for any amount of time, (ii) vote any public shares they may own at the applicable time in favor of our initial business combination (although the non-managing investors have agreed to vote their private investor shares and private placement units in favor of an initial business combination), or (iii) refrain from exercising their right to redeem their public shares at the time of our initial business combination. The non-managing investors have the same rights to the funds held in the trust account with respect to the public shares comprising part of the public units they purchased in the Offering as the rights afforded to our other public shareholders. However, if the non-managing investors purchased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require public shareholders seeking redemption, whether they are a record holder or hold their shares in “street name,” to either (i) tender their certificates to our transfer agent or (ii) deliver their shares to the transfer agent electronically using the Depository Trust Company’s (“DTC”) DWAC (Deposit/Withdrawal At Custodian) System, at the holder’s option, in each case prior to a date set forth in the proxy materials sent in connection with the proposal to approve the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nominal cost associated with the above-referenced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w:t>
      </w:r>
    </w:p>
    <w:p>
      <w:pPr>
        <w:pStyle w:val="TextBody"/>
        <w:bidi w:val="0"/>
        <w:spacing w:before="240" w:after="283"/>
        <w:jc w:val="left"/>
        <w:rPr>
          <w:rFonts w:ascii="Times New Roman" w:hAnsi="Times New Roman"/>
          <w:sz w:val="20"/>
        </w:rPr>
      </w:pPr>
      <w:r>
        <w:rPr>
          <w:rFonts w:ascii="Times New Roman" w:hAnsi="Times New Roman"/>
          <w:color w:val="000000"/>
          <w:sz w:val="20"/>
        </w:rPr>
        <w:t>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Please see the risk factor titled “</w:t>
      </w:r>
      <w:r>
        <w:rPr>
          <w:rFonts w:ascii="Times New Roman" w:hAnsi="Times New Roman"/>
          <w:i/>
          <w:color w:val="000000"/>
          <w:sz w:val="20"/>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hAnsi="Times New Roman"/>
          <w:color w:val="000000"/>
          <w:sz w:val="20"/>
        </w:rPr>
        <w:t xml:space="preserve"> for further information on the risks of failing to comply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 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request to redeem such shares once made, may be withdrawn at any time up to the vote on the proposed business combination. Furthermore, if a holder of a public share delivered his, her or its certificate or shares in connection with an election of such shares’ redemption and subsequently decides prior to the vote on the proposed business combination not to elect to exercise such rights, he, she or it may simply request that the transfer agent return the certificate or shares (physically or electronically).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initial business combination is not approved or completed for any reason, then our public shareholders who elected to exercise their redemption rights would not be entitled to redeem their shares for the applicable pro rata share of the trust account as of two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to exercise their redemption rights will not be entitled to convert their shares into a full pro rata portion of the trust account,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 If we would be left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less than $5,000,001 of net tangible assets as a result of the holders of public shares properly demanding redemption of their shares, we will likely be unable to consummate a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Liquidation if No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memorandum and articles of association provide that we will have only 24 months from the closing of the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the case of (ii) and (iii) above) to our obligations under the Cayman Islands law to provide for claims of creditors and the requirements of other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Sponsor, executive officers and directors have agreed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the Offering unless we provide our public shareholders with the opportunity to redeem their public shares upon such approval at a per-share price, payable in cash, equal to the aggregate amount then on deposit in the trust account,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non-managing investors are not required to (i) hold any public units, public shares or public rights they purchased in the Offering or may purchase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have the same rights to the funds held in the trust account with respect to the public shares comprising part of the public units they purchased in the Offering as the rights afforded to our other public shareholders. However, since the non-managing investors purchased certain public units in the Offering for which they expressed to us an interest and assuming they will continue holding such units at the time of an initial business combination, the non-managing investors will have different interests than our other public shareholders in approving our initial business combination and otherwise exercising their rights as public shareholders because of their ownership of private investor shares and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to use our reasonable best efforts to have all third parties (including any vendors or other entities we engage after the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taxes and less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notifying the trustee of the trust account to begin liquidating such assets promptly after such date and anticipate it will take no more than ten (10) business days to effectuate such distribution. Our initial shareholders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complete an initial business combination and expend all of the net proceeds of the Offering,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public shareholders shall be entitled to receive funds from the trust account only in the event of our failure to complete a business combination within the required time period or if the shareholders seek to have us redeem or purchase their respective shares upon a business combination which is actually completed by us or upon certain amendments to our chartered documents as described elsewhere herein. In no other circumstances shall a shareholder have any right or interest of any kind to or in the trust account.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insiders and non-managing investors will not participate in any redemption distribution from our trust account with respect to their founder shares, private investor shares and private placement shares. Additionally, any loans made by our officers, directors, Sponsor or their affiliates for working capital needs will be forgiven and not repaid if we are unable to complete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the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Amended and Restated Memorandum and Articles of Association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contain certain requirements and restrictions relating to the Offering that will apply to us until the consummation of our initial business 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the Offering, we will provide dissenting public shareholders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initial shareholders have agreed to waive any redemption rights with respect to their founder shares, private investor shares and private placement shares held by them in each case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connection with any vote to amend our amended and restated memorandum and articles of association. Specifically, our amended and restated memorandum and articles of association provide, among other things,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taxes payable), or (2) provide our shareholders with the opportunity to sell their shares to us by means of a tender offer (and thereby avoid the need for a shareholder vote) for an amount equal to their pro rata share of the aggregate amount then on deposit in the trust account (net of taxes payable), in each case subject to the limitations described 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initial business combination is not consummated within 24 months from the closing of the Offering then we will redeem all of the outstanding public shares and thereafter liquidate and dissolve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consummation of the Offering, $253,000,000 has been placed into the trust account;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business combination, we may not issue additional shares that participates in any manner in the proceeds of the trust account, or that votes as a class with the public shares sold in the Offering on any matter.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the Offering, our ability to compete in acquiring certain sizable target businesses may be limited by our available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also may not be viewed favorably by certain target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 to seek shareholder approval of a business combination or engage in a tender offer may delay the completion of a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 to redeem Class A ordinary shares held by our public shareholders may reduce sources available to us for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two executive officers.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Our executive officers devote such amount of time as they reasonably believe is necessary to our business. We do not intend to have any full-time employees prior to the consummation of a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Periodic Reporting and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registered our public units, public shares and public rights under the Exchange Act and have reporting obligations, including the requirement that we file annual, quarterly and current reports with the SEC. In accordance with the requirements of the Exchange Act, this Annual Report contains financial statements audited and reported on by our independent registered public accountants.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accounting principles generally accepted in the United States (“GAAP”) or international financial reporting standards (“IFRS”), as issued by the International Accounting Standards Board.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required to assess our internal control procedures until the fiscal year ending December 31, 2026 as required by the Sarbanes-Oxley Act of 2002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are a blank check company with no operating history and no revenues, and you have no basis on which to evaluate our ability to achieve our business objective.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we seek shareholder approval of our initial business combination, our initial shareholders have agreed to vote their Class B ordinary shares and private placement shares, which constitutes approximately 30.6% of the issued and outstanding ordinary shares following our Offering, in favor of such initial business combination, regardless of how our public shareholders vote. If any of the non-managing investors purchase public units, our initial shareholders will beneficially own a greater amount of the 36,472,057 ordinary shares of the company that are issued and outstanding shares following our Offering than 30.6%,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Your only opportunity to effect your investment decision regarding a potential business combination may be limited to the exercise of your right to redeem your shares from us for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requirement that we complete our initial business combination within 24 months from the closing of our Offering may give potential target businesses leverage over us in negotiating our initial business combination which could undermine our ability to consummate our initial business combination on terms that would produce value for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may not be able to consummate our initial business combination within the required time period, in which case we would cease all operations except for the purpose of winding up and we would redeem our public shares and liquidate.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As the number of SPACs evaluating targets increases, and other issued SPAC entities may come to market with superior terms for the acquisition targets, attractive targets may become scarcer and there may be more competition for attractive targets. potentially increasing the cost of, or impairing our ability to consummate, our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None of the non-managing investors purchased any of the public units in the Offering or have expressed an interest in after the closing on the open market, but if they do so, although it may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affect our ability to meet Nasdaq listing requirements or maintain such listing, it may reduce the trading volume, volatility and liquidity for our public shares, if the non-managing investors choose post Offering not to trade any public shares that they acquired in the Offering or otherwise, and it may adversely affect the trading price of our public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the net proceeds of the Offering and the sale of the private investor shares and private placement units not being held in the trust account are insufficient to allow us to operate for at least the next 24 months from the closing of the Offering, we may be unable to complete our initial business combination, and we will depend on loans from our Sponsor or management team to fund our search and to complete our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third parties bring claims against the company, the proceeds held in trust could be reduced and the per-share redemption price received by shareholders may be less than $10.00 per share.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grant of registration rights to our initial shareholders, including the non-managing investors, may make it more difficult to complete our initial business combination, and the future exercise of such rights may adversely affect the market price of our public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Because we are not limited to any particular business or specific geographic location or any specific target businesses with which to pursue our initial business combination, you will be unable to ascertain the merits or risks of any particular target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may seek acquisition opportunities outside the A&amp;D, cybersecurity and secured communications and quantum-based command and control systems, AI and ML industries, which may be outside of our management’s areas of expertise.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may only be able to complete one business combination with the proceeds of the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initial shareholders will control a substantial interest in us and thus may influence certain actions requiring a shareholder vote.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Redeeming shareholders may be unable to sell their securities when they wish to in the event that the proposed business combination is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are likely to be treated as a passive foreign investment company (“PFIC”), which could result in adverse U.S. federal income tax consequences to U.S. investors. </w:t>
      </w:r>
    </w:p>
    <w:p>
      <w:pPr>
        <w:pStyle w:val="TextBody"/>
        <w:bidi w:val="0"/>
        <w:jc w:val="left"/>
        <w:rPr>
          <w:rFonts w:ascii="Times New Roman" w:hAnsi="Times New Roman"/>
          <w:color w:val="000000"/>
          <w:sz w:val="20"/>
        </w:rPr>
      </w:pPr>
      <w:r>
        <w:rPr>
          <w:rFonts w:ascii="Times New Roman" w:hAnsi="Times New Roman"/>
          <w:color w:val="000000"/>
          <w:sz w:val="20"/>
        </w:rPr>
        <w:t xml:space="preserve"> If we are unable to consummate our initial business combination within 24 months from the closing of the Offering, our public shareholders may be forced to wait beyond such period before redemption from our trust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investment in our securities, and certain subsequent transactions with respect to our securities, may result in uncertain or adverse U.S. federal income tax consequences for an investor.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Transactions in connection with or in anticipation of our initial business combination and our structure thereafter may not be tax-efficient to our shareholders and rights holders. As a result of our initial business combination, our tax obligations may be more complex, burdensome and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other risks and uncertainties discussed in “Risk Factors” and elsewhere in this Annual Report.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our Search for, and Consummation of or Inability to Consummate, a Business Combination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20"/>
        </w:rPr>
        <w:t>Our public shareholders may not be afforded an opportunity to vote on our proposed business combination, and even if we hold a vote, holders of our founder shares, private investor shares and private placement shares will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participate in such vote, which means we may consummate our initial business combination even though a majority of our public shareholders do not support such a combination.</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We may choose not to hold a shareholder vote to approve our initial business combination unless the business combination would require shareholder approval under applicable law or stock exchange rules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to a target business as consideration in any business combination. Therefore, if we were structuring a business combination that required us to issue more than 20% of our issued and outstanding shares, we would seek shareholder approval of such business combination. However, except as required by applicable law or stock exchange rules,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issued and outstanding ordinary shares do not approve of the business combination we consummate. Our Sponsor controls a substantial interest in us and thus may exert a substantial influence on actions requiring a shareholder vote, potentially in a manner that you do not support. </w:t>
      </w:r>
    </w:p>
    <w:p>
      <w:pPr>
        <w:pStyle w:val="TextBody"/>
        <w:bidi w:val="0"/>
        <w:spacing w:before="280" w:after="283"/>
        <w:jc w:val="left"/>
        <w:rPr>
          <w:rFonts w:ascii="Times New Roman" w:hAnsi="Times New Roman"/>
          <w:sz w:val="20"/>
        </w:rPr>
      </w:pPr>
      <w:r>
        <w:rPr>
          <w:rFonts w:ascii="Times New Roman" w:hAnsi="Times New Roman"/>
          <w:i/>
          <w:color w:val="000000"/>
          <w:sz w:val="20"/>
        </w:rPr>
        <w:t>If we seek shareholder approval of our initial business combination, our initial shareholders have agreed to vote their Class B ordinary shares and private placement shares, which constitutes approximately 30.6% of the issued and outstanding ordinary shares following our Offering, in favor of such initial business combination, regardless of how our public shareholders vote. If any of the non-managing investors purchase public units, our initial shareholders will beneficially own a greater amount of the 36,472,057 ordinary shares of the Company that are issued and outstanding shares following the Offering than 30.6%,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Following our Offering, our initial shareholders, and their permitted transferees, beneficially own approximately 30.6% of the issued and outstanding ordinary shares at the time of any such shareholder vote (assuming none of the initial shareholders purchases any public units in the Offering after the closing on the open market). Our initial shareholders and management team also may from time to time purchase public units or public shares prior to our initial business combination. The non-managing investors purchased public units in the Offering and assuming none of them will trade such public units after the closing, or they subsequently acquire public units in open-market trades, the initial shareholders will beneficially own more than 30.6% of the issued and outstanding ordinary shares at the time of any shareholder vote. Our amended and restated memorandum and articles of association provide that, if we seek shareholder approval of an initial business combination, such initial business combination will be approved if we receive an ordinary resolution under Cayman Islands law and our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Our initial shareholders (and their permitted transferees) have agreed, pursuant to the terms of the agreements entered into with us, to vote their founder shares, private investor shares and private placement shares in favor of our initial business combination, but not any public shares that the non-managing investors may purchase in the Offering or after the closing on the open market. As a result, in addition to the Class B ordinary shares and private placement shares held by our initial shareholders, we would need approximately 7,421,597 public shares, or approximately 29.3% of the 25,300,000 public shares sold in the Offering to be voted in favor of a transaction (assuming all issued and outstanding shares are voted) in order to have such initial business combination approved.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To the extent any non-managing investors purchased public units in the Offering or if the non-managing investors purchase public units after the closing on the open market,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or holdings of units by the non-managing investors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color w:val="000000"/>
          <w:sz w:val="20"/>
        </w:rPr>
        <w:t xml:space="preserve">negatively impact our ability to meet Nasdaq listing eligibility requirements. We do not expect any of the non-managing investors to hold more than 9.9% of the public units sold in the Offering. The underwriters received the same upfront discounts and commissions on public units purchased by the non-managing investors in the Offering, if any, as it did on the other public units sold to the public in the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the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the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the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please see “— </w:t>
      </w:r>
      <w:r>
        <w:rPr>
          <w:rFonts w:ascii="Times New Roman" w:hAnsi="Times New Roman"/>
          <w:i/>
          <w:color w:val="000000"/>
          <w:sz w:val="20"/>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 </w:t>
      </w:r>
    </w:p>
    <w:p>
      <w:pPr>
        <w:pStyle w:val="TextBody"/>
        <w:bidi w:val="0"/>
        <w:spacing w:before="280" w:after="283"/>
        <w:jc w:val="left"/>
        <w:rPr>
          <w:rFonts w:ascii="Times New Roman" w:hAnsi="Times New Roman"/>
          <w:sz w:val="20"/>
        </w:rPr>
      </w:pPr>
      <w:r>
        <w:rPr>
          <w:rFonts w:ascii="Times New Roman" w:hAnsi="Times New Roman"/>
          <w:i/>
          <w:color w:val="000000"/>
          <w:sz w:val="20"/>
        </w:rPr>
        <w:t>Your only opportunity to affect the investment decision regarding a potential business combination may be limited to the exercise of your right to redeem your shares from us for cash.</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i/>
          <w:color w:val="000000"/>
          <w:sz w:val="20"/>
        </w:rPr>
        <w:t>The ability of our public shareholders to redeem their shares for cash may make our financial condition unattractive to potential business combination targets, which may make it difficult for us to enter into our initial business combination with a target.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require us to provide all of our public shareholders with an opportunity to redeem all of their shares in connection with the consummation of any initial business combination.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We may not be able to generate sufficient value from the completion of our initial business combination in order to overcome the dilutive impact of these and other factors, and, accordingly, you may incur a net loss on your investment. Please see “ — </w:t>
      </w:r>
      <w:r>
        <w:rPr>
          <w:rFonts w:ascii="Times New Roman" w:hAnsi="Times New Roman"/>
          <w:i/>
          <w:color w:val="000000"/>
          <w:sz w:val="20"/>
        </w:rPr>
        <w:t>The nominal</w:t>
      </w:r>
      <w:r>
        <w:rPr>
          <w:rFonts w:ascii="Times New Roman" w:hAnsi="Times New Roman"/>
          <w:color w:val="000000"/>
          <w:sz w:val="20"/>
        </w:rPr>
        <w:t xml:space="preserve"> </w:t>
      </w:r>
      <w:r>
        <w:rPr>
          <w:rFonts w:ascii="Times New Roman" w:hAnsi="Times New Roman"/>
          <w:i/>
          <w:color w:val="000000"/>
          <w:sz w:val="20"/>
        </w:rPr>
        <w:t>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hAnsi="Times New Roman"/>
          <w:color w:val="000000"/>
          <w:sz w:val="20"/>
        </w:rPr>
        <w:t xml:space="preserve">.” The above considerations may limit our ability to complete the most desirable business combination available to us or optimize our capital structure. </w:t>
      </w:r>
    </w:p>
    <w:p>
      <w:pPr>
        <w:pStyle w:val="TextBody"/>
        <w:bidi w:val="0"/>
        <w:spacing w:before="240" w:after="283"/>
        <w:jc w:val="left"/>
        <w:rPr>
          <w:rFonts w:ascii="Times New Roman" w:hAnsi="Times New Roman"/>
          <w:sz w:val="20"/>
        </w:rPr>
      </w:pPr>
      <w:r>
        <w:rPr>
          <w:rFonts w:ascii="Times New Roman" w:hAnsi="Times New Roman"/>
          <w:i/>
          <w:color w:val="000000"/>
          <w:sz w:val="20"/>
        </w:rPr>
        <w:t>The requirement that we maintain a minimum net worth or retain a certain amount of cash could increase the probability that our business combination would be unsuccessful and that you would have to wait for liquidation in order to redeem your shares.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 </w:t>
      </w:r>
    </w:p>
    <w:p>
      <w:pPr>
        <w:pStyle w:val="TextBody"/>
        <w:bidi w:val="0"/>
        <w:spacing w:before="260" w:after="283"/>
        <w:jc w:val="left"/>
        <w:rPr>
          <w:rFonts w:ascii="Times New Roman" w:hAnsi="Times New Roman"/>
          <w:sz w:val="20"/>
        </w:rPr>
      </w:pPr>
      <w:r>
        <w:rPr>
          <w:rFonts w:ascii="Times New Roman" w:hAnsi="Times New Roman"/>
          <w:i/>
          <w:color w:val="000000"/>
          <w:sz w:val="20"/>
        </w:rPr>
        <w:t>The requirement that we complete our initial business combination within 24 months from the closing of the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Any potential target business with which we enter into negotiations concerning our initial business combination will be aware that we must consummate our initial business combination within 24 months from the closing of the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sz w:val="20"/>
        </w:rPr>
      </w:pPr>
      <w:r>
        <w:rPr>
          <w:rFonts w:ascii="Times New Roman" w:hAnsi="Times New Roman"/>
          <w:i/>
          <w:color w:val="000000"/>
          <w:sz w:val="20"/>
        </w:rPr>
        <w:t>We may not be able to consummate our initial business combination within the required time period, in which case we would cease all operations except for the purpose of winding up and we would redeem our public shares and liquidate.</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must complete our initial business combination within 24 months from the closing of the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p>
      <w:pPr>
        <w:pStyle w:val="TextBody"/>
        <w:bidi w:val="0"/>
        <w:spacing w:before="260" w:after="283"/>
        <w:jc w:val="left"/>
        <w:rPr>
          <w:rFonts w:ascii="Times New Roman" w:hAnsi="Times New Roman"/>
          <w:sz w:val="20"/>
        </w:rPr>
      </w:pPr>
      <w:r>
        <w:rPr>
          <w:rFonts w:ascii="Times New Roman" w:hAnsi="Times New Roman"/>
          <w:color w:val="000000"/>
          <w:sz w:val="20"/>
        </w:rPr>
        <w:t>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See “</w:t>
      </w:r>
      <w:r>
        <w:rPr>
          <w:rFonts w:ascii="Times New Roman" w:hAnsi="Times New Roman"/>
          <w:i/>
          <w:color w:val="000000"/>
          <w:sz w:val="20"/>
        </w:rPr>
        <w:t>Risk Factors — Risks Relating to our Search for, and Consummation of or Inability to Consummate, a Business Combination</w:t>
      </w:r>
      <w:r>
        <w:rPr>
          <w:rFonts w:ascii="Times New Roman" w:hAnsi="Times New Roman"/>
          <w:color w:val="000000"/>
          <w:sz w:val="20"/>
        </w:rPr>
        <w:t>—</w:t>
      </w:r>
      <w:r>
        <w:rPr>
          <w:rFonts w:ascii="Times New Roman" w:hAnsi="Times New Roman"/>
          <w:i/>
          <w:color w:val="000000"/>
          <w:sz w:val="20"/>
        </w:rPr>
        <w:t>If third parties bring claims against the Company, the proceeds held in trust could be reduced and the per-share redemption price received by shareholders may be less than $10.00 per share</w:t>
      </w:r>
      <w:r>
        <w:rPr>
          <w:rFonts w:ascii="Times New Roman" w:hAnsi="Times New Roman"/>
          <w:color w:val="000000"/>
          <w:sz w:val="20"/>
        </w:rPr>
        <w:t xml:space="preserve">.” </w:t>
      </w:r>
    </w:p>
    <w:p>
      <w:pPr>
        <w:pStyle w:val="TextBody"/>
        <w:bidi w:val="0"/>
        <w:spacing w:before="260" w:after="283"/>
        <w:jc w:val="left"/>
        <w:rPr>
          <w:rFonts w:ascii="Times New Roman" w:hAnsi="Times New Roman"/>
          <w:i/>
          <w:color w:val="000000"/>
          <w:sz w:val="20"/>
        </w:rPr>
      </w:pPr>
      <w:r>
        <w:rPr>
          <w:rFonts w:ascii="Times New Roman" w:hAnsi="Times New Roman"/>
          <w:i/>
          <w:color w:val="000000"/>
          <w:sz w:val="20"/>
        </w:rPr>
        <w:t>Our search for an initial business combination, and any target business with which we may ultimately consummate an initial business combination, may be materially adversely affected by current global geopolitical conditions resulting from the ongoing Russia-Ukraine conflict, the Israel-Hamas conflict, the escalating military conflict involving the United States, Israel and Iran, the resumption of Houthi attacks on Red Sea shipping, and other hostilities in the Middle East, Southwest Asia and globally.</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United States and global markets are experiencing volatility and disruption following the geopolitical instability resulting from the ongoing Russia-Ukraine conflict, the Israel-Hamas conflict, the escalating military conflict between the United States, Israel and Iran, and other hostilities and other hostilities in the Middle East region, Southwest Asia and globally.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The geopolitical landscape has been significantly affected by the escalation of hostilities between the United States, Israel and Iran. Following prior exchanges of strikes between Israel and Iran in 2024 and a twelve-day conflict involving U.S. and Israeli strikes on Iranian nuclear facilities and military sites in June 2025, the United States and Israel launched a joint military operation against Iran beginning on February 28, 2026. The operation has targeted Iranian military infrastructure, nuclear program assets, senior government and military officials. Iran has responded with retaliatory missile and drone strikes against targets in Israel and U.S. military installations across the Persian Gulf region. The U.S.-Israel-Iran conflict has had substantial effects on global trade and energy markets. Iran's Islamic Revolutionary Guard Corps has imposed a selective blockade in the Strait of Hormuz, impacting commercial shipping. Additionally, Houthi officials in Yemen have stated a readiness resume military strikes on key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waterway in the Red Sea corridor again. Major container carriers and tanker operators have suspended transits and reroute vessels, which may lead to increased transit times and freight costs, and disruption to global supply chains.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Recent hostilities between the United States, Israel and Iran and others have caused significant disruption in the normal flow of oil, refined petroleum products and related commodities, with consequent price rises and associated economic volatility. The Brent crude oil spot price rose sharply in March 2026 following the onset of military action in the region and has remained elevated.</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or have undertaken or will undertake military strikes in Southwest Asia, increasing geopolitical tensions among a number of nations.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The invasion of Ukraine by Russia and the escalation of the conflict in the Middle East and Southwest Asia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Any of the abovementioned factors, or any other negative impact on the global economy, capital markets or other geopolitical conditions resulting from the Russian invasion of Ukraine, the escalation of the conflict in the Middle East and Southwest Asia and subsequent sanctions or related actions, could adversely affect our search for an initial business combination and any target business with which we may ultimately consummate an initial business combination.</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The extent and duration of the ongoing conflicts,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section. If these disruptions or other matters of global concern continue for an extensive period of time, our ability to consummate an initial business combination, or the operations of a target business with which we may ultimately consummate an initial business combination, may be materially adversely affected.</w:t>
      </w:r>
    </w:p>
    <w:p>
      <w:pPr>
        <w:pStyle w:val="TextBody"/>
        <w:bidi w:val="0"/>
        <w:spacing w:before="260" w:after="283"/>
        <w:jc w:val="left"/>
        <w:rPr>
          <w:rFonts w:ascii="Times New Roman" w:hAnsi="Times New Roman"/>
          <w:sz w:val="20"/>
        </w:rPr>
      </w:pPr>
      <w:r>
        <w:rPr>
          <w:rFonts w:ascii="Times New Roman" w:hAnsi="Times New Roman"/>
          <w:i/>
          <w:color w:val="000000"/>
          <w:sz w:val="20"/>
        </w:rPr>
        <w:t>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events could impact our search for a business combination will depend on future developments, which are highly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 </w:t>
      </w:r>
    </w:p>
    <w:p>
      <w:pPr>
        <w:pStyle w:val="TextBody"/>
        <w:bidi w:val="0"/>
        <w:spacing w:before="240" w:after="283"/>
        <w:jc w:val="left"/>
        <w:rPr>
          <w:rFonts w:ascii="Times New Roman" w:hAnsi="Times New Roman"/>
          <w:sz w:val="20"/>
        </w:rPr>
      </w:pPr>
      <w:r>
        <w:rPr>
          <w:rFonts w:ascii="Times New Roman" w:hAnsi="Times New Roman"/>
          <w:i/>
          <w:color w:val="000000"/>
          <w:sz w:val="20"/>
        </w:rPr>
        <w:t>Macro-economic turbulence and instability relating to recent and ongoing global conflicts and other drivers of uncertainty may adversely affect our business, investments and results of operations and our ability to successfully consummate a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escalating military conflict between the United States, Israel and Iran)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Fluctuations in the rate of inflation in the United States and elsewhere could make it more difficult for us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the rate of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As the number of SPACs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In recent years, the number of special purpose acquisition companies that have been formed has increased substantially. Many potential targets for SPACs have already entered into an initial business combination, and there are still many companies preparing for an IPO. As a result, at times, fewer attractive targets may be available, and it may require more time, more effort and more resources to identify a suitable target and to consummate an initial business combination.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In addition, because there are more SPACs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combination, and may result in our inability to consummate an initial business combination on terms favorable to our investors altogether. </w:t>
      </w:r>
    </w:p>
    <w:p>
      <w:pPr>
        <w:pStyle w:val="TextBody"/>
        <w:bidi w:val="0"/>
        <w:spacing w:before="260" w:after="283"/>
        <w:jc w:val="left"/>
        <w:rPr>
          <w:rFonts w:ascii="Times New Roman" w:hAnsi="Times New Roman"/>
          <w:sz w:val="20"/>
        </w:rPr>
      </w:pPr>
      <w:r>
        <w:rPr>
          <w:rFonts w:ascii="Times New Roman" w:hAnsi="Times New Roman"/>
          <w:i/>
          <w:color w:val="000000"/>
          <w:sz w:val="20"/>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purpose of such purchases could be to (1) increase the likelihood of obtaining shareholder approval of the initial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 </w:t>
      </w:r>
    </w:p>
    <w:p>
      <w:pPr>
        <w:pStyle w:val="TextBody"/>
        <w:bidi w:val="0"/>
        <w:spacing w:before="160" w:after="283"/>
        <w:jc w:val="left"/>
        <w:rPr>
          <w:rFonts w:ascii="Times New Roman" w:hAnsi="Times New Roman"/>
          <w:sz w:val="20"/>
        </w:rPr>
      </w:pPr>
      <w:r>
        <w:rPr>
          <w:rFonts w:ascii="Times New Roman" w:hAnsi="Times New Roman"/>
          <w:i/>
          <w:color w:val="000000"/>
          <w:sz w:val="20"/>
        </w:rPr>
        <w:t>If a shareholder fails to receive notice of our offer to redeem our public shares in connection with our initial business combination or fails to comply with the procedures for tendering its shares, such shares may not be redeemed.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w:t>
      </w:r>
    </w:p>
    <w:p>
      <w:pPr>
        <w:pStyle w:val="TextBody"/>
        <w:bidi w:val="0"/>
        <w:spacing w:before="160" w:after="283"/>
        <w:jc w:val="left"/>
        <w:rPr>
          <w:rFonts w:ascii="Times New Roman" w:hAnsi="Times New Roman"/>
          <w:sz w:val="20"/>
        </w:rPr>
      </w:pPr>
      <w:r>
        <w:rPr>
          <w:rFonts w:ascii="Times New Roman" w:hAnsi="Times New Roman"/>
          <w:i/>
          <w:color w:val="000000"/>
          <w:sz w:val="20"/>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the Offering and the sale of the private share, our ability to compete with respect to the acquisition of certain target businesses that are sizable will be limited by our available financial resources. Our Sponsor, any of its affiliates or any of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respective clients may make additional investments in us, although our Sponsor and its affiliates have no obligation or other duty to do so. </w:t>
      </w:r>
    </w:p>
    <w:p>
      <w:pPr>
        <w:pStyle w:val="TextBody"/>
        <w:bidi w:val="0"/>
        <w:spacing w:before="160" w:after="283"/>
        <w:jc w:val="left"/>
        <w:rPr>
          <w:rFonts w:ascii="Times New Roman" w:hAnsi="Times New Roman"/>
          <w:sz w:val="20"/>
        </w:rPr>
      </w:pPr>
      <w:r>
        <w:rPr>
          <w:rFonts w:ascii="Times New Roman" w:hAnsi="Times New Roman"/>
          <w:color w:val="000000"/>
          <w:sz w:val="20"/>
        </w:rPr>
        <w:t>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Please see “</w:t>
      </w:r>
      <w:r>
        <w:rPr>
          <w:rFonts w:ascii="Times New Roman" w:hAnsi="Times New Roman"/>
          <w:i/>
          <w:color w:val="000000"/>
          <w:sz w:val="20"/>
        </w:rPr>
        <w:t xml:space="preserve">Risk Factors — Risks Relating to our Search for, and Consummation of or Inability to Consummate, a Business Combination </w:t>
      </w:r>
      <w:r>
        <w:rPr>
          <w:rFonts w:ascii="Times New Roman" w:hAnsi="Times New Roman"/>
          <w:color w:val="000000"/>
          <w:sz w:val="20"/>
        </w:rPr>
        <w:t>—</w:t>
      </w:r>
      <w:r>
        <w:rPr>
          <w:rFonts w:ascii="Times New Roman" w:hAnsi="Times New Roman"/>
          <w:i/>
          <w:color w:val="000000"/>
          <w:sz w:val="20"/>
        </w:rPr>
        <w:t>If third parties bring claims against the Company, the proceeds held in trust could be reduced and the per-share redemption price received by shareholders may be less than $10.00 per share.</w:t>
      </w:r>
      <w:r>
        <w:rPr>
          <w:rFonts w:ascii="Times New Roman" w:hAnsi="Times New Roman"/>
          <w:color w:val="000000"/>
          <w:sz w:val="20"/>
        </w:rPr>
        <w:t xml:space="preserve">” and other risk factors herein. </w:t>
      </w:r>
    </w:p>
    <w:p>
      <w:pPr>
        <w:pStyle w:val="TextBody"/>
        <w:bidi w:val="0"/>
        <w:spacing w:before="160" w:after="283"/>
        <w:jc w:val="left"/>
        <w:rPr>
          <w:rFonts w:ascii="Times New Roman" w:hAnsi="Times New Roman"/>
          <w:sz w:val="20"/>
        </w:rPr>
      </w:pPr>
      <w:r>
        <w:rPr>
          <w:rFonts w:ascii="Times New Roman" w:hAnsi="Times New Roman"/>
          <w:i/>
          <w:color w:val="000000"/>
          <w:sz w:val="20"/>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 deliver their shares to the transfer agent electronically using The Depository Trust Company’s DWAC (Deposit/Withdrawal At Custodian) System, at the holder’s option. In order to obtain a physical share certificate, a shareholder’s broker and/or clearing broker, The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despite our compliance with the proxy rules or tender offer rules, as applicable, shareholders may not become aware of the opportunity to redeem their shares. </w:t>
      </w:r>
    </w:p>
    <w:p>
      <w:pPr>
        <w:pStyle w:val="TextBody"/>
        <w:bidi w:val="0"/>
        <w:spacing w:before="180" w:after="283"/>
        <w:jc w:val="left"/>
        <w:rPr>
          <w:rFonts w:ascii="Times New Roman" w:hAnsi="Times New Roman"/>
          <w:sz w:val="20"/>
        </w:rPr>
      </w:pPr>
      <w:r>
        <w:rPr>
          <w:rFonts w:ascii="Times New Roman" w:hAnsi="Times New Roman"/>
          <w:i/>
          <w:color w:val="000000"/>
          <w:sz w:val="20"/>
        </w:rPr>
        <w:t>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the Offering, you will lose the ability to redeem all such shares in excess of 15% of the issued and outstanding public shares sold in the Offering.</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seek shareholder approval of our initial business combination pursuant to a proxy solicitation (meaning we would not conduct redemptions pursuant to the tender offer rules), our amended and restated memorandum and articles of association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the Offering. Your inability to redeem an aggregate of more than 15% of the public shares sold in the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If the net proceeds of the Offering and the sale of the private investor shares and private placement units not being held in the trust account are insufficient to allow us to operate for at least the next 24 months from the closing of the Offering, we may be unable to complete our initial business combination, and we will depend on loans from our Sponsor or management team to fund our search and to complete our initial business combination.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funds available to us outside of the trust account may not be sufficient to allow us to operate for at least the next 24 months from the closing of the Offering, assuming that our initial business combination is not consummated during that time. Of the net proceeds of the Offering and the sale of the private investor shares and private placement units, only approximately $1,507,000 is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or potentially less than $10.00 per share on our redemption. </w:t>
      </w:r>
    </w:p>
    <w:p>
      <w:pPr>
        <w:pStyle w:val="TextBody"/>
        <w:bidi w:val="0"/>
        <w:spacing w:before="160" w:after="283"/>
        <w:jc w:val="left"/>
        <w:rPr>
          <w:rFonts w:ascii="Times New Roman" w:hAnsi="Times New Roman"/>
          <w:sz w:val="20"/>
        </w:rPr>
      </w:pPr>
      <w:r>
        <w:rPr>
          <w:rFonts w:ascii="Times New Roman" w:hAnsi="Times New Roman"/>
          <w:i/>
          <w:color w:val="000000"/>
          <w:sz w:val="20"/>
        </w:rPr>
        <w:t>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Although we have no other commitments as of the date of this Annual Report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default and foreclosure on our assets if our operating revenues after our initial business combination are insufficient to repay our debt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acceleration of our obligations to repay the indebtedness even if we make all principal and interest payments when due if we breach certain covenants that require the maintenance of certain financial ratios or reserves without a waiver or renegotiation of that covenant;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immediate payment of all principal and accrued interest, if any, if the debt security is payable on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inability to obtain necessary additional financing if the debt security contains covenants restricting our ability to obtain such financing while the debt security is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inability to pay dividends on our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using a substantial portion of our cash flow to pay principal and interest on our debt, which will reduce the funds available for dividends on our ordinary shares if declared, expenses, capital expenditures, acquisitions and other general corporate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limitations on our flexibility in planning for and reacting to changes in our business and in the industry in which we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increased vulnerability to adverse changes in general economic, industry and competitive conditions and adverse changes in government regulation;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limitations on our ability to borrow additional amounts for expenses, capital expenditures, acquisitions, debt service requirements, execution of our strategy and other purposes and other disadvantages compared to our competitors who have less debt. </w:t>
      </w:r>
    </w:p>
    <w:p>
      <w:pPr>
        <w:pStyle w:val="TextBody"/>
        <w:bidi w:val="0"/>
        <w:spacing w:before="240" w:after="283"/>
        <w:jc w:val="left"/>
        <w:rPr>
          <w:rFonts w:ascii="Times New Roman" w:hAnsi="Times New Roman"/>
          <w:sz w:val="20"/>
        </w:rPr>
      </w:pPr>
      <w:r>
        <w:rPr>
          <w:rFonts w:ascii="Times New Roman" w:hAnsi="Times New Roman"/>
          <w:i/>
          <w:color w:val="000000"/>
          <w:sz w:val="20"/>
        </w:rPr>
        <w:t>Our directors may decide not to enforce indemnification obligations against our Sponsor, resulting in a reduction in the amount of funds in the trust account available for distribution to our public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the proceeds in the trust account are reduced below $10.00 per share and our Sponsor asserts that it is unable to satisfy obligations or that it has no indemnification obligations related to a particular claim, our independent directors 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 </w:t>
      </w:r>
    </w:p>
    <w:p>
      <w:pPr>
        <w:pStyle w:val="TextBody"/>
        <w:bidi w:val="0"/>
        <w:spacing w:before="240" w:after="283"/>
        <w:jc w:val="left"/>
        <w:rPr>
          <w:rFonts w:ascii="Times New Roman" w:hAnsi="Times New Roman"/>
          <w:sz w:val="20"/>
        </w:rPr>
      </w:pPr>
      <w:r>
        <w:rPr>
          <w:rFonts w:ascii="Times New Roman" w:hAnsi="Times New Roman"/>
          <w:i/>
          <w:color w:val="000000"/>
          <w:sz w:val="20"/>
        </w:rPr>
        <w:t>If we are deemed to be an investment company under the Investment Company Act, we may be required to institute burdensome compliance requirements and our activities may be restricted, which may make it difficult for us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were deemed to be subject to the Investment Company Act, compliance with these additional regulatory burdens would require additional expenses for which we have not allotted funds and may hinder our ability to consummate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combination or to redeem 100% of our public shares if we have not consummated our initial business combination within 24 months from the closing of the Offering or (B) with respect to any other provisions relating to shareholders’ rights or pre-initial business combination activity; or (iii) absent an initial business combination within 24 months from the closing of the Offering, our return of the funds held in the trust account to our public shareholders as part of our redemption of the public shares. If we do not invest the proceeds as discussed above, we may be deemed to be subject to the Investment Company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litigation claiming that certain SPACs should be considered to be investment companies. Although we believe that these claims are without merit, we cannot guarantee that we will not be deemed to be an investment company and thus subject to the Investment Company Act. If we are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circumstances change over time, we will update our disclosure to reflect how such changes impact the risk that we may be considered to be operating as an unregistered investment company. </w:t>
      </w:r>
    </w:p>
    <w:p>
      <w:pPr>
        <w:pStyle w:val="TextBody"/>
        <w:bidi w:val="0"/>
        <w:spacing w:before="240" w:after="283"/>
        <w:jc w:val="left"/>
        <w:rPr>
          <w:rFonts w:ascii="Times New Roman" w:hAnsi="Times New Roman"/>
          <w:sz w:val="20"/>
        </w:rPr>
      </w:pPr>
      <w:r>
        <w:rPr>
          <w:rFonts w:ascii="Times New Roman" w:hAnsi="Times New Roman"/>
          <w:i/>
          <w:color w:val="000000"/>
          <w:sz w:val="20"/>
        </w:rPr>
        <w:t>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 will update our disclosure to reflect how those changes impact the risk that we may be considered to be operating as an unregistered investment company. As disclosed above, we may determine, in our discretion, to liquidate the securities held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 </w:t>
      </w:r>
    </w:p>
    <w:p>
      <w:pPr>
        <w:pStyle w:val="TextBody"/>
        <w:bidi w:val="0"/>
        <w:spacing w:before="240" w:after="283"/>
        <w:jc w:val="left"/>
        <w:rPr>
          <w:rFonts w:ascii="Times New Roman" w:hAnsi="Times New Roman"/>
          <w:sz w:val="20"/>
        </w:rPr>
      </w:pPr>
      <w:r>
        <w:rPr>
          <w:rFonts w:ascii="Times New Roman" w:hAnsi="Times New Roman"/>
          <w:i/>
          <w:color w:val="000000"/>
          <w:sz w:val="20"/>
        </w:rPr>
        <w:t>Our shareholders may be held liable for claims by third parties against us to the extent of distributions received by them.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 </w:t>
      </w:r>
    </w:p>
    <w:p>
      <w:pPr>
        <w:pStyle w:val="TextBody"/>
        <w:bidi w:val="0"/>
        <w:spacing w:before="240" w:after="283"/>
        <w:jc w:val="left"/>
        <w:rPr>
          <w:rFonts w:ascii="Times New Roman" w:hAnsi="Times New Roman"/>
          <w:sz w:val="20"/>
        </w:rPr>
      </w:pPr>
      <w:r>
        <w:rPr>
          <w:rFonts w:ascii="Times New Roman" w:hAnsi="Times New Roman"/>
          <w:i/>
          <w:color w:val="000000"/>
          <w:sz w:val="20"/>
        </w:rPr>
        <w:t>If third parties bring claims against the Company, the proceeds held in trust could be reduced and the per-share redemption price received by shareholders may be less than $10.00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Annual Report)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which is filed as an exhibit to the Annual Report, our Sponsor has agreed that it will be liable to us if and to the extent any claims by a third party for services rendered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 </w:t>
      </w:r>
    </w:p>
    <w:p>
      <w:pPr>
        <w:pStyle w:val="TextBody"/>
        <w:bidi w:val="0"/>
        <w:spacing w:before="240" w:after="283"/>
        <w:jc w:val="left"/>
        <w:rPr>
          <w:rFonts w:ascii="Times New Roman" w:hAnsi="Times New Roman"/>
          <w:sz w:val="20"/>
        </w:rPr>
      </w:pPr>
      <w:r>
        <w:rPr>
          <w:rFonts w:ascii="Times New Roman" w:hAnsi="Times New Roman"/>
          <w:i/>
          <w:color w:val="000000"/>
          <w:sz w:val="20"/>
        </w:rPr>
        <w:t>Unlike some other similarly structured blank check companies, our Sponsor will receive additional Class A ordinary shares if we issue shares to consummate an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equity-linked securities convertible or exercisable for Class A ordinary shares are issued or deemed issued in excess of the amounts sold in the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the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 </w:t>
      </w:r>
    </w:p>
    <w:p>
      <w:pPr>
        <w:pStyle w:val="TextBody"/>
        <w:bidi w:val="0"/>
        <w:spacing w:before="240" w:after="283"/>
        <w:jc w:val="left"/>
        <w:rPr>
          <w:rFonts w:ascii="Times New Roman" w:hAnsi="Times New Roman"/>
          <w:sz w:val="20"/>
        </w:rPr>
      </w:pPr>
      <w:r>
        <w:rPr>
          <w:rFonts w:ascii="Times New Roman" w:hAnsi="Times New Roman"/>
          <w:i/>
          <w:color w:val="000000"/>
          <w:sz w:val="20"/>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registration rights agreement, our initial shareholders and their respective permitted transferees, can demand that we register for resale an aggregate of 7,850,229 founder shares, 2,964,203 private investor shares, 357,625 private placement shares, 71,525 shares issued upon the conversion of the private placement rights upon the consummation of our initial business combination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negative impact on the market price of our public shares that is expected when the securities owned by our initial shareholders or their respective permitted transferees, are registered. </w:t>
      </w:r>
    </w:p>
    <w:p>
      <w:pPr>
        <w:pStyle w:val="TextBody"/>
        <w:bidi w:val="0"/>
        <w:spacing w:before="180" w:after="283"/>
        <w:jc w:val="left"/>
        <w:rPr>
          <w:rFonts w:ascii="Times New Roman" w:hAnsi="Times New Roman"/>
          <w:sz w:val="20"/>
        </w:rPr>
      </w:pPr>
      <w:r>
        <w:rPr>
          <w:rFonts w:ascii="Times New Roman" w:hAnsi="Times New Roman"/>
          <w:i/>
          <w:color w:val="000000"/>
          <w:sz w:val="20"/>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Although we intend to focus on A&amp;D, cybersecurity and secured communications and quantum-based command and control systems, AI and ML industries,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 </w:t>
      </w:r>
    </w:p>
    <w:p>
      <w:pPr>
        <w:pStyle w:val="TextBody"/>
        <w:bidi w:val="0"/>
        <w:spacing w:before="240" w:after="283"/>
        <w:jc w:val="left"/>
        <w:rPr>
          <w:rFonts w:ascii="Times New Roman" w:hAnsi="Times New Roman"/>
          <w:sz w:val="20"/>
        </w:rPr>
      </w:pPr>
      <w:r>
        <w:rPr>
          <w:rFonts w:ascii="Times New Roman" w:hAnsi="Times New Roman"/>
          <w:i/>
          <w:color w:val="000000"/>
          <w:sz w:val="20"/>
        </w:rPr>
        <w:t>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 </w:t>
      </w:r>
    </w:p>
    <w:p>
      <w:pPr>
        <w:pStyle w:val="TextBody"/>
        <w:bidi w:val="0"/>
        <w:jc w:val="left"/>
        <w:rPr>
          <w:rFonts w:ascii="Times New Roman" w:hAnsi="Times New Roman"/>
          <w:sz w:val="20"/>
        </w:rPr>
      </w:pPr>
      <w:r>
        <w:rPr>
          <w:rFonts w:ascii="Times New Roman" w:hAnsi="Times New Roman"/>
          <w:i/>
          <w:color w:val="000000"/>
          <w:sz w:val="20"/>
        </w:rPr>
        <w:t>We may seek acquisition opportunities outside the A&amp;D, cybersecurity and secured communications and quantum-based command and control systems, AI and ML industries, which may be outside of our management’s areas of expertise.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consider a business combination outside the A&amp;D, cybersecurity and secured communications and quantum-based command and control systems, AI and ML industries, such as the pharmaceutical, medical technology and equipment or health care industries,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the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Annual Report regarding the areas of our management’s expertise would not be relevant to an understanding of the business that we elect to acquire. As a result, our management may not be 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60" w:after="283"/>
        <w:jc w:val="left"/>
        <w:rPr>
          <w:rFonts w:ascii="Times New Roman" w:hAnsi="Times New Roman"/>
          <w:sz w:val="20"/>
        </w:rPr>
      </w:pPr>
      <w:r>
        <w:rPr>
          <w:rFonts w:ascii="Times New Roman" w:hAnsi="Times New Roman"/>
          <w:i/>
          <w:color w:val="000000"/>
          <w:sz w:val="20"/>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or potentially less than $10.00 per share on our redemption. </w:t>
      </w:r>
    </w:p>
    <w:p>
      <w:pPr>
        <w:pStyle w:val="TextBody"/>
        <w:bidi w:val="0"/>
        <w:spacing w:before="260" w:after="283"/>
        <w:jc w:val="left"/>
        <w:rPr>
          <w:rFonts w:ascii="Times New Roman" w:hAnsi="Times New Roman"/>
          <w:sz w:val="20"/>
        </w:rPr>
      </w:pPr>
      <w:r>
        <w:rPr>
          <w:rFonts w:ascii="Times New Roman" w:hAnsi="Times New Roman"/>
          <w:i/>
          <w:color w:val="000000"/>
          <w:sz w:val="20"/>
        </w:rPr>
        <w:t>We may seek acquisition opportunities with an early-stage company, a financially unstable business or an entity lacking an established record of revenue or earnings.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 </w:t>
      </w:r>
    </w:p>
    <w:p>
      <w:pPr>
        <w:pStyle w:val="TextBody"/>
        <w:bidi w:val="0"/>
        <w:spacing w:before="240" w:after="283"/>
        <w:jc w:val="left"/>
        <w:rPr>
          <w:rFonts w:ascii="Times New Roman" w:hAnsi="Times New Roman"/>
          <w:sz w:val="20"/>
        </w:rPr>
      </w:pPr>
      <w:r>
        <w:rPr>
          <w:rFonts w:ascii="Times New Roman" w:hAnsi="Times New Roman"/>
          <w:i/>
          <w:color w:val="000000"/>
          <w:sz w:val="20"/>
        </w:rPr>
        <w:t>We are not required to obtain an opinion from an independent investment banking firm or another independent entity, and consequently, an independent source may not confirm that the price we are paying for the business is fair to our shareholders from a financial point of 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used to establish the fair market value of the target acquisition. Such standards used will be disclosed in our tender offer documents or proxy solicitation materials, as applicable, related to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authorize the issuance of up to 200,000,000 Class A ordinary shares, par value $0.0001 per share, 20,000,000 Class B ordinary shares, par value $0.0001 per share, and 1,000,000 preferred shares, par value $0.0001 per share. Immediately after the Offering, there are 174,342,375 authorized but unissued Class A ordinary shares and 9,185,568 authorized but unissued Class B ordinary shares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anti-dilution rights, as described herein and in our amended and restated memorandum and articles of association. Immediately after the Offering, there are no preferred shares issued and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the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may significantly dilute the equity interest of investors in the Offering, which dilution would increase if the anti-dilution provisions in the Class B ordinary shares resulted in the issuance of Class A ordinary shares on a greater than one-to-one basis upon conversion of the Class B ordinary shares; </w:t>
      </w:r>
    </w:p>
    <w:p>
      <w:pPr>
        <w:pStyle w:val="TextBody"/>
        <w:bidi w:val="0"/>
        <w:jc w:val="left"/>
        <w:rPr>
          <w:rFonts w:ascii="Times New Roman" w:hAnsi="Times New Roman"/>
          <w:color w:val="000000"/>
          <w:sz w:val="20"/>
        </w:rPr>
      </w:pPr>
      <w:r>
        <w:rPr>
          <w:rFonts w:ascii="Times New Roman" w:hAnsi="Times New Roman"/>
          <w:color w:val="000000"/>
          <w:sz w:val="20"/>
        </w:rPr>
        <w:t xml:space="preserve"> may subordinate the rights of holders of Class A ordinary shares if preferred shares are issued with rights senior to those afforded to Class A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may have the effect of delaying or preventing a change of control of the post-business combination company by diluting the share ownership or voting rights of a person seeking to obtain control of the post-business combination company;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may adversely affect prevailing market prices for our public shares.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more information on additional financing that we may raise in connection with our business combination and risks related thereto, also see “Risk Factors— </w:t>
      </w:r>
      <w:r>
        <w:rPr>
          <w:rFonts w:ascii="Times New Roman" w:hAnsi="Times New Roman"/>
          <w:i/>
          <w:color w:val="000000"/>
          <w:sz w:val="20"/>
        </w:rPr>
        <w:t>Risks Relating to the Post-Business Combination Company —The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r>
        <w:rPr>
          <w:rFonts w:ascii="Times New Roman" w:hAnsi="Times New Roman"/>
          <w:color w:val="000000"/>
          <w:sz w:val="20"/>
        </w:rPr>
        <w:t>” and “</w:t>
      </w:r>
      <w:r>
        <w:rPr>
          <w:rFonts w:ascii="Times New Roman" w:hAnsi="Times New Roman"/>
          <w:i/>
          <w:color w:val="000000"/>
          <w:sz w:val="20"/>
        </w:rPr>
        <w:t>Risk Factors — Risks Relating to our Search for, and Consummation of or Inability to Consummate, a Business Combination — 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Resources could be wasted in researching acquisitions that are not consummated, which could materially adversely affect subsequent attempts to locate and acquire or merge with another business. If we do not complete our initial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combination within the required time period, our public shareholders may receive only approximately $10.00 per public share, or less in certain circumstances, on the liquidation of our trust account.</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or potentially less than $10.00 per share on our redemption, and our rights will expire worthless. </w:t>
      </w:r>
    </w:p>
    <w:p>
      <w:pPr>
        <w:pStyle w:val="TextBody"/>
        <w:bidi w:val="0"/>
        <w:spacing w:before="260" w:after="283"/>
        <w:jc w:val="left"/>
        <w:rPr>
          <w:rFonts w:ascii="Times New Roman" w:hAnsi="Times New Roman"/>
          <w:sz w:val="20"/>
        </w:rPr>
      </w:pPr>
      <w:r>
        <w:rPr>
          <w:rFonts w:ascii="Times New Roman" w:hAnsi="Times New Roman"/>
          <w:i/>
          <w:color w:val="000000"/>
          <w:sz w:val="20"/>
        </w:rPr>
        <w:t>We may engage in our initial business combination with one or more target businesses that have relationships with entities that may be affiliated with our Sponsor, executive officers or directors, which may raise potential conflicts of interest.</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our initial business combination and such transaction was approved by a majority of our disinterested directors. In such event, neither the Sponsor, nor any executive officer or director, will be entitled to receive or accept a finder’s fee or any other compensation in the event such party originates a business combination. Despite our agreement to obtain 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 </w:t>
      </w:r>
    </w:p>
    <w:p>
      <w:pPr>
        <w:pStyle w:val="TextBody"/>
        <w:bidi w:val="0"/>
        <w:spacing w:before="260" w:after="283"/>
        <w:jc w:val="left"/>
        <w:rPr>
          <w:rFonts w:ascii="Times New Roman" w:hAnsi="Times New Roman"/>
          <w:sz w:val="20"/>
        </w:rPr>
      </w:pPr>
      <w:r>
        <w:rPr>
          <w:rFonts w:ascii="Times New Roman" w:hAnsi="Times New Roman"/>
          <w:i/>
          <w:color w:val="000000"/>
          <w:sz w:val="20"/>
        </w:rPr>
        <w:t>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 the Offering), and our executive officers and directors have significant financial interests in our Sponsor, a conflict of interest may arise in determining whether a particular acquisition target is appropriate for our initial business combination.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leaving outstanding 7,850,229 founder shares. At the time of the Offering our Sponsor sold 375,397 founder shares in the aggregate to Messrs. Greene, Machuca, Timm and Horowitz at an aggregate price of $9,244 and 1,416,665 founder shares to Lynrock at an aggregate price of $13,130, thus reducing the price paid by our Sponsor for the 6,058,167 founder shares which it retained to $2,626, or $0.000434 per share. Prior to the consummation of the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Following this transfer of shares, the Sponsor holds 6,053,167 founder shares. The founder shares together with the private investor shares and private placement shares after the Offering represent 30.6% of the issued and outstanding ordinary shares. The founder shares and the private investor shares will be worthless if we do not complete an initial business combination. Drs. Katz and Dinu, who are husband and wife, have a financial interest in an affiliate of our Sponsor, the management company known as GigManagement, LLC, that is providing us with office space and general and administrative services. Drs. Katz and Dinu are also managing members of GigManagement, LLC. The personal and financial interests of our Sponsor, as well as our executive officers and directors with a significant financial interest in our Sponsor, may influence their motivation in identifying and selecting a target business combination, completing an initial business combination and influencing the operation of the business following the initial business combination. This risk may become more acute as the end of the completion window nears, which is the deadline for our completion of an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only be able to complete one business combination with the proceeds of the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proceeds after the Offering, the sale of private investor shares and private placement units that we may use to complete our initial business combination is $253,000,000.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solely dependent upon the performance of a single business, property or asset,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dependent upon the development or market acceptance of a single or limited number of products, processes or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lack of diversification may subject us to numerous economic, competitive and regulatory risks, any or all of which may have a substantial adverse impact upon the particular industry in which we may operate subsequent to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determine to simultaneously acquire several businesses that are owned by different sellers, we will need for each of such sellers to agree that our purchase of its business is contingent on the simultaneous closings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 </w:t>
      </w:r>
    </w:p>
    <w:p>
      <w:pPr>
        <w:pStyle w:val="TextBody"/>
        <w:bidi w:val="0"/>
        <w:spacing w:before="240" w:after="283"/>
        <w:jc w:val="left"/>
        <w:rPr>
          <w:rFonts w:ascii="Times New Roman" w:hAnsi="Times New Roman"/>
          <w:sz w:val="20"/>
        </w:rPr>
      </w:pPr>
      <w:r>
        <w:rPr>
          <w:rFonts w:ascii="Times New Roman" w:hAnsi="Times New Roman"/>
          <w:i/>
          <w:color w:val="000000"/>
          <w:sz w:val="20"/>
        </w:rPr>
        <w:t>We may attempt to consummate our initial business combination with a private company about which little information is available, which may result in our initial business combination with a company that is not as profitable as we suspected,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or at all. </w:t>
      </w:r>
    </w:p>
    <w:p>
      <w:pPr>
        <w:pStyle w:val="TextBody"/>
        <w:bidi w:val="0"/>
        <w:spacing w:before="240" w:after="283"/>
        <w:jc w:val="left"/>
        <w:rPr>
          <w:rFonts w:ascii="Times New Roman" w:hAnsi="Times New Roman"/>
          <w:sz w:val="20"/>
        </w:rPr>
      </w:pPr>
      <w:r>
        <w:rPr>
          <w:rFonts w:ascii="Times New Roman" w:hAnsi="Times New Roman"/>
          <w:i/>
          <w:color w:val="000000"/>
          <w:sz w:val="20"/>
        </w:rPr>
        <w:t>Unlike some blank check companies, we do not have a specified maximum redemption threshold. The absence of such a redemption threshold may make it easier for us to consummate our initial business combination with which a substantial majority of our shareholders do not agree.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we have no specified percentage threshold for redemption contained in our amended and restated memorandum and articles of association, our structure is different in this respect from the structure that has been 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shareholder meeting. It may be easier for us, therefore, to amend our amended and restated memorandum and articles of association and the trust agreement to facilitate the completion of an initial business combination that some of our shareholders may not support.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amended and restated memorandum and articles of association provide that any of its provisions related to pre-business combination activity (including the requirement to deposit proceeds of the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a majority of our ordinary shares, which are represented in person or by proxy and are voted at a general meeting; </w:t>
      </w:r>
      <w:r>
        <w:rPr>
          <w:rFonts w:ascii="Times New Roman" w:hAnsi="Times New Roman"/>
          <w:i/>
          <w:color w:val="000000"/>
          <w:sz w:val="20"/>
        </w:rPr>
        <w:t>provided</w:t>
      </w:r>
      <w:r>
        <w:rPr>
          <w:rFonts w:ascii="Times New Roman" w:hAnsi="Times New Roman"/>
          <w:color w:val="000000"/>
          <w:sz w:val="20"/>
        </w:rPr>
        <w:t xml:space="preserve"> that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least 90% (or, where such amendment is proposed in respect of the consummation of our initial business combination, two-thirds) of our ordinary shares voting at the applicable general meeting. Our initial shareholders, and their permitted transferees, if any, who collectively beneficially own, on an as-converted basis, 30.6% of our issued and outstanding ordinary shares upon the closing of the Offering,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36,472,057 ordinary shares of the Company that will be issued and outstanding shares following the Offering than 30.6%,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amendment to any such provision is approved by the requisite shareholder vote, then the corresponding provisions of the trust agreement governing the release of funds from our trust account may be amended. Subsequent to the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collectively beneficially own approximately 17.6% of our outstanding ordinary shares upon the closing of the Offering, and they may participate in any vote to amend our amended and restated memorandum and articles of association and/or trust agreement and will have the discretion to vote in any manner they choose; </w:t>
      </w:r>
      <w:r>
        <w:rPr>
          <w:rFonts w:ascii="Times New Roman" w:hAnsi="Times New Roman"/>
          <w:i/>
          <w:color w:val="000000"/>
          <w:sz w:val="20"/>
        </w:rPr>
        <w:t>provided, that</w:t>
      </w:r>
      <w:r>
        <w:rPr>
          <w:rFonts w:ascii="Times New Roman" w:hAnsi="Times New Roman"/>
          <w:color w:val="000000"/>
          <w:sz w:val="20"/>
        </w:rPr>
        <w:t xml:space="preserve">,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the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 </w:t>
      </w:r>
    </w:p>
    <w:p>
      <w:pPr>
        <w:pStyle w:val="TextBody"/>
        <w:bidi w:val="0"/>
        <w:spacing w:before="240" w:after="283"/>
        <w:jc w:val="left"/>
        <w:rPr>
          <w:rFonts w:ascii="Times New Roman" w:hAnsi="Times New Roman"/>
          <w:sz w:val="20"/>
        </w:rPr>
      </w:pPr>
      <w:r>
        <w:rPr>
          <w:rFonts w:ascii="Times New Roman" w:hAnsi="Times New Roman"/>
          <w:i/>
          <w:color w:val="000000"/>
          <w:sz w:val="20"/>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or potentially less than $10.00 per share on our redemption.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the net proceeds of the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the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or potentially less than $10.00 per share on our redemption. In addition, even if we do not need additional financing to consummate our initial business combination, we may require such financing to fund the operations or growth of the target business. The failure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secure additional financing could have a material adverse effect on the continued development or growth of the target business. None of our officers, directors or shareholders is required to provide any financing to us in connection with or after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Our initial shareholders will control a substantial interest in us and thus may influence certain actions requiring a shareholder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consummation of our Offering, our initial shareholders own approximately 30.6% of the issued and outstanding shares. If any of the non-managing investors purchased public units, our initial shareholders will beneficially own a greater amount of the issued and outstanding 36,472,057 ordinary shares of the Company than 30.6%,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our Sponsor, executive officers, directors, or any of their affiliates has indicated any intention to purchase public shares from persons on the open market or in private transactions, but they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the Offering, as well as any public shares acquired in the Offering or in the aftermarket in favor of such proposed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Because we must furnish our shareholders with target business financial statements, we may lose the ability to complete an otherwise advantageous initial business combination with some prospective target businesses.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United States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must be prepared in accordance with, or be reconciled to, GAAP, or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 </w:t>
      </w:r>
    </w:p>
    <w:p>
      <w:pPr>
        <w:pStyle w:val="TextBody"/>
        <w:bidi w:val="0"/>
        <w:spacing w:before="240" w:after="283"/>
        <w:jc w:val="left"/>
        <w:rPr>
          <w:rFonts w:ascii="Times New Roman" w:hAnsi="Times New Roman"/>
          <w:sz w:val="20"/>
        </w:rPr>
      </w:pPr>
      <w:r>
        <w:rPr>
          <w:rFonts w:ascii="Times New Roman" w:hAnsi="Times New Roman"/>
          <w:i/>
          <w:color w:val="000000"/>
          <w:sz w:val="20"/>
        </w:rPr>
        <w:t>Redeeming shareholders may be unable to sell their securities when they wish to in the event that the proposed business combination is not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Like most SPACs, our structure may not fully align the economic interests of our Sponsor and those persons, including certain of our officers and directors, who have interests in our Sponsor with the economic interests of our public shareholders. Upon the closing of the Offering our insiders have invested in us an aggregate of $452,000 comprised of the $2,626 purchase price paid by the Sponsor for 6,053,167 founder shares (after giving effect to the sales of shares to the four directors and Lynrock and the transfer of 5,000 founder shares to our Chief Financial Officer), the $9,244 purchase price paid by the four directors for the aggregate of 375,397 founder shares and $440,130 purchase price for the 45,200 private placement units which our insiders hold. Assuming a trading price of $10.00 per share upon consummation of our initial business combination, the 6,433,564 founder shares held by the insiders would have an aggregate implied value of $64,335,640, and the 45,200 private placement shares held by the insiders would have an aggregate implied value of $452,000, for an aggregated implied value of all such shares held by our insiders of $64,787,640. Even if the trading price of our public shares was as low as $0.00151206 per share, the value of the founder shares would be equal to the insiders’ aggregate investment in us for such shares. Furthermore, if the trading price of our public shares was as low as $0.070 per share, the value of the aggregated shares of our insiders (the founder shares and the private placement shares combined) would be equal to the insiders’ total aggregated investment in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upon closing of the Offering the non-managing investors have invested $2,624,266 in us in the aggregate for the purchase of 2,964,203 private investor shares at a purchase price of $0.023254 per private investor share and 262,425 private placement units at a purchase price of $9.7374 per private placement unit. Assuming the trading price of $10.00 per share upon consummation of our initial business combination, the 2,964,203 private placement shares held by the non-managing investors would have an aggregate implied value of $29,642,030, and the 262,425 private placement shares would have an aggregate implied value of $2,624,250, for an aggregated implied value of all such shares held by the non-managing investors of $32,266,280. Even if the trading price of our public shares was as low as $0.925 per share, the value of the combined private investor shares and private placement shares collectively held by the non-managing investors would be equal to the aggregate investment of the non-managing investors in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so long as we complete an initial business combination, our insiders and non-managing investors are likely to be able to recoup their investment in us and make a substantial profit on that investment, even if our public shares lose significant value. Accordingly, our insiders,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 favorable business combination transaction that could result in an improved outcome for our public shareholders or liquidate and return all of the cash in the trust to the public shareholders. For the foregoing reasons, you should consider our insiders’, the non-managing investors’ and our management team’s financial incentive to complete an initial business combination when evaluating whether to invest in the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 </w:t>
      </w:r>
    </w:p>
    <w:p>
      <w:pPr>
        <w:pStyle w:val="TextBody"/>
        <w:bidi w:val="0"/>
        <w:spacing w:before="240" w:after="283"/>
        <w:jc w:val="left"/>
        <w:rPr>
          <w:rFonts w:ascii="Times New Roman" w:hAnsi="Times New Roman"/>
          <w:sz w:val="20"/>
        </w:rPr>
      </w:pPr>
      <w:r>
        <w:rPr>
          <w:rFonts w:ascii="Times New Roman" w:hAnsi="Times New Roman"/>
          <w:i/>
          <w:color w:val="000000"/>
          <w:sz w:val="20"/>
        </w:rPr>
        <w:t>If we are unable to consummate our initial business combination within 24 months from the closing of the Offering, our public shareholders may be forced to wait beyond such period before redemption from our trust account.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consummate our initial business combination within 24 months from the closing of the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the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 </w:t>
      </w:r>
    </w:p>
    <w:p>
      <w:pPr>
        <w:pStyle w:val="TextBody"/>
        <w:bidi w:val="0"/>
        <w:jc w:val="left"/>
        <w:rPr>
          <w:rFonts w:ascii="Times New Roman" w:hAnsi="Times New Roman"/>
          <w:sz w:val="20"/>
        </w:rPr>
      </w:pPr>
      <w:r>
        <w:rPr>
          <w:rFonts w:ascii="Times New Roman" w:hAnsi="Times New Roman"/>
          <w:i/>
          <w:color w:val="000000"/>
          <w:sz w:val="20"/>
        </w:rPr>
        <w:t>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 shareholders of our Company and wait the full 24 months from the closing of the Offering, in order to be able to receive a portion of the trust account, or attempt to sell their shares on the open market prior to such time, in 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 </w:t>
      </w:r>
    </w:p>
    <w:p>
      <w:pPr>
        <w:pStyle w:val="TextBody"/>
        <w:bidi w:val="0"/>
        <w:spacing w:before="240" w:after="283"/>
        <w:jc w:val="left"/>
        <w:rPr>
          <w:rFonts w:ascii="Times New Roman" w:hAnsi="Times New Roman"/>
          <w:sz w:val="20"/>
        </w:rPr>
      </w:pPr>
      <w:r>
        <w:rPr>
          <w:rFonts w:ascii="Times New Roman" w:hAnsi="Times New Roman"/>
          <w:i/>
          <w:color w:val="000000"/>
          <w:sz w:val="20"/>
        </w:rPr>
        <w:t>Our Sponsor may decide not to extend the term we have to consummate our initial business combination, in which case we would cease all operations except for the purpose of winding up and we would redeem our public shares and liquidate.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have until 24 months from the closing of the Offering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we will, as promptly as reasonably possible but not more than ten (10)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We may seek business combination opportunities with a high degree of complexity that require significant operational improvements, which could delay or prevent us from achieving our desired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not hold an annual meeting of shareholders until after the consummation of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 </w:t>
      </w:r>
    </w:p>
    <w:p>
      <w:pPr>
        <w:pStyle w:val="TextBody"/>
        <w:bidi w:val="0"/>
        <w:spacing w:before="240" w:after="283"/>
        <w:jc w:val="left"/>
        <w:rPr>
          <w:rFonts w:ascii="Times New Roman" w:hAnsi="Times New Roman"/>
          <w:sz w:val="20"/>
        </w:rPr>
      </w:pPr>
      <w:r>
        <w:rPr>
          <w:rFonts w:ascii="Times New Roman" w:hAnsi="Times New Roman"/>
          <w:i/>
          <w:color w:val="000000"/>
          <w:sz w:val="20"/>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the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If, after we distribute the proceeds in the trust account to our public shareholders, we file a bankruptcy petition or an involuntary bankruptcy petition is filed against us that is not dismissed, a bankruptcy court may seek to recover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such proceeds, and the members of our board of directors may be viewed as having breached their fiduciary duties to our creditors, thereby exposing the members of our board of directors and us to claims of punitive damages.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 </w:t>
      </w:r>
    </w:p>
    <w:p>
      <w:pPr>
        <w:pStyle w:val="TextBody"/>
        <w:bidi w:val="0"/>
        <w:jc w:val="left"/>
        <w:rPr>
          <w:rFonts w:ascii="Times New Roman" w:hAnsi="Times New Roman"/>
          <w:sz w:val="20"/>
        </w:rPr>
      </w:pPr>
      <w:r>
        <w:rPr>
          <w:rFonts w:ascii="Times New Roman" w:hAnsi="Times New Roman"/>
          <w:i/>
          <w:color w:val="000000"/>
          <w:sz w:val="20"/>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 </w:t>
      </w:r>
    </w:p>
    <w:p>
      <w:pPr>
        <w:pStyle w:val="TextBody"/>
        <w:bidi w:val="0"/>
        <w:spacing w:before="240" w:after="283"/>
        <w:jc w:val="left"/>
        <w:rPr>
          <w:rFonts w:ascii="Times New Roman" w:hAnsi="Times New Roman"/>
          <w:sz w:val="20"/>
        </w:rPr>
      </w:pPr>
      <w:r>
        <w:rPr>
          <w:rFonts w:ascii="Times New Roman" w:hAnsi="Times New Roman"/>
          <w:i/>
          <w:color w:val="000000"/>
          <w:sz w:val="20"/>
        </w:rPr>
        <w:t>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prior to the closing of our initial business combination, transferring the Company by way of continuation in a jurisdiction outside the Cayman Islands would only require the approval of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w:t>
      </w:r>
    </w:p>
    <w:p>
      <w:pPr>
        <w:pStyle w:val="TextBody"/>
        <w:bidi w:val="0"/>
        <w:spacing w:before="240" w:after="283"/>
        <w:jc w:val="left"/>
        <w:rPr>
          <w:rFonts w:ascii="Times New Roman" w:hAnsi="Times New Roman"/>
          <w:sz w:val="20"/>
        </w:rPr>
      </w:pPr>
      <w:r>
        <w:rPr>
          <w:rFonts w:ascii="Times New Roman" w:hAnsi="Times New Roman"/>
          <w:i/>
          <w:color w:val="000000"/>
          <w:sz w:val="20"/>
        </w:rPr>
        <w:t>We may not be able to complete a business combination with certain potential target companies if a proposed transaction with the target company may be subject to review or approval by regulatory authorities pursuant to certain U.S. or foreign laws or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Sponsor is a Cayman Islands exempted company. Our Sponsor, following the sale of founders shares to the four directors and Lynrock and transfer of 5,000 founder shares to the Chief Financial Officer, owns 6,053,167 founder shares.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we do have two directors, Admiral (Ret.) David Ben-Bashat and Rear Admiral (Ret.) Omri Dagul, who are non-U.S. persons, neither of whom are deemed to have voting and investment discretion with respect to the securities held of record by the Sponsor or “control” of the Sponsor, and neither of whom has purchased any of our securities (unlike four of our other directors who have purchased our securities, and all four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those other directors are U.S. citizens). Further,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 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 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Moreover, the process of government review, whether by the CFIUS or otherwise, could be lengthy and we have limited time to complete our business combination. If we cannot complete a business combination within 24 months from the closing of the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 </w:t>
      </w:r>
    </w:p>
    <w:p>
      <w:pPr>
        <w:pStyle w:val="TextBody"/>
        <w:bidi w:val="0"/>
        <w:spacing w:before="220" w:after="283"/>
        <w:jc w:val="left"/>
        <w:rPr>
          <w:rFonts w:ascii="Times New Roman" w:hAnsi="Times New Roman"/>
          <w:sz w:val="20"/>
        </w:rPr>
      </w:pPr>
      <w:r>
        <w:rPr>
          <w:rFonts w:ascii="Times New Roman" w:hAnsi="Times New Roman"/>
          <w:i/>
          <w:color w:val="000000"/>
          <w:sz w:val="20"/>
        </w:rPr>
        <w:t>We may engage one or more of our underwriters or one of their respective affiliates to provide additional services to us after the Offering, which may include acting as M&amp;A advisor in connection with an initial business combination or as placement agent in connection with a related financing transaction for an additional fee. These financial incentives may cause them to have potential conflicts of interest in rendering any such additional services to us after the Offering, including, for example, in connection with the sourcing and consummation of an initial business combination.</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color w:val="000000"/>
          <w:sz w:val="20"/>
        </w:rPr>
        <w:t xml:space="preserve">We may engage one or more of our underwriters or one of their respective affiliates to provide additional services to us after the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hAnsi="Times New Roman"/>
          <w:i/>
          <w:color w:val="000000"/>
          <w:sz w:val="20"/>
        </w:rPr>
        <w:t>provided</w:t>
      </w:r>
      <w:r>
        <w:rPr>
          <w:rFonts w:ascii="Times New Roman" w:hAnsi="Times New Roman"/>
          <w:color w:val="000000"/>
          <w:sz w:val="20"/>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the prospectus, unless the Financial Industry Regulatory Authority (“FINRA”) determines that such payment would not be deemed underwriters’ compensation in connection with the Offering.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 </w:t>
      </w:r>
    </w:p>
    <w:p>
      <w:pPr>
        <w:pStyle w:val="TextBody"/>
        <w:bidi w:val="0"/>
        <w:jc w:val="left"/>
        <w:rPr>
          <w:rFonts w:ascii="Times New Roman" w:hAnsi="Times New Roman"/>
          <w:sz w:val="20"/>
        </w:rPr>
      </w:pPr>
      <w:r>
        <w:rPr>
          <w:rFonts w:ascii="Times New Roman" w:hAnsi="Times New Roman"/>
          <w:i/>
          <w:color w:val="000000"/>
          <w:sz w:val="20"/>
        </w:rPr>
        <w:t>Changes in international trade policies, tariffs and treaties affecting imports and exports may have a material adverse effect on our search for an initial business combination target or the performance or business prospects of a post-business combination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 </w:t>
      </w:r>
    </w:p>
    <w:p>
      <w:pPr>
        <w:pStyle w:val="TextBody"/>
        <w:bidi w:val="0"/>
        <w:spacing w:before="400" w:after="283"/>
        <w:jc w:val="left"/>
        <w:rPr>
          <w:rFonts w:ascii="Times New Roman" w:hAnsi="Times New Roman"/>
          <w:sz w:val="20"/>
        </w:rPr>
      </w:pPr>
      <w:r>
        <w:rPr>
          <w:rFonts w:ascii="Times New Roman" w:hAnsi="Times New Roman"/>
          <w:b/>
          <w:color w:val="000000"/>
          <w:sz w:val="20"/>
        </w:rPr>
        <w:t>Risks Relating to the Post-Business Combination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Subsequent to our consummation of our initial business combination, we may be required to take write-downs or write-offs, or we may be subject to restructuring and impairment or other charges that could have a significant negative effect on our financial condition, results of operations and the price of our public shares, which could cause you to lose some or all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40" w:after="283"/>
        <w:jc w:val="left"/>
        <w:rPr>
          <w:rFonts w:ascii="Times New Roman" w:hAnsi="Times New Roman"/>
          <w:sz w:val="20"/>
        </w:rPr>
      </w:pPr>
      <w:r>
        <w:rPr>
          <w:rFonts w:ascii="Times New Roman" w:hAnsi="Times New Roman"/>
          <w:i/>
          <w:color w:val="000000"/>
          <w:sz w:val="20"/>
        </w:rPr>
        <w:t>Our management team and our shareholders may not be able to maintain control of a target business after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 </w:t>
      </w:r>
    </w:p>
    <w:p>
      <w:pPr>
        <w:pStyle w:val="TextBody"/>
        <w:bidi w:val="0"/>
        <w:spacing w:before="240" w:after="283"/>
        <w:jc w:val="left"/>
        <w:rPr>
          <w:rFonts w:ascii="Times New Roman" w:hAnsi="Times New Roman"/>
          <w:sz w:val="20"/>
        </w:rPr>
      </w:pPr>
      <w:r>
        <w:rPr>
          <w:rFonts w:ascii="Times New Roman" w:hAnsi="Times New Roman"/>
          <w:i/>
          <w:color w:val="000000"/>
          <w:sz w:val="20"/>
        </w:rPr>
        <w:t>Transactions in connection with or in anticipation of our initial business combination and our structure thereafter may not be tax-efficient to our shareholders. As a result of our initial business combination, our tax obligations may be more complex, burdensome and uncertain.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will attempt to structure transactions in connection with our initial business combination in a 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 additional complexity and risk could have an adverse effect on our after-tax profitability and financial condition. In addition, shareholders may be subject to additional income, withholding or other taxes with respect to their ownership of us after any such transaction. </w:t>
      </w:r>
    </w:p>
    <w:p>
      <w:pPr>
        <w:pStyle w:val="TextBody"/>
        <w:bidi w:val="0"/>
        <w:spacing w:before="240" w:after="283"/>
        <w:jc w:val="left"/>
        <w:rPr>
          <w:rFonts w:ascii="Times New Roman" w:hAnsi="Times New Roman"/>
          <w:sz w:val="20"/>
        </w:rPr>
      </w:pPr>
      <w:r>
        <w:rPr>
          <w:rFonts w:ascii="Times New Roman" w:hAnsi="Times New Roman"/>
          <w:i/>
          <w:color w:val="000000"/>
          <w:sz w:val="20"/>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economic, political and social conditions, as well as government policies, of the country in which our operations are located could affect our business. Economic growth could be uneven, both geographically and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 </w:t>
      </w:r>
    </w:p>
    <w:p>
      <w:pPr>
        <w:pStyle w:val="TextBody"/>
        <w:bidi w:val="0"/>
        <w:spacing w:before="240" w:after="283"/>
        <w:jc w:val="left"/>
        <w:rPr>
          <w:rFonts w:ascii="Times New Roman" w:hAnsi="Times New Roman"/>
          <w:sz w:val="20"/>
        </w:rPr>
      </w:pPr>
      <w:r>
        <w:rPr>
          <w:rFonts w:ascii="Times New Roman" w:hAnsi="Times New Roman"/>
          <w:i/>
          <w:color w:val="000000"/>
          <w:sz w:val="20"/>
        </w:rPr>
        <w:t>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hAnsi="Times New Roman"/>
          <w:b/>
          <w:color w:val="000000"/>
          <w:sz w:val="20"/>
        </w:rPr>
        <w:t>e</w:t>
      </w:r>
      <w:r>
        <w:rPr>
          <w:rFonts w:ascii="Times New Roman" w:hAnsi="Times New Roman"/>
          <w:color w:val="000000"/>
          <w:sz w:val="20"/>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Offering and could result in both a reduction in the trading price of our shares to the price at which the post-business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Offering, including the placement fees associated with the engagement of a placement agent in connection with PIPE transactions.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Acquiring and Operating a Business in Foreign Countries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If we effect our initial business combination with a company located outside of the United States, we would be subject to a variety of additional risks that may adversely affect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effect our initial business combination with such a company, we would be subject to any special considerations or risks associated with companies operating in an international setting, including any of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costs and difficulties inherent in managing cross-border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rules and regulations regarding currency redemption;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complex corporate withholding taxes on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laws governing the manner in which future business combinations may be effected;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exchange listing and/or delisting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tariffs and trade barriers;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regulations related to customs and import/export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local or regional economic policies and market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unexpected changes in regulatory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challenges in managing and staffing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longer payment cycles;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tax issues, such as tax law changes and variations in tax laws as compared to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currency fluctuations and exchange controls;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rates of inflation;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challenges in collecting accounts receivable;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cultural and language differences;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employment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underdeveloped or unpredictable legal or regulatory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protection of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social unrest, crime, strikes, riots and civil disturbances;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regime changes and political upheaval;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military announced wars;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terrorist attacks, natural disasters, widespread health emergencies and wars;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deterioration of political relations with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 </w:t>
      </w:r>
    </w:p>
    <w:p>
      <w:pPr>
        <w:pStyle w:val="TextBody"/>
        <w:bidi w:val="0"/>
        <w:jc w:val="left"/>
        <w:rPr>
          <w:rFonts w:ascii="Times New Roman" w:hAnsi="Times New Roman"/>
          <w:sz w:val="20"/>
        </w:rPr>
      </w:pPr>
      <w:r>
        <w:rPr>
          <w:rFonts w:ascii="Times New Roman" w:hAnsi="Times New Roman"/>
          <w:b/>
          <w:color w:val="000000"/>
          <w:sz w:val="20"/>
        </w:rPr>
        <w:t>Risks Relating to Our Management Team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officers and directors are not required to, and will not, unless any officer or director otherwise decides to,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 number of hours per week to our affairs. In particular, certain of our officers and directors provide services to affiliates of our Sponsor. In particular, certain of our officers and directors serve as officers or directors of UpHealth, Inc., QT Imaging Holdings, Inc., GIG7 and GIG9.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Our ability to successfully effect our initial business combination and to be successful thereafter will be largely dependent upon the efforts of our executive officers and directors, some of whom may join the post-transaction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company following our initial business combination. The loss of our executive officers or directors could negatively impact the operations and profitability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 </w:t>
      </w:r>
    </w:p>
    <w:p>
      <w:pPr>
        <w:pStyle w:val="TextBody"/>
        <w:bidi w:val="0"/>
        <w:spacing w:before="220" w:after="283"/>
        <w:jc w:val="left"/>
        <w:rPr>
          <w:rFonts w:ascii="Times New Roman" w:hAnsi="Times New Roman"/>
          <w:sz w:val="20"/>
        </w:rPr>
      </w:pPr>
      <w:r>
        <w:rPr>
          <w:rFonts w:ascii="Times New Roman" w:hAnsi="Times New Roman"/>
          <w:i/>
          <w:color w:val="000000"/>
          <w:sz w:val="20"/>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20" w:after="283"/>
        <w:jc w:val="left"/>
        <w:rPr>
          <w:rFonts w:ascii="Times New Roman" w:hAnsi="Times New Roman"/>
          <w:sz w:val="20"/>
        </w:rPr>
      </w:pPr>
      <w:r>
        <w:rPr>
          <w:rFonts w:ascii="Times New Roman" w:hAnsi="Times New Roman"/>
          <w:i/>
          <w:color w:val="000000"/>
          <w:sz w:val="20"/>
        </w:rPr>
        <w:t>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Following the completion of the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or operating company, with which they may become involved. Any of such companies may present additional conflicts of interest in pursuing an acquisition target.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officers and directors also may become aware of business opportunities which may be appropriate for presentation to us and the other entities to which they owe certain fiduciary or contractual duties.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w:t>
      </w:r>
    </w:p>
    <w:p>
      <w:pPr>
        <w:pStyle w:val="TextBody"/>
        <w:bidi w:val="0"/>
        <w:spacing w:before="240" w:after="283"/>
        <w:jc w:val="left"/>
        <w:rPr>
          <w:rFonts w:ascii="Times New Roman" w:hAnsi="Times New Roman"/>
          <w:sz w:val="20"/>
        </w:rPr>
      </w:pPr>
      <w:r>
        <w:rPr>
          <w:rFonts w:ascii="Times New Roman" w:hAnsi="Times New Roman"/>
          <w:i/>
          <w:color w:val="000000"/>
          <w:sz w:val="20"/>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shareholders. </w:t>
      </w:r>
    </w:p>
    <w:p>
      <w:pPr>
        <w:pStyle w:val="TextBody"/>
        <w:bidi w:val="0"/>
        <w:spacing w:before="220" w:after="283"/>
        <w:jc w:val="left"/>
        <w:rPr>
          <w:rFonts w:ascii="Times New Roman" w:hAnsi="Times New Roman"/>
          <w:sz w:val="20"/>
        </w:rPr>
      </w:pPr>
      <w:r>
        <w:rPr>
          <w:rFonts w:ascii="Times New Roman" w:hAnsi="Times New Roman"/>
          <w:i/>
          <w:color w:val="000000"/>
          <w:sz w:val="20"/>
        </w:rPr>
        <w:t>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 </w:t>
      </w:r>
    </w:p>
    <w:p>
      <w:pPr>
        <w:pStyle w:val="TextBody"/>
        <w:bidi w:val="0"/>
        <w:spacing w:before="220" w:after="283"/>
        <w:jc w:val="left"/>
        <w:rPr>
          <w:rFonts w:ascii="Times New Roman" w:hAnsi="Times New Roman"/>
          <w:sz w:val="20"/>
        </w:rPr>
      </w:pPr>
      <w:r>
        <w:rPr>
          <w:rFonts w:ascii="Times New Roman" w:hAnsi="Times New Roman"/>
          <w:i/>
          <w:color w:val="000000"/>
          <w:sz w:val="20"/>
        </w:rPr>
        <w:t>The officers and directors of an acquisition candidate may resign upon consummation of our initial business combination. The loss of an acquisition target’s key personnel could negatively impact the operations and profitability of our post-combination business.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 </w:t>
      </w:r>
    </w:p>
    <w:p>
      <w:pPr>
        <w:pStyle w:val="TextBody"/>
        <w:bidi w:val="0"/>
        <w:spacing w:before="220" w:after="283"/>
        <w:jc w:val="left"/>
        <w:rPr>
          <w:rFonts w:ascii="Times New Roman" w:hAnsi="Times New Roman"/>
          <w:sz w:val="20"/>
        </w:rPr>
      </w:pPr>
      <w:r>
        <w:rPr>
          <w:rFonts w:ascii="Times New Roman" w:hAnsi="Times New Roman"/>
          <w:i/>
          <w:color w:val="000000"/>
          <w:sz w:val="20"/>
        </w:rPr>
        <w:t>Past performance by our management team may not be indicative of future performance of an investment in the Company.</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Information regarding performance by, or businesses associated with, our management team and their affiliates, including GIG1, GIG2, GIG3, GIG4, GIG5, GIG7 and GIG9, is presented for informational purposes only. Past performance by our management team, including with respect to GIG1, GIG2, GIG3, GIG4, GIG5, GIG7 and GIG9, is not a guarantee either (i) that we will be able to identify a suitable candidate for our initial business combination or (ii) of success with respect to any business combination we may consummate. You should not rely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on the historical record of our management team’s performance as indicative of our future performance of an investment in the Company or the returns the Company will, or is likely to, generate going forward. </w:t>
      </w:r>
    </w:p>
    <w:p>
      <w:pPr>
        <w:pStyle w:val="TextBody"/>
        <w:bidi w:val="0"/>
        <w:spacing w:before="220" w:after="283"/>
        <w:jc w:val="left"/>
        <w:rPr>
          <w:rFonts w:ascii="Times New Roman" w:hAnsi="Times New Roman"/>
          <w:sz w:val="20"/>
        </w:rPr>
      </w:pPr>
      <w:r>
        <w:rPr>
          <w:rFonts w:ascii="Times New Roman" w:hAnsi="Times New Roman"/>
          <w:i/>
          <w:color w:val="000000"/>
          <w:sz w:val="20"/>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 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market for directors and officers liability insurance could make it more difficult and more expensive for us to negotiate and complete an initial business combination.</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 </w:t>
      </w:r>
    </w:p>
    <w:p>
      <w:pPr>
        <w:pStyle w:val="TextBody"/>
        <w:bidi w:val="0"/>
        <w:spacing w:before="240" w:after="283"/>
        <w:jc w:val="left"/>
        <w:rPr>
          <w:rFonts w:ascii="Times New Roman" w:hAnsi="Times New Roman"/>
          <w:sz w:val="20"/>
        </w:rPr>
      </w:pPr>
      <w:r>
        <w:rPr>
          <w:rFonts w:ascii="Times New Roman" w:hAnsi="Times New Roman"/>
          <w:i/>
          <w:color w:val="000000"/>
          <w:sz w:val="20"/>
        </w:rPr>
        <w:t>Our letter agreement with our Sponsor, officers and directors may be amended without shareholder approval.</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the Offering, they will not, without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prior written consent of the Representative, offer, sell, contract to sell, pledge or otherwise dispose of, directly or indirectly, Class A ordinary shares or any other securities convertible into, or exercisable, or exchangeable for, Class A ordinary shares.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 </w:t>
      </w:r>
    </w:p>
    <w:p>
      <w:pPr>
        <w:pStyle w:val="TextBody"/>
        <w:bidi w:val="0"/>
        <w:jc w:val="left"/>
        <w:rPr>
          <w:rFonts w:ascii="Times New Roman" w:hAnsi="Times New Roman"/>
          <w:sz w:val="20"/>
        </w:rPr>
      </w:pPr>
      <w:r>
        <w:rPr>
          <w:rFonts w:ascii="Times New Roman" w:hAnsi="Times New Roman"/>
          <w:i/>
          <w:color w:val="000000"/>
          <w:sz w:val="20"/>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Our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 </w:t>
      </w:r>
    </w:p>
    <w:p>
      <w:pPr>
        <w:pStyle w:val="TextBody"/>
        <w:bidi w:val="0"/>
        <w:spacing w:before="240" w:after="283"/>
        <w:jc w:val="left"/>
        <w:rPr>
          <w:rFonts w:ascii="Times New Roman" w:hAnsi="Times New Roman"/>
          <w:sz w:val="20"/>
        </w:rPr>
      </w:pPr>
      <w:r>
        <w:rPr>
          <w:rFonts w:ascii="Times New Roman" w:hAnsi="Times New Roman"/>
          <w:i/>
          <w:color w:val="000000"/>
          <w:sz w:val="20"/>
        </w:rPr>
        <w:t>You will not have any rights or interests in funds from the trust account, except under certain limited circumstances. To liquidate your investment, therefore, you may be forced to sell your public shares, potentially at a 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the Offering, or (B) with respect to any other provision relating to our pre-business combination activity and related shareholders’ rights. In no other circumstances will a shareholder have any right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of any kind to the funds in the trust account. Accordingly, to liquidate your investment, you may be forced to sell your securities, potentially at a loss. </w:t>
      </w:r>
    </w:p>
    <w:p>
      <w:pPr>
        <w:pStyle w:val="TextBody"/>
        <w:bidi w:val="0"/>
        <w:jc w:val="left"/>
        <w:rPr>
          <w:rFonts w:ascii="Times New Roman" w:hAnsi="Times New Roman"/>
          <w:sz w:val="20"/>
        </w:rPr>
      </w:pPr>
      <w:r>
        <w:rPr>
          <w:rFonts w:ascii="Times New Roman" w:hAnsi="Times New Roman"/>
          <w:i/>
          <w:color w:val="000000"/>
          <w:sz w:val="20"/>
        </w:rPr>
        <w:t>Nasdaq may delist our securities from trading on its exchange, which could limit investors’ ability to make transactions in our securities and subject us to additional trading restrictions.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our public units, public shares and public rights are currently listed and traded on Nasdaq,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Offering, we must maintain an average market value of listed 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 and we would be required to have a minimum of 400 round lot holders of our securities. We may not be able to meet those initial listing requirements at that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a limited availability of market quotations for our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reduced liquidity for our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determination that our public shares is a “penny stock” which will require brokers trading in our public shares to adhere to more stringent rules and possibly result in a reduced level of trading activity in the secondary trading market for our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limited amount of news and analyst coverage;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decreased ability to issue additional securities or obtain additional financing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National Securities Markets Improvement Act of 1996, which is a federal statute, prevents or preempts the states from regulating the sale of certain securities, which are referred to as “covered securities.” Because our public units, our public shares and our public rights are listed on Nasdaq, our public units, public shares, and public rights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You will not be entitled to protections normally afforded to investors of many other blank check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net proceeds of the Offering and the sale of the private placement units are intended to be used to complete an initial business combination with a target business that has not been selected, we may be deemed to 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the Offering were subject to Rule 419, that rule would prohibit the release of any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earned on funds held in the trust account to us unless and until the funds in the trust account were released to us in connection with our completion of an initial business combination.</w:t>
      </w:r>
    </w:p>
    <w:p>
      <w:pPr>
        <w:pStyle w:val="TextBody"/>
        <w:bidi w:val="0"/>
        <w:spacing w:before="240" w:after="283"/>
        <w:jc w:val="left"/>
        <w:rPr>
          <w:rFonts w:ascii="Times New Roman" w:hAnsi="Times New Roman"/>
          <w:sz w:val="20"/>
        </w:rPr>
      </w:pPr>
      <w:r>
        <w:rPr>
          <w:rFonts w:ascii="Times New Roman" w:hAnsi="Times New Roman"/>
          <w:i/>
          <w:color w:val="000000"/>
          <w:sz w:val="20"/>
        </w:rPr>
        <w:t>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 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any such purchases of shares could be to (i) increase the likelihood of obtaining shareholder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 </w:t>
      </w:r>
    </w:p>
    <w:p>
      <w:pPr>
        <w:pStyle w:val="TextBody"/>
        <w:bidi w:val="0"/>
        <w:jc w:val="left"/>
        <w:rPr>
          <w:rFonts w:ascii="Times New Roman" w:hAnsi="Times New Roman"/>
          <w:color w:val="000000"/>
          <w:sz w:val="20"/>
        </w:rPr>
      </w:pPr>
      <w:r>
        <w:rPr>
          <w:rFonts w:ascii="Times New Roman" w:hAnsi="Times New Roman"/>
          <w:color w:val="000000"/>
          <w:sz w:val="20"/>
        </w:rPr>
        <w:t xml:space="preserve">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shares from based on the negotiated price and number of shares and any other factors that they may deem relevant, and will only purchase shares if such purchases comply with Regulation M under the Exchange Act and the other federal securities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purchases by our initial shareholders, directors, officers,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 purchases would violate Section 9(a)(2) or Rule 10b-5 of the Exchange Act. Any such purchases will be reported pursuant to Section 13 and Section 16 of the Exchange Act to the extent such purchasers are subject to such reporting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if our initial shareholders, directors, officers, and their affiliates were to purchase public shares from public shareholders, they would do so at a price no higher than the price offered through our redemption process;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our initial shareholders, directors, officers, and their affiliates would not possess any redemption rights with respect to our securities or, if they do acquire and possess redemption rights, they would waive such rights; and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we would disclose in a Form 8-K, before our security holder meeting to approve the business combination transaction, the following material items: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amount of our securities purchased outside of the redemption offer by our initial shareholders, directors, officers, and their affiliates, along with the purchase price;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purpose of the purchases by our initial shareholders, directors, officers, and their affiliates;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impact, if any, of the purchases by our initial shareholders, directors, officers, and their affiliates on the likelihood that the business combination transaction will be approved; </w:t>
      </w:r>
    </w:p>
    <w:p>
      <w:pPr>
        <w:pStyle w:val="TextBody"/>
        <w:bidi w:val="0"/>
        <w:jc w:val="left"/>
        <w:rPr>
          <w:rFonts w:ascii="Times New Roman" w:hAnsi="Times New Roman"/>
          <w:color w:val="000000"/>
          <w:sz w:val="20"/>
        </w:rPr>
      </w:pPr>
      <w:r>
        <w:rPr>
          <w:rFonts w:ascii="Times New Roman" w:hAnsi="Times New Roman"/>
          <w:color w:val="000000"/>
          <w:sz w:val="20"/>
        </w:rPr>
        <w:t xml:space="preserve"> 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number of our securities for which we have received redemption requests pursuant to our redemption offer. </w:t>
      </w:r>
    </w:p>
    <w:p>
      <w:pPr>
        <w:pStyle w:val="TextBody"/>
        <w:bidi w:val="0"/>
        <w:spacing w:before="240" w:after="283"/>
        <w:jc w:val="left"/>
        <w:rPr>
          <w:rFonts w:ascii="Times New Roman" w:hAnsi="Times New Roman"/>
          <w:sz w:val="20"/>
        </w:rPr>
      </w:pPr>
      <w:r>
        <w:rPr>
          <w:rFonts w:ascii="Times New Roman" w:hAnsi="Times New Roman"/>
          <w:i/>
          <w:color w:val="000000"/>
          <w:sz w:val="20"/>
        </w:rPr>
        <w:t>Since only holders of our founder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completion of the Offering, only holders of our founder shares and private investor shares will have the right to vote on the appointment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have a board that includes a majority of “independent directors,” as defined under Nasdaq rules;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have a compensation committee of our board that is comprised entirely of independent directors with a written charter addressing the committee’s purpose and responsibilities;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have independent director oversight of our director nominations.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 </w:t>
      </w:r>
    </w:p>
    <w:p>
      <w:pPr>
        <w:pStyle w:val="TextBody"/>
        <w:bidi w:val="0"/>
        <w:spacing w:before="240" w:after="283"/>
        <w:jc w:val="left"/>
        <w:rPr>
          <w:rFonts w:ascii="Times New Roman" w:hAnsi="Times New Roman"/>
          <w:sz w:val="20"/>
        </w:rPr>
      </w:pPr>
      <w:r>
        <w:rPr>
          <w:rFonts w:ascii="Times New Roman" w:hAnsi="Times New Roman"/>
          <w:i/>
          <w:color w:val="000000"/>
          <w:sz w:val="20"/>
        </w:rPr>
        <w:t>Because our Sponsor paid an aggregate of $2,626, or $0.000434 per founder share, our four directors paid an aggregate of $9,244, or $0.02462 per founder share, and Lynrock paid an aggregate of $13,130, or $0.00927 per share, and, concurrent with the consummation of the Offering, the non-managing investors purchased 2,964,203 private investor shares at a purchase price of $0.023254 per private investor share, and our insiders and the non-managing investors purchased 357,625 private placement units at a purchase price of $9.7374 per private placement unit, our public shareholders experienced immediate and substantial dilution from the purchase of our public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difference between the public offering price per share and the pro forma net tangible book value per public share after the Offering constitutes the dilution to investors in the Offering. Our Sponsor acquired the founder shares at a nominal price of $0.000434 per founder share, our directors paid $0.02462 per founder share, and Lynrock paid $0.00927 per founder share, and concurrent with the consummation of the Offering, the non-managing investors purchased 2,964,203 private investor shares at a purchase price of $0.023254 per private investor share, and our insiders, Lynrock and the non-managing investors purchased 357,625 private placement units at a purchase price of $9.7374 per private placement unit, contributing to this dilution. Upon closing of the Offering, the public shareholders incurred an immediate and substantial dilution of approximately 98.9% or $9.89 per share (the difference between the pro forma net tangible book value of $0.11 per share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 Moreover, although we are of the view that our Sponsor, directors and officers paid fair value for the founder shares, there is no assurance that a taxing authority would agree with us, and if a taxing authority were to successfully assert otherwise, we may be subject to material withholding and other tax liabilities that could adversely affect our financial condition. </w:t>
      </w:r>
    </w:p>
    <w:p>
      <w:pPr>
        <w:pStyle w:val="TextBody"/>
        <w:bidi w:val="0"/>
        <w:spacing w:before="160" w:after="283"/>
        <w:jc w:val="left"/>
        <w:rPr>
          <w:rFonts w:ascii="Times New Roman" w:hAnsi="Times New Roman"/>
          <w:sz w:val="20"/>
        </w:rPr>
      </w:pPr>
      <w:r>
        <w:rPr>
          <w:rFonts w:ascii="Times New Roman" w:hAnsi="Times New Roman"/>
          <w:i/>
          <w:color w:val="000000"/>
          <w:sz w:val="20"/>
        </w:rPr>
        <w:t>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Our Sponsor at the time of the Offering sold 375,397 founder shares in the aggregate to Messrs. Greene, Machuca, Timm and Horowitz at an aggregate price of $9,244 (or $0.02462 per share) and 1,416,665 founder shares to Lynrock at an aggregate price of $13,130, or $0.00927 per share, thus reducing the price paid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Sponsor for the 6,053,167 founder shares (after considering the 5,000 founder shares transferred to our Chief Financial Officer discussed below) which it retained to $2,626, or $0.000434 per share. Our Sponsor which is owned by two of our directors, Dr. Avi S. Katz and Dr. Raluca Dinu, (or non-affiliated investors to which our Sponsor assigns this subscription) together with four of our other directors, James Greene, Luis Machuca, Bryan Timm and Raanan Horowitz, purchased 45,200 private placement units, at a price of $9.7374 per unit, for an aggregate purchase price of $440,130 in the private placement that closed simultaneously with the closing of the Offering.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Prior to the consummation of the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Following this transfer of shares, the Sponsor holds 6,053,167 founder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Separately, the non-managing investors purchased an aggregate of (a) 2,964,203 Class B ordinary shares at a purchase price per Class B ordinary share of $0.023254, and (b) an aggregate of 262,425 private placement units at a price of $9.7374 per private placement unit, for an aggregate purchase price of $2,624,266 in the private placement that closed simultaneously with the completion of the Offering.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the value of your public shares may be significantly diluted upon the consummation of our initial business combination, when the founder shares, private placement shares and private investor shares are converted into public shares. For example, the following table shows the dilutive effect of the founder shares, private investor shares and private placement shares on the implied value of the public shares upon the consummation of our initial business combination, assuming that our equity value at that time is $253,000,000, which is the amount in cash we have for our initial business combination in the trust account, assuming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$6.94 per share upon consummation of our initial business combination, which would be a 30.6% decrease as compared to the initial implied value per public share of $10.00 (the price per unit in the Offering, assuming no value is ascribed to the public rights). </w:t>
      </w:r>
    </w:p>
    <w:p>
      <w:pPr>
        <w:pStyle w:val="TextBody"/>
        <w:bidi w:val="0"/>
        <w:jc w:val="left"/>
        <w:rPr/>
      </w:pPr>
      <w:r>
        <w:rPr/>
        <w:t> </w:t>
      </w:r>
    </w:p>
    <w:tbl>
      <w:tblPr>
        <w:tblW w:w="8222" w:type="dxa"/>
        <w:jc w:val="left"/>
        <w:tblInd w:w="0" w:type="dxa"/>
        <w:tblLayout w:type="fixed"/>
        <w:tblCellMar>
          <w:top w:w="28" w:type="dxa"/>
          <w:left w:w="28" w:type="dxa"/>
          <w:bottom w:w="28" w:type="dxa"/>
          <w:right w:w="28" w:type="dxa"/>
        </w:tblCellMar>
      </w:tblPr>
      <w:tblGrid>
        <w:gridCol w:w="6646"/>
        <w:gridCol w:w="1576"/>
      </w:tblGrid>
      <w:tr>
        <w:trPr/>
        <w:tc>
          <w:tcPr>
            <w:tcW w:w="66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Public shares</w:t>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25,300,000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Founder shares</w:t>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7,850,229</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Private investor shares</w:t>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2,964,203</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Private placement shares underlying private placement units</w:t>
            </w:r>
          </w:p>
        </w:tc>
        <w:tc>
          <w:tcPr>
            <w:tcW w:w="15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357,625</w:t>
            </w:r>
          </w:p>
        </w:tc>
      </w:tr>
      <w:tr>
        <w:trPr/>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Total shares</w:t>
            </w:r>
          </w:p>
        </w:tc>
        <w:tc>
          <w:tcPr>
            <w:tcW w:w="15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36,472,057</w:t>
            </w:r>
          </w:p>
        </w:tc>
      </w:tr>
      <w:tr>
        <w:trPr/>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Total funds in trust available for initial business combination</w:t>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$ 253,000,000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Initial implied value per public share</w:t>
            </w:r>
            <w:r>
              <w:rPr>
                <w:rFonts w:ascii="Times New Roman" w:hAnsi="Times New Roman"/>
                <w:color w:val="000000"/>
                <w:sz w:val="10"/>
              </w:rPr>
              <w:t>(1)</w:t>
            </w:r>
          </w:p>
        </w:tc>
        <w:tc>
          <w:tcPr>
            <w:tcW w:w="15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$ 10.00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Implied value per share upon consummation of initial business combination</w:t>
            </w:r>
            <w:r>
              <w:rPr>
                <w:rFonts w:ascii="Times New Roman" w:hAnsi="Times New Roman"/>
                <w:color w:val="000000"/>
                <w:sz w:val="10"/>
              </w:rPr>
              <w:t>(2)</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$ 6.94</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While the public shareholders’ investment is in both the public shares and the public rights, for purposes of this table the full investment amount is ascribed to the public shares only. </w:t>
      </w:r>
    </w:p>
    <w:p>
      <w:pPr>
        <w:pStyle w:val="TextBody"/>
        <w:bidi w:val="0"/>
        <w:jc w:val="left"/>
        <w:rPr>
          <w:rFonts w:ascii="Times New Roman" w:hAnsi="Times New Roman"/>
          <w:color w:val="000000"/>
          <w:sz w:val="20"/>
        </w:rPr>
      </w:pPr>
      <w:r>
        <w:rPr>
          <w:rFonts w:ascii="Times New Roman" w:hAnsi="Times New Roman"/>
          <w:color w:val="000000"/>
          <w:sz w:val="20"/>
        </w:rPr>
        <w:t xml:space="preserve">(2) All founder shares and private investor shares would automatically convert into Class A ordinary shares upon completion of our initial business combination or earlier at the option of the holder.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This dilution would increase to the extent that the anti-dilution provisions of the founder shares and private investor shares result in the issuance of Class A ordinary shares on a greater than one-to-one basis upon conversion 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 </w:t>
      </w:r>
    </w:p>
    <w:p>
      <w:pPr>
        <w:pStyle w:val="TextBody"/>
        <w:bidi w:val="0"/>
        <w:spacing w:before="180" w:after="283"/>
        <w:jc w:val="left"/>
        <w:rPr>
          <w:rFonts w:ascii="Times New Roman" w:hAnsi="Times New Roman"/>
          <w:sz w:val="20"/>
        </w:rPr>
      </w:pPr>
      <w:r>
        <w:rPr>
          <w:rFonts w:ascii="Times New Roman" w:hAnsi="Times New Roman"/>
          <w:i/>
          <w:color w:val="000000"/>
          <w:sz w:val="20"/>
        </w:rPr>
        <w:t>The grant of registration rights to our initial shareholders may make it more difficult to complete our initial business combination, and the future exercise of such rights may adversely affect the market price of our ordinary shares.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Pursuant to an agreement entered into concurrently with the issuance and sale of the securities in the Offering, holders of the founder shares, private placement units and any units that may be issued upon conversion 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private placement units and any units that may be issued upon conversion of working capital loans are registered. </w:t>
      </w:r>
    </w:p>
    <w:p>
      <w:pPr>
        <w:pStyle w:val="TextBody"/>
        <w:bidi w:val="0"/>
        <w:spacing w:before="240" w:after="283"/>
        <w:jc w:val="left"/>
        <w:rPr>
          <w:rFonts w:ascii="Times New Roman" w:hAnsi="Times New Roman"/>
          <w:sz w:val="20"/>
        </w:rPr>
      </w:pPr>
      <w:r>
        <w:rPr>
          <w:rFonts w:ascii="Times New Roman" w:hAnsi="Times New Roman"/>
          <w:i/>
          <w:color w:val="000000"/>
          <w:sz w:val="20"/>
        </w:rPr>
        <w:t>We may amend the terms of the rights in a manner that may be adverse to holders with the approval by the holders of at least a majority of the then outstanding rights.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rights were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 </w:t>
      </w:r>
    </w:p>
    <w:p>
      <w:pPr>
        <w:pStyle w:val="TextBody"/>
        <w:bidi w:val="0"/>
        <w:spacing w:before="240" w:after="283"/>
        <w:jc w:val="left"/>
        <w:rPr>
          <w:rFonts w:ascii="Times New Roman" w:hAnsi="Times New Roman"/>
          <w:sz w:val="20"/>
        </w:rPr>
      </w:pPr>
      <w:r>
        <w:rPr>
          <w:rFonts w:ascii="Times New Roman" w:hAnsi="Times New Roman"/>
          <w:i/>
          <w:color w:val="000000"/>
          <w:sz w:val="20"/>
        </w:rPr>
        <w:t>Our rights may have an adverse effect on the market price of our ordinary shares and make it more difficult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issued rights as part of the units sold in the Offering entitling the holders to receive an aggregate of up to 5,060,000 ordinary shares. Simultaneously with the closing of the Offering, we issued as part of the private placement units rights entitling the holders to receive an aggregate of 71,525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we issue ordinary shares to complete a business combination, the potential for the issuance of a substantial number of additional ordinary shares upon conversion of the rights could make us a less attractive 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 </w:t>
      </w:r>
    </w:p>
    <w:p>
      <w:pPr>
        <w:pStyle w:val="TextBody"/>
        <w:bidi w:val="0"/>
        <w:spacing w:before="240" w:after="283"/>
        <w:jc w:val="left"/>
        <w:rPr>
          <w:rFonts w:ascii="Times New Roman" w:hAnsi="Times New Roman"/>
          <w:sz w:val="20"/>
        </w:rPr>
      </w:pPr>
      <w:r>
        <w:rPr>
          <w:rFonts w:ascii="Times New Roman" w:hAnsi="Times New Roman"/>
          <w:i/>
          <w:color w:val="000000"/>
          <w:sz w:val="20"/>
        </w:rPr>
        <w:t>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indicated above, we have 24 months from the closing of the Offering to consummate an initial business combination. It is possible that a claim in the future could be made that we have been operating as an unregistered investment company. It is also possible that the investment of funds from the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 forced to liquidate, investors in our Company would not be able to participate in any benefits of owning stock in an operating business, including the potential appreciation of our stock following a business combination and our rights would expire worthless.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Our rights agreement designates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rights agreement provides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t>
      </w:r>
    </w:p>
    <w:p>
      <w:pPr>
        <w:pStyle w:val="TextBody"/>
        <w:bidi w:val="0"/>
        <w:spacing w:before="240" w:after="283"/>
        <w:jc w:val="left"/>
        <w:rPr>
          <w:rFonts w:ascii="Times New Roman" w:hAnsi="Times New Roman"/>
          <w:sz w:val="20"/>
        </w:rPr>
      </w:pPr>
      <w:r>
        <w:rPr>
          <w:rFonts w:ascii="Times New Roman" w:hAnsi="Times New Roman"/>
          <w:i/>
          <w:color w:val="000000"/>
          <w:sz w:val="20"/>
        </w:rPr>
        <w:t>The determination of the offering price of our public units and the size of the Offering is more arbitrary than the pricing of securities and size of an offering of an operating company in a particular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Offering there has been no public market for any of our securities. The public offering price of the public units and the terms of the rights were negotiated between us and the underwriters. In determining the size of the Offering, management held customary organizational meetings with the Representative, with respect to the state of capital markets, generally, and the amount the underwriters believed they reasonably could raise on our behalf. Factors considered in determining the size of the Offering, prices and terms of the public units, including the public shares and public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history and prospects of companies whose principal business is the acquisition of other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prior offerings of those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prospects for acquiring an operating business at attractive values;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review of debt-to-equity ratios in leveraged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capital structure;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assessment of our management and their experience in identifying operating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general conditions of the securities markets at the time of the Offering;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other factors as were deemed relevant.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these factors were considered, the determination of our offering price is more arbitrary than the pricing of securities of an operating company in a particular industry since we have no historical operations or financial results. </w:t>
      </w:r>
    </w:p>
    <w:p>
      <w:pPr>
        <w:pStyle w:val="TextBody"/>
        <w:bidi w:val="0"/>
        <w:spacing w:before="240" w:after="283"/>
        <w:jc w:val="left"/>
        <w:rPr>
          <w:rFonts w:ascii="Times New Roman" w:hAnsi="Times New Roman"/>
          <w:sz w:val="20"/>
        </w:rPr>
      </w:pPr>
      <w:r>
        <w:rPr>
          <w:rFonts w:ascii="Times New Roman" w:hAnsi="Times New Roman"/>
          <w:i/>
          <w:color w:val="000000"/>
          <w:sz w:val="20"/>
        </w:rPr>
        <w:t>We may issue our shares to investors in connection with our initial business combination at a price which is less than the prevailing market price of our shares at that time.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 </w:t>
      </w:r>
    </w:p>
    <w:p>
      <w:pPr>
        <w:pStyle w:val="TextBody"/>
        <w:bidi w:val="0"/>
        <w:spacing w:before="240" w:after="283"/>
        <w:jc w:val="left"/>
        <w:rPr>
          <w:rFonts w:ascii="Times New Roman" w:hAnsi="Times New Roman"/>
          <w:sz w:val="20"/>
        </w:rPr>
      </w:pPr>
      <w:r>
        <w:rPr>
          <w:rFonts w:ascii="Times New Roman" w:hAnsi="Times New Roman"/>
          <w:i/>
          <w:color w:val="000000"/>
          <w:sz w:val="20"/>
        </w:rPr>
        <w:t>An investment in our securities, and certain subsequent transactions with respect to our securities, may result in uncertain or adverse U.S. federal income tax consequences for an investor.</w:t>
      </w:r>
      <w:r>
        <w:rPr>
          <w:rFonts w:ascii="Times New Roman" w:hAnsi="Times New Roman"/>
          <w:color w:val="000000"/>
          <w:sz w:val="20"/>
        </w:rPr>
        <w:t xml:space="preserve"> </w:t>
      </w:r>
    </w:p>
    <w:p>
      <w:pPr>
        <w:pStyle w:val="TextBody"/>
        <w:bidi w:val="0"/>
        <w:spacing w:before="300" w:after="283"/>
        <w:jc w:val="left"/>
        <w:rPr>
          <w:rFonts w:ascii="Times New Roman" w:hAnsi="Times New Roman"/>
          <w:color w:val="000000"/>
          <w:sz w:val="20"/>
        </w:rPr>
      </w:pPr>
      <w:r>
        <w:rPr>
          <w:rFonts w:ascii="Times New Roman" w:hAnsi="Times New Roman"/>
          <w:color w:val="000000"/>
          <w:sz w:val="20"/>
        </w:rPr>
        <w:t xml:space="preserve">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the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 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Each prospective investor is urged to consult with and rely solely upon its own tax advisors with respect to these and other tax consequences when purchasing, holding or disposing of our securities. </w:t>
      </w:r>
    </w:p>
    <w:p>
      <w:pPr>
        <w:pStyle w:val="TextBody"/>
        <w:bidi w:val="0"/>
        <w:spacing w:before="240" w:after="283"/>
        <w:jc w:val="left"/>
        <w:rPr>
          <w:rFonts w:ascii="Times New Roman" w:hAnsi="Times New Roman"/>
          <w:sz w:val="20"/>
        </w:rPr>
      </w:pPr>
      <w:r>
        <w:rPr>
          <w:rFonts w:ascii="Times New Roman" w:hAnsi="Times New Roman"/>
          <w:i/>
          <w:color w:val="000000"/>
          <w:sz w:val="20"/>
        </w:rPr>
        <w:t>Whether a redemption of public shares will be treated as a sale of such public shares for U.S. federal income tax purposes will depend on a shareholder’s specific facts.</w:t>
      </w:r>
      <w:r>
        <w:rPr>
          <w:rFonts w:ascii="Times New Roman" w:hAnsi="Times New Roman"/>
          <w:color w:val="000000"/>
          <w:sz w:val="20"/>
        </w:rPr>
        <w:t xml:space="preserve"> </w:t>
      </w:r>
    </w:p>
    <w:p>
      <w:pPr>
        <w:pStyle w:val="TextBody"/>
        <w:bidi w:val="0"/>
        <w:spacing w:before="300" w:after="283"/>
        <w:jc w:val="left"/>
        <w:rPr>
          <w:rFonts w:ascii="Times New Roman" w:hAnsi="Times New Roman"/>
          <w:color w:val="000000"/>
          <w:sz w:val="20"/>
        </w:rPr>
      </w:pPr>
      <w:r>
        <w:rPr>
          <w:rFonts w:ascii="Times New Roman" w:hAnsi="Times New Roman"/>
          <w:color w:val="000000"/>
          <w:sz w:val="20"/>
        </w:rPr>
        <w:t xml:space="preserve">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w:t>
      </w:r>
    </w:p>
    <w:p>
      <w:pPr>
        <w:pStyle w:val="TextBody"/>
        <w:bidi w:val="0"/>
        <w:spacing w:before="280" w:after="283"/>
        <w:jc w:val="left"/>
        <w:rPr>
          <w:rFonts w:ascii="Times New Roman" w:hAnsi="Times New Roman"/>
          <w:sz w:val="20"/>
        </w:rPr>
      </w:pPr>
      <w:r>
        <w:rPr>
          <w:rFonts w:ascii="Times New Roman" w:hAnsi="Times New Roman"/>
          <w:i/>
          <w:color w:val="000000"/>
          <w:sz w:val="20"/>
        </w:rPr>
        <w:t>We are likely to be treated as a passive foreign investment company (“PFIC”), which could result in adverse U.S. federal income tax consequences to U.S. investors.</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 whether we combine with a U.S. or non-U.S. target company, and the amount of passive income and assets of the acquired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business. Our actual PFIC status for our current taxable year or any subsequent taxable year will not be determinable until after the end of such taxable year. However, we anticipate that we are likely to be treated as a PFIC in our current taxable year.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Annual Report. Accordingly, U.S. investors are strongly urged to consult with and rely solely upon their own tax advisors regarding the application of the PFIC rules to them in their particular circumstances. </w:t>
      </w:r>
    </w:p>
    <w:p>
      <w:pPr>
        <w:pStyle w:val="TextBody"/>
        <w:bidi w:val="0"/>
        <w:jc w:val="left"/>
        <w:rPr>
          <w:rFonts w:ascii="Times New Roman" w:hAnsi="Times New Roman"/>
          <w:sz w:val="20"/>
        </w:rPr>
      </w:pPr>
      <w:r>
        <w:rPr>
          <w:rFonts w:ascii="Times New Roman" w:hAnsi="Times New Roman"/>
          <w:i/>
          <w:color w:val="000000"/>
          <w:sz w:val="20"/>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 applicability of the stock buyback tax to us could be further affected by the content of any regulations, clarifications or other additional guidance from the U.S. Treasury Department that may be issued and applicable to the redemptions.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stock buyback tax that becomes payable as a result of any redemptions of our public shares (or other shares into which such public shares may be converted) in connection with our initial business combination or 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We are a blank check company with no operating history and no revenues, and you have no basis on which to evaluate our ability to achieve our business objective.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blank check company who commenced operations in October 2025 when the Offering completed.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the Offering. We have not selected any specific business combination target and may be unable to complete our initial business combination. If we fail to complete our initial business combination, we will never generate any operating revenues. </w:t>
      </w:r>
    </w:p>
    <w:p>
      <w:pPr>
        <w:pStyle w:val="TextBody"/>
        <w:bidi w:val="0"/>
        <w:spacing w:before="240" w:after="283"/>
        <w:jc w:val="left"/>
        <w:rPr>
          <w:rFonts w:ascii="Times New Roman" w:hAnsi="Times New Roman"/>
          <w:sz w:val="20"/>
        </w:rPr>
      </w:pPr>
      <w:r>
        <w:rPr>
          <w:rFonts w:ascii="Times New Roman" w:hAnsi="Times New Roman"/>
          <w:i/>
          <w:color w:val="000000"/>
          <w:sz w:val="20"/>
        </w:rPr>
        <w:t>Our Sponsor has the ability to remove itself as the Company’s Sponsor or to substantially reduce its interests in the Company before identifying a business combination, which may result in change in the strategy and focus of our Company in pursuing a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In addition, the members of our Sponsor could, with the permission of the Sponsor’s managing member, transfer their membership interests in the Sponsor, thereby transferring control of our Sponsor to a third party. Through the forgoing means, our Sponsor may remove itself as the Company’s Sponsor, substantially reduce its interests in the Company, or have its control transferred to a third party before we identify a business combination. Any such reduction of the interests of our Sponsor in the securities of the Company or transfer of Sponsor interests may lead to the Sponsor’s managing member no longer having voting power and control over the affairs of the Company in pursuing a business combination. This could also result in a change to our management team, acquisition strategy and criteria and our industry focus without shareholders having the ability to consider the merits of a change in the management team. Additionally, there can be no assurance that any replacement sponsor will successfully identify a business combination target for us, or, even if one is so identified, successfully complete such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are an “emerging growth company” and we cannot be certain if the reduced disclosure requirements applicable to emerging growth companies will make our securities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within the meaning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 $700 million as of any June 30 before that time, in which case we would no longer be an emerging growth company as of the following January 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$250 million as of the prior June 30, and (2) our annual revenues equaled or exceeded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 </w:t>
      </w:r>
    </w:p>
    <w:p>
      <w:pPr>
        <w:pStyle w:val="TextBody"/>
        <w:bidi w:val="0"/>
        <w:spacing w:before="220" w:after="283"/>
        <w:jc w:val="left"/>
        <w:rPr>
          <w:rFonts w:ascii="Times New Roman" w:hAnsi="Times New Roman"/>
          <w:sz w:val="20"/>
        </w:rPr>
      </w:pPr>
      <w:r>
        <w:rPr>
          <w:rFonts w:ascii="Times New Roman" w:hAnsi="Times New Roman"/>
          <w:i/>
          <w:color w:val="000000"/>
          <w:sz w:val="20"/>
        </w:rPr>
        <w:t>Because we are incorporated under the laws of the Cayman Islands, you may face difficulties in protecting your interests, and your ability to protect your rights through the U.S. federal courts may be limited.</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hAnsi="Times New Roman"/>
          <w:i/>
          <w:color w:val="000000"/>
          <w:sz w:val="20"/>
        </w:rPr>
        <w:t>provided</w:t>
      </w:r>
      <w:r>
        <w:rPr>
          <w:rFonts w:ascii="Times New Roman" w:hAnsi="Times New Roman"/>
          <w:color w:val="000000"/>
          <w:sz w:val="20"/>
        </w:rPr>
        <w:t xml:space="preserve"> certain conditions are met. For a foreign judgment to be enforced in the Cayman Islands, such judgment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bidi w:val="0"/>
        <w:spacing w:before="200" w:after="283"/>
        <w:jc w:val="left"/>
        <w:rPr>
          <w:rFonts w:ascii="Times New Roman" w:hAnsi="Times New Roman"/>
          <w:sz w:val="20"/>
        </w:rPr>
      </w:pPr>
      <w:r>
        <w:rPr>
          <w:rFonts w:ascii="Times New Roman" w:hAnsi="Times New Roman"/>
          <w:i/>
          <w:color w:val="000000"/>
          <w:sz w:val="20"/>
        </w:rPr>
        <w:t>Compliance obligations under the Sarbanes-Oxley Act may make it more difficult for us to effectuate our initial business combination, require substantial financial and management resources, and increase the time and costs of completing a business combination.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Section 404 of the Sarbanes-Oxley Act requires that we evaluate and report on our system of internal controls beginning with our Annual Report on Form 10-K for the year ending December 31, 2026.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 </w:t>
      </w:r>
    </w:p>
    <w:p>
      <w:pPr>
        <w:pStyle w:val="TextBody"/>
        <w:bidi w:val="0"/>
        <w:spacing w:before="200" w:after="283"/>
        <w:jc w:val="left"/>
        <w:rPr>
          <w:rFonts w:ascii="Times New Roman" w:hAnsi="Times New Roman"/>
          <w:sz w:val="20"/>
        </w:rPr>
      </w:pPr>
      <w:r>
        <w:rPr>
          <w:rFonts w:ascii="Times New Roman" w:hAnsi="Times New Roman"/>
          <w:i/>
          <w:color w:val="000000"/>
          <w:sz w:val="20"/>
        </w:rPr>
        <w:t>Provisions in our amended and restated memorandum and articles of association may inhibit a takeover of us, which could limit the price investors might be willing to pay in the future for our ordinary shares and could entrench management.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 </w:t>
      </w:r>
    </w:p>
    <w:p>
      <w:pPr>
        <w:pStyle w:val="TextBody"/>
        <w:bidi w:val="0"/>
        <w:spacing w:before="180" w:after="283"/>
        <w:jc w:val="left"/>
        <w:rPr>
          <w:rFonts w:ascii="Times New Roman" w:hAnsi="Times New Roman"/>
          <w:sz w:val="20"/>
        </w:rPr>
      </w:pPr>
      <w:r>
        <w:rPr>
          <w:rFonts w:ascii="Times New Roman" w:hAnsi="Times New Roman"/>
          <w:i/>
          <w:color w:val="000000"/>
          <w:sz w:val="20"/>
        </w:rPr>
        <w:t>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provide that 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 </w:t>
      </w:r>
    </w:p>
    <w:p>
      <w:pPr>
        <w:pStyle w:val="TextBody"/>
        <w:bidi w:val="0"/>
        <w:spacing w:before="160" w:after="283"/>
        <w:jc w:val="left"/>
        <w:rPr>
          <w:rFonts w:ascii="Times New Roman" w:hAnsi="Times New Roman"/>
          <w:sz w:val="20"/>
        </w:rPr>
      </w:pPr>
      <w:r>
        <w:rPr>
          <w:rFonts w:ascii="Times New Roman" w:hAnsi="Times New Roman"/>
          <w:i/>
          <w:color w:val="000000"/>
          <w:sz w:val="20"/>
        </w:rPr>
        <w:t>Our independent registered public accounting firm’s report contains an explanatory paragraph that expresses substantial doubt about our ability to continue as a “going concern.”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December 31, 2025, we had $1,442,471 in cash and working capital of $1,298,043. Further, we expect to incur significant costs in pursuit of our acquisition plans. Our plans to raise capital and to consummate our initial business combination may not be successful. These factors, among others, raise substantial doubt about our ability to continue as a going concern. The financial statements contained elsewhere in this Form 10-K do not include any adjustments that might result from our inability to continue as a going concern. </w:t>
      </w:r>
    </w:p>
    <w:p>
      <w:pPr>
        <w:pStyle w:val="TextBody"/>
        <w:bidi w:val="0"/>
        <w:spacing w:before="160" w:after="283"/>
        <w:jc w:val="left"/>
        <w:rPr>
          <w:rFonts w:ascii="Times New Roman" w:hAnsi="Times New Roman"/>
          <w:sz w:val="20"/>
        </w:rPr>
      </w:pPr>
      <w:r>
        <w:rPr>
          <w:rFonts w:ascii="Times New Roman" w:hAnsi="Times New Roman"/>
          <w:i/>
          <w:color w:val="000000"/>
          <w:sz w:val="20"/>
        </w:rPr>
        <w:t>Changes in laws or regulations, or a failure to comply with any laws and regulations, may adversely affect our business, investments and results of operations.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 </w:t>
      </w:r>
    </w:p>
    <w:p>
      <w:pPr>
        <w:pStyle w:val="TextBody"/>
        <w:bidi w:val="0"/>
        <w:jc w:val="left"/>
        <w:rPr>
          <w:rFonts w:ascii="Times New Roman" w:hAnsi="Times New Roman"/>
          <w:i/>
          <w:color w:val="000000"/>
          <w:sz w:val="20"/>
        </w:rPr>
      </w:pPr>
      <w:r>
        <w:rPr>
          <w:rFonts w:ascii="Times New Roman" w:hAnsi="Times New Roman"/>
          <w:i/>
          <w:color w:val="000000"/>
          <w:sz w:val="20"/>
        </w:rPr>
        <w:t>We are subject to changing law and regulations regarding regulatory matters, corporate governance and public disclosure that have increased both our costs and the risk of non-compliance.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w:t>
      </w:r>
    </w:p>
    <w:p>
      <w:pPr>
        <w:pStyle w:val="TextBody"/>
        <w:bidi w:val="0"/>
        <w:spacing w:before="160" w:after="283"/>
        <w:jc w:val="left"/>
        <w:rPr>
          <w:rFonts w:ascii="Times New Roman" w:hAnsi="Times New Roman"/>
          <w:sz w:val="20"/>
        </w:rPr>
      </w:pPr>
      <w:r>
        <w:rPr>
          <w:rFonts w:ascii="Times New Roman" w:hAnsi="Times New Roman"/>
          <w:i/>
          <w:color w:val="000000"/>
          <w:sz w:val="20"/>
        </w:rPr>
        <w:t>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 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 </w:t>
      </w:r>
    </w:p>
    <w:p>
      <w:pPr>
        <w:pStyle w:val="TextBody"/>
        <w:bidi w:val="0"/>
        <w:spacing w:before="180" w:after="283"/>
        <w:jc w:val="left"/>
        <w:rPr>
          <w:rFonts w:ascii="Times New Roman" w:hAnsi="Times New Roman"/>
          <w:sz w:val="20"/>
        </w:rPr>
      </w:pPr>
      <w:r>
        <w:rPr>
          <w:rFonts w:ascii="Times New Roman" w:hAnsi="Times New Roman"/>
          <w:i/>
          <w:color w:val="000000"/>
          <w:sz w:val="20"/>
        </w:rPr>
        <w:t>We may reincorporate in another jurisdiction in connection with our initial business combination and such reincorporation may result in taxes imposed on shareholders.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in connection with our initial business combination,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 </w:t>
      </w:r>
    </w:p>
    <w:p>
      <w:pPr>
        <w:pStyle w:val="TextBody"/>
        <w:bidi w:val="0"/>
        <w:jc w:val="left"/>
        <w:rPr>
          <w:rFonts w:ascii="Times New Roman" w:hAnsi="Times New Roman"/>
          <w:sz w:val="20"/>
        </w:rPr>
      </w:pPr>
      <w:r>
        <w:rPr>
          <w:rFonts w:ascii="Times New Roman" w:hAnsi="Times New Roman"/>
          <w:i/>
          <w:color w:val="000000"/>
          <w:sz w:val="20"/>
        </w:rPr>
        <w:t>Our initial business combination or reincorporation may result in taxes imposed on shareholders.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 </w:t>
      </w:r>
    </w:p>
    <w:p>
      <w:pPr>
        <w:pStyle w:val="TextBody"/>
        <w:bidi w:val="0"/>
        <w:spacing w:before="180" w:after="283"/>
        <w:jc w:val="left"/>
        <w:rPr>
          <w:rFonts w:ascii="Times New Roman" w:hAnsi="Times New Roman"/>
          <w:sz w:val="20"/>
        </w:rPr>
      </w:pPr>
      <w:r>
        <w:rPr>
          <w:rFonts w:ascii="Times New Roman" w:hAnsi="Times New Roman"/>
          <w:i/>
          <w:color w:val="000000"/>
          <w:sz w:val="20"/>
        </w:rPr>
        <w:t>Neither the underwriters nor any of their affiliates have an obligation to provide us with potential investment opportunities or to devote any specified amount of time or support to our Company’s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one of their affiliates refer an opportunity to us, no assurance can be given that such opportunity will result in an acquisition agreement or our initial business combination. </w:t>
      </w:r>
    </w:p>
    <w:p>
      <w:pPr>
        <w:pStyle w:val="TextBody"/>
        <w:bidi w:val="0"/>
        <w:spacing w:before="180" w:after="283"/>
        <w:jc w:val="left"/>
        <w:rPr>
          <w:rFonts w:ascii="Times New Roman" w:hAnsi="Times New Roman"/>
          <w:sz w:val="20"/>
        </w:rPr>
      </w:pPr>
      <w:r>
        <w:rPr>
          <w:rFonts w:ascii="Times New Roman" w:hAnsi="Times New Roman"/>
          <w:i/>
          <w:color w:val="000000"/>
          <w:sz w:val="20"/>
        </w:rPr>
        <w:t>We intend to offer each public shareholder the option to vote in favor of the proposed business combination and still seek redemption of such shareholders’ public shares.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connection with any meeting held to approve an initial business combination, we will offer each public shareholder (but not our Sponsor, executive officers and directors) the right to have his, her or its public shares redeemed for cash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 </w:t>
      </w:r>
    </w:p>
    <w:p>
      <w:pPr>
        <w:pStyle w:val="TextBody"/>
        <w:bidi w:val="0"/>
        <w:spacing w:before="180" w:after="283"/>
        <w:jc w:val="left"/>
        <w:rPr>
          <w:rFonts w:ascii="Times New Roman" w:hAnsi="Times New Roman"/>
          <w:sz w:val="20"/>
        </w:rPr>
      </w:pPr>
      <w:r>
        <w:rPr>
          <w:rFonts w:ascii="Times New Roman" w:hAnsi="Times New Roman"/>
          <w:i/>
          <w:color w:val="000000"/>
          <w:sz w:val="20"/>
        </w:rPr>
        <w:t>Because of our structure, other companies may have a competitive advantage and we may not be able to consummate an attractive business combination.</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expect to encounter intense competition from entities other than blank check companies having a business objective similar to ours, including private equity groups,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 </w:t>
      </w:r>
    </w:p>
    <w:p>
      <w:pPr>
        <w:pStyle w:val="TextBody"/>
        <w:bidi w:val="0"/>
        <w:jc w:val="left"/>
        <w:rPr>
          <w:rFonts w:ascii="Times New Roman" w:hAnsi="Times New Roman"/>
          <w:sz w:val="20"/>
        </w:rPr>
      </w:pPr>
      <w:r>
        <w:rPr>
          <w:rFonts w:ascii="Times New Roman" w:hAnsi="Times New Roman"/>
          <w:i/>
          <w:color w:val="000000"/>
          <w:sz w:val="20"/>
        </w:rPr>
        <w:t>Cyber incidents or attacks directed at us could result in information theft, data corruption, operational disruption and/or financial 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 </w:t>
      </w:r>
    </w:p>
    <w:p>
      <w:pPr>
        <w:pStyle w:val="TextBody"/>
        <w:bidi w:val="0"/>
        <w:spacing w:before="240" w:after="283"/>
        <w:jc w:val="left"/>
        <w:rPr>
          <w:rFonts w:ascii="Times New Roman" w:hAnsi="Times New Roman"/>
          <w:sz w:val="20"/>
        </w:rPr>
      </w:pPr>
      <w:r>
        <w:rPr>
          <w:rFonts w:ascii="Times New Roman" w:hAnsi="Times New Roman"/>
          <w:i/>
          <w:color w:val="000000"/>
          <w:sz w:val="20"/>
        </w:rPr>
        <w:t>We may face risks related to companies in the A&amp;D, cybersecurity and secured communications and quantum-based command and control systems, AI and ML industries.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combinations with companies in the A&amp;D, cybersecurity and secured communications and quantum-based command and control systems, AI and ML industries, entail special considerations and risks. If we are successful in completing a business combination with such a target business, we may be subject to, and possibly adversely affected by, the following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compete effectively in a highly competitive environment with many incumbents having substantially greater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manage rapid change, increasing consumer expectations and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build strong brand identity and improve subscriber or customer satisfaction and loyalty;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reliance on proprietary technology to provide services and to manage our operations, and the failure of this technology to operate effectively, or our failure to use such technology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deal with our subscribers’ or customers’ privacy concerns;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attract and retain subscribers or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license or enforce intellectual property rights on which our business may depend;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significant disruption in our computer systems or those of third parties that we would utilize in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by us, or a refusal by third parties, to license intellectual property to us upon acceptable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potential liability for negligence, copyright, or trademark infringement or other claims based on the nature and content of materials that we may distribute;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competition for the leisure and entertainment time and discretionary spending of subscribers or customers, which may intensify in part due to advances in technology and changes in consumer expectations and behavior;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disruption or failure of our networks, systems or technology as a result of computer viruses, “cyber-attacks,” misappropriation of data or other malfeasance, as well as outages, natural disasters, terrorist attacks, accidental releases of information or similar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obtain necessary hardware, software and operational support;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reliance on third-party vendors or service providers.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foregoing could have an adverse impact on our operations following a business combination. However, our efforts in identifying prospective target businesses will not be limited to the A&amp;D, cybersecurity and secured communications and quantum-based command and control systems, AI and ML industries. Accordingly, if we acquire a target business in another industry, we will be subject to risks attendant with the specific industry in which the target business we acquire operates, which may or may not be different than those risks listed above.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Start w:id="7" w:name="toc_page"/>
      <w:bookmarkEnd w:id="6"/>
      <w:bookmarkEnd w:id="7"/>
      <w:r>
        <w:rPr>
          <w:rFonts w:ascii="Times New Roman" w:hAnsi="Times New Roman"/>
          <w:b/>
          <w:color w:val="000000"/>
          <w:sz w:val="20"/>
        </w:rPr>
        <w:t>Item 1C. Cybersecurity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2025, we were a SPAC with no business operations other than that following our Offering, our sole business activity has been identifying and evaluating suitable acquisition transaction candidates. We assess and identify the possibility of risk from cybersecurity threats considering both our operations and the nature of our assets, which consist solely of the funds in our trust account managed by a third-party trustee and the funds in our operating bank account. To date, we have not experienced any cybersecurity attacks. In light of the nature of our operations in identifying and evaluating suitable acquisition transaction candidates, we believe that cybersecurity threats are not reasonably likely to materially affect these business operations. In addition, the procedures in place with third parties that maintain our assets are such that it also should not be reasonably likely for cybersecurity threats to materially affect our financial condition. But we recognize that a penetration of our systems or a third party’s systems could subject us to business, regulatory, litigation and reputation risk, which could have a negative effect on our business, financial condition and results of operations.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have not adopted any specific cybersecurity risk management program or formal processes for managing risks from cybersecurity threats. However, in our overall risk management processes, we employ various procedures designed to identify, protect, detect and respond to and manage reasonably foreseeable cybersecurity risks and threats given our limited operations and assets. These include, but are not limited to, engaging a third-party information technology consultant who maintains and monitors our information technology network, internal reporting, monitoring and detection tools and anti-virus software. We also periodically assess risks from cybersecurity and technology threats and monitor our information systems for potential vulnerabilities, including those that could arise from internal sources and external sources such as third-party service providers we do business with.</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Our management is generally responsible for assessing and managing risks from any cybersecurity threats, including through the use of the third-party information technology consultant who reports to our management on actions that he is undertaking and the cybersecurity threats that he sees to our information technology network. If and when any reportable cybersecurity incident arises, our management shall promptly report such matters to the Audit Committee of our Board of Directors (which is the committee of the Board of Directors to which oversight of cybersecurity matters and management of cybersecurity incidents has been delegated by the Board of Directors) for further actions, including regarding the appropriate disclosure, mitigation, or other response or actions that the Audit Committee or the Board of Directors deems appropriate to take. In addition, our management reports to the Audit Committee on a regular basis on the potential for risks from cybersecurity threats.</w:t>
      </w:r>
    </w:p>
    <w:p>
      <w:pPr>
        <w:pStyle w:val="TextBody"/>
        <w:bidi w:val="0"/>
        <w:spacing w:before="20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maintain our corporate offices at 1731 Embarcadero Rd., Suite 200, Palo Alto, CA 94303. The cost for this space is included in the $30,000 per month fee that we pay an affiliate of our Sponsor for office space, administrative and support services. We believe, based on fees for similar services in the San Francisco Bay Area, that the fee charged by our Sponsor is at least as favorable as we could have obtained from an unaffiliated party. We consider our current office space, combined with the other office space otherwise available to our executive officers, adequate for our current operations.</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2" w:name="item_5_market_for_registrants_common"/>
      <w:bookmarkEnd w:id="12"/>
      <w:r>
        <w:rPr>
          <w:rFonts w:ascii="Times New Roman" w:hAnsi="Times New Roman"/>
          <w:b/>
          <w:color w:val="000000"/>
          <w:sz w:val="20"/>
        </w:rPr>
        <w:t>Item 5. Market for Registrant’s Common Equity, Related Shareholder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units commenced public trading on October 6, 2025. On October 23, 2025, the Company announced that the holders of the Company’s units may elect to separately trade the securities underlying such units which commenced on October 27, 2025. Any public units not separated will continue to trade on the Nasdaq under the symbol “GIWWU”. Any underlying Class A ordinary shares and rights that are separated will trade on the Nasdaq under the symbols “GIW,” and “GIWWR,” respectively. Each five rights entitles the holder to purchase one Class A ordinary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for the calendar quarter indicated, the high and low sales prices per unit as reported on the Nasdaq for the period from October 7, 2025 (the first day on which our units began trading) through December 31, 2025, and our public shares and rights for the period from October 27, 2025 (the first day on which our public shares and rights were traded separately) through December 31, 2025.</w:t>
      </w:r>
    </w:p>
    <w:p>
      <w:pPr>
        <w:pStyle w:val="TextBody"/>
        <w:bidi w:val="0"/>
        <w:jc w:val="left"/>
        <w:rPr/>
      </w:pPr>
      <w:r>
        <w:rPr/>
        <w:t> </w:t>
      </w:r>
    </w:p>
    <w:tbl>
      <w:tblPr>
        <w:tblW w:w="9756" w:type="dxa"/>
        <w:jc w:val="left"/>
        <w:tblInd w:w="0" w:type="dxa"/>
        <w:tblLayout w:type="fixed"/>
        <w:tblCellMar>
          <w:top w:w="28" w:type="dxa"/>
          <w:left w:w="28" w:type="dxa"/>
          <w:bottom w:w="28" w:type="dxa"/>
          <w:right w:w="28" w:type="dxa"/>
        </w:tblCellMar>
      </w:tblPr>
      <w:tblGrid>
        <w:gridCol w:w="3291"/>
        <w:gridCol w:w="146"/>
        <w:gridCol w:w="211"/>
        <w:gridCol w:w="571"/>
        <w:gridCol w:w="146"/>
        <w:gridCol w:w="146"/>
        <w:gridCol w:w="211"/>
        <w:gridCol w:w="571"/>
        <w:gridCol w:w="146"/>
        <w:gridCol w:w="146"/>
        <w:gridCol w:w="236"/>
        <w:gridCol w:w="522"/>
        <w:gridCol w:w="163"/>
        <w:gridCol w:w="163"/>
        <w:gridCol w:w="236"/>
        <w:gridCol w:w="522"/>
        <w:gridCol w:w="146"/>
        <w:gridCol w:w="146"/>
        <w:gridCol w:w="211"/>
        <w:gridCol w:w="466"/>
        <w:gridCol w:w="146"/>
        <w:gridCol w:w="146"/>
        <w:gridCol w:w="211"/>
        <w:gridCol w:w="466"/>
        <w:gridCol w:w="39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 (GIWWU)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 (GIW)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Rights (GIWWR\)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Quarter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Quarter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Quarter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Quarter ended December 31, 2025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Beginning on October 6, 2025, with respect to GIWWU and beginning October 27, 2025 with respect to GIW and GIWWR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30, 2026, there were twenty-eight holders of record of our ordinary shares. The actual number of holders of our units, separately traded public shares and separately traded rights is greater than the number of record holders, and includes shareholders who are beneficial owners, but whose securities are held in “nominee” or “street name” by brokers and other nominees. The number of holders of record also does not include shareholders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 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 Recent Sales of Unregistered Securities; Use of Proceeds from Registered Offerings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 from June 30, 2025 (date of inception) through December 31, 2025, the Sponsor purchased a net 7,850,229 founder shares, for an aggregate purchase price of $25,000, or $0.00318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Sponsor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Placement Units and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Lynrock, and four of our directors purchased pursuant to the Unit Purchase Agreements 95,200 private placement units at a price of $9.7374 per private placement unit, or $927,000 in the aggregate, in the private placement that occurred simultaneously with the completion of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non-managing investors (none of which are affiliated with any member of management, our Sponsor or any other investor) purchased from us an aggregate of (a) 2,964,203 Class B ordinary shares at a purchase price per Class B ordinary shares of $0.023254, and (b) an aggregate 262,425 private placement units at a price of $9.7374 per private placement unit, for an aggregate purchase price of $2,624,266 in the private placement that occurred simultaneously with the completion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placement units and private placement shares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30, 2025, the SEC declared our initial Registration Statement on Form S-1 (File No. 333-289479), in connection with the Offering of $220.0 million,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an underwriting agreement on October 3, 2025 to conduct the Offering of 22,000,000 units in the amount of $220.0 million in gross proceeds, with a 45-day option provided to the underwriters to purchase up to 3,300,000 additional units solely to cover over-allotments, if any, in the amount of up to $33.0 million in additional gross proceeds. Each public unit consists of one Class A ordinary share of the Company, $0.0001 par value, and one right to receive one-fifth (1/5) of one Class A ordinary shares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we consummated the Offering of 25,300,000 units, including the issuance of 3,300,000 units as a result of the underwriter’s exercise in full of their over-allotment option. The units were sold at a price of $10.00 per public unit, generating gross proceeds to us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cash of $1,442,471 held outside the trust account for working capital purposes.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item_7_managements_discussion_and_analy"/>
      <w:bookmarkEnd w:id="14"/>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of the Company’s financial condition and results of operations should be read in conjunction with the Company’s financial statements and notes related thereto which are included in “Item 8. Financial Statements and Supplementary Data” of this Annual Report on Form 10-K. This discussion contains forward-looking statements that involve risks and uncertainties. Please see “Special Note Regarding Forward-Looking Statements,” “Item 1A. Risk Factors” and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newly organized Private-to-Public Equity (PPE) company, also known as a blank check company or special purpose acquisition vehicle,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We intend to effectuate our initial business combination using cash from the proceeds of our Offering and the sale of the private placement units, our ordinary equity or any preferred equity that we may create in accordance with the terms of our charter documents, debt, or a combination of cash, common or preferred equity and debt. The public units sold in the Offering each consist of one Class A ordinary share of the Company and one right to receive one-fifth (1/5) of one Class A ordinary share upon the consummation of the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and dividend income on cash and marketable securities from proceeds raised during the Offering. We expect to incur increased expenses as a result of being a public company (for legal, financial reporting, accounting and auditing compliance), as well as for due diligence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period from June 30, 2025 (date of inception) through December 31, 2025, we had net income of $1,831,322, which consisted of interest and dividend income on cash and marketable securities held in the trust account and operating account of $2,267,683 and $602, respectively that were partially offset by operating expenses of $436,963.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needs have been satisfied to date through: (1) the receipt of $25,000 from the sale of the founder shares, (2) the net proceeds of $251,211,946 from the sale of the public units in the Offering, after deducting net offering expenses of approximately $1,788,054, which includes an underwriting discount of $1,025,000, (3) the sale of the private placement units to our insiders for a purchase price of $927,000, and (4) the sale of private placement units and the private investor shares to the non-managing investors for a purchase price of $2,624,266. These transactions resulted in proceeds of $254,788,212 of which $253,000,000 will be held in the trust account.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held cash and marketable securities in the amount of $255,267,683 in the trust account. The marketable securities consisted of money market funds meeting certain conditions under Rule 2a-7 under the Investment Company Act of 1940 which invest only in direct U.S. government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period from June 30, 2025 (date of inception) through December 31, 2025, cash used in operating activities was $430,401, resulting from interest and dividends earned on marketable securities held in the trust account of $2,267,683, plus an increase in prepaid expenses and other current assets of $141,594 and an increase in other assets of $53,808. These are partially offset by net income of $1,831,322 and an increase in liabilities of $201,362, due to increase in accounts payable, related party payable, and accrued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combination if the funds available to us outside of the trust account were insufficient to cover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cash of $1,442,471 held outside the trust account.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do not have any long-term debt, capital lease obligations, operating lease obligations or long-term liabilities, other than an agreement to pay our Founder a monthly fee of $30,000 for office space, administrative services and secretarial support and an agreement with our Chief Financial Officer to pay a monthly fee of $15,000 for accounting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(“ASC”) Topic 260, “Earnings Per Share.” Net income per share is computed by dividing net income by the weighted-average number of shares of ordinary shares outstanding during the period. The weighted-average ordinary shares are reduced for the effect of the Class B ordinary shares that are subject to forfeiture. The Company’s statements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income per share is the same as basic income per share for the period presented.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December 31, 2025, Class A ordinary shares subject to possible redemption are presented at redemption value as temporary equity, outside of the shareholders’ equity section of our balance sheet. As of December 31, 2025, 25,300,000 Class A ordinary shares were issued and outstanding and subject to possible redemption.</w:t>
      </w:r>
    </w:p>
    <w:p>
      <w:pPr>
        <w:pStyle w:val="TextBody"/>
        <w:bidi w:val="0"/>
        <w:spacing w:before="360" w:after="283"/>
        <w:jc w:val="both"/>
        <w:rPr>
          <w:rFonts w:ascii="Times New Roman" w:hAnsi="Times New Roman"/>
          <w:b/>
          <w:color w:val="000000"/>
          <w:sz w:val="20"/>
        </w:rPr>
      </w:pPr>
      <w:bookmarkStart w:id="15" w:name="item_7a_quantitative_and_qualitative"/>
      <w:bookmarkEnd w:id="15"/>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our efforts have been limited to organizational activities and activities relating to the Offering and the identification and evaluation of a potential initial business combination. We have neither engaged in any operations nor generated any revenues. As of December 31, 2025, the net proceeds from our IPO held in the trust account were comprised entirely of money market funds meeting certain conditions under Rule 2a-7 under the Investment Company Act, which invest solely in United States treasuries. Due to the short-term nature of the money market fund’s investments, we do not believe that there will be an associated material exposure to interest rate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$255,267,683 was held in the trust account for the purposes of consummating an initial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Report of Independent Registered Public Accounting Firm</w:t>
            </w:r>
            <w:r>
              <w:rPr>
                <w:rFonts w:ascii="Times New Roman" w:hAnsi="Times New Roman"/>
                <w:color w:val="000000"/>
                <w:sz w:val="20"/>
              </w:rPr>
              <w:t> (PCAOB ID: 207)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Balance Sheet as of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_and_comprehensiv">
              <w:r>
                <w:rPr>
                  <w:rStyle w:val="InternetLink"/>
                  <w:rFonts w:ascii="Times New Roman" w:hAnsi="Times New Roman"/>
                  <w:color w:val="0000FF"/>
                  <w:sz w:val="20"/>
                  <w:u w:val="single"/>
                </w:rPr>
                <w:t>Statement of Operations and Comprehensive Income for the Period from June 30, 2025 (Date of Inception) through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stockholders_deficit">
              <w:r>
                <w:rPr>
                  <w:rStyle w:val="InternetLink"/>
                  <w:rFonts w:ascii="Times New Roman" w:hAnsi="Times New Roman"/>
                  <w:color w:val="0000FF"/>
                  <w:sz w:val="20"/>
                  <w:u w:val="single"/>
                </w:rPr>
                <w:t>Statement of Shareholders’ Equity for the Period from June 30, 2025 (Date of Inception) through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Statement of Cash Flows for the Period from June 30, 2025 (Date of Inception) through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Board of Directors and</w:t>
      </w:r>
    </w:p>
    <w:p>
      <w:pPr>
        <w:pStyle w:val="TextBody"/>
        <w:bidi w:val="0"/>
        <w:jc w:val="both"/>
        <w:rPr>
          <w:rFonts w:ascii="Times New Roman" w:hAnsi="Times New Roman"/>
          <w:color w:val="000000"/>
          <w:sz w:val="20"/>
        </w:rPr>
      </w:pPr>
      <w:r>
        <w:rPr>
          <w:rFonts w:ascii="Times New Roman" w:hAnsi="Times New Roman"/>
          <w:color w:val="000000"/>
          <w:sz w:val="20"/>
        </w:rPr>
        <w:t>Shareholders of GigCapital8 Corp.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120"/>
        <w:jc w:val="both"/>
        <w:rPr>
          <w:rFonts w:ascii="Times New Roman" w:hAnsi="Times New Roman"/>
          <w:color w:val="000000"/>
          <w:sz w:val="20"/>
        </w:rPr>
      </w:pPr>
      <w:bookmarkStart w:id="17" w:name="report_of_independent_registered_public"/>
      <w:bookmarkEnd w:id="17"/>
      <w:r>
        <w:rPr>
          <w:rFonts w:ascii="Times New Roman" w:hAnsi="Times New Roman"/>
          <w:color w:val="000000"/>
          <w:sz w:val="20"/>
        </w:rPr>
        <w:t>We have audited the accompanying balance sheet of GigCapital8 Corp. (a Cayman Islands exempted company) (the “Company”) as of December 31, 2025, and the related statements of operations and comprehensive income, shareholders’ equity, and cash flows for the period from June 30, 2025 (date of inception) through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June 30, 2025 (date of inception) through December 31, 2025, in conformity with accounting principles generally accepted in the United States of America.</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Going Concern Uncertainty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accompanying financial statements have been prepared assuming that GigCapital8 Corp. will continue as a going concern. As discussed in Note 1 to the financial statements, the Company has no present revenue, its business plan is dependent on the completion of a business combination and the Company’s cash and working capital as of December 31, 2025 are not sufficient to complete its planned activities for the upcoming year. These conditions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 BPM LLP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2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San Jose, California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18" w:name="balance_sheet"/>
      <w:bookmarkEnd w:id="18"/>
      <w:r>
        <w:rPr>
          <w:rFonts w:ascii="Times New Roman" w:hAnsi="Times New Roman"/>
          <w:b/>
          <w:color w:val="000000"/>
          <w:sz w:val="20"/>
        </w:rPr>
        <w:t>Balance Sheet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86"/>
        <w:gridCol w:w="546"/>
        <w:gridCol w:w="231"/>
        <w:gridCol w:w="1250"/>
        <w:gridCol w:w="592"/>
      </w:tblGrid>
      <w:tr>
        <w:trPr/>
        <w:tc>
          <w:tcPr>
            <w:tcW w:w="75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1,442,471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1,584,065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255,267,683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256,905,556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ORDINARY SHARES AND SHAREHOLDERS’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286,022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Commitments and contingencies</w:t>
            </w:r>
            <w:r>
              <w:rPr>
                <w:rFonts w:ascii="Times New Roman" w:hAnsi="Times New Roman"/>
                <w:color w:val="000000"/>
                <w:sz w:val="20"/>
              </w:rPr>
              <w:t> </w:t>
            </w:r>
            <w:r>
              <w:rPr>
                <w:rFonts w:ascii="Times New Roman" w:hAnsi="Times New Roman"/>
                <w:b/>
                <w:color w:val="000000"/>
                <w:sz w:val="20"/>
              </w:rPr>
              <w:t>(Note 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subject to possible redemption, par value of $0.0001 per share</w:t>
              <w:br/>
              <w:t xml:space="preserve">   200,000,000 shares authorized; 25,300,000 shares at a redemption value of $10.09 per </w:t>
              <w:br/>
              <w:t>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255,167,683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 </w:t>
              <w:br/>
              <w:t>   issued or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A ordinary shares, par value of $0.0001 per share; 200,000,000 shares authorized; </w:t>
              <w:br/>
              <w:t xml:space="preserve">   357,625 issued and outstanding (excludes 25,300,000 shares subject to possible </w:t>
              <w:br/>
              <w:t>   redemption)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ordinary shares, par value of $0.0001 per share; 20,000,000 shares </w:t>
              <w:br/>
              <w:t>   authorized; 10,814,432 shares issued and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1,450,734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1,451,851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ORDINARY SHARES AND SHAREHOLDERS'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256,905,556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19" w:name="statement_of_operations_and_comprehensiv"/>
      <w:bookmarkEnd w:id="19"/>
      <w:r>
        <w:rPr>
          <w:rFonts w:ascii="Times New Roman" w:hAnsi="Times New Roman"/>
          <w:b/>
          <w:color w:val="000000"/>
          <w:sz w:val="20"/>
        </w:rPr>
        <w:t>Statement of Operations and Comprehensive Income</w:t>
      </w:r>
    </w:p>
    <w:p>
      <w:pPr>
        <w:pStyle w:val="TextBody"/>
        <w:bidi w:val="0"/>
        <w:jc w:val="left"/>
        <w:rPr/>
      </w:pPr>
      <w:r>
        <w:rPr/>
        <w:t> </w:t>
      </w:r>
    </w:p>
    <w:tbl>
      <w:tblPr>
        <w:tblW w:w="9508" w:type="dxa"/>
        <w:jc w:val="left"/>
        <w:tblInd w:w="0" w:type="dxa"/>
        <w:tblLayout w:type="fixed"/>
        <w:tblCellMar>
          <w:top w:w="28" w:type="dxa"/>
          <w:left w:w="28" w:type="dxa"/>
          <w:bottom w:w="28" w:type="dxa"/>
          <w:right w:w="28" w:type="dxa"/>
        </w:tblCellMar>
      </w:tblPr>
      <w:tblGrid>
        <w:gridCol w:w="7441"/>
        <w:gridCol w:w="146"/>
        <w:gridCol w:w="259"/>
        <w:gridCol w:w="1271"/>
        <w:gridCol w:w="391"/>
      </w:tblGrid>
      <w:tr>
        <w:trPr/>
        <w:tc>
          <w:tcPr>
            <w:tcW w:w="7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w:t>
              <w:br/>
              <w:t>June 30, 2025</w:t>
              <w:br/>
              <w:t>(Inception) through</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 income on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2,267,683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and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weighted-average shares outstanding, Class A ordinary shares subject</w:t>
              <w:br/>
              <w:t>   to possible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11,761,081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per share, Class A ordinary shares subject to possible</w:t>
              <w:br/>
              <w:t>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Class A and B non-redeemable ordinary shares </w:t>
              <w:br/>
              <w:t>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8,970,374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per share,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20" w:name="statement_of_stockholders_deficit"/>
      <w:bookmarkEnd w:id="20"/>
      <w:r>
        <w:rPr>
          <w:rFonts w:ascii="Times New Roman" w:hAnsi="Times New Roman"/>
          <w:b/>
          <w:color w:val="000000"/>
          <w:sz w:val="20"/>
        </w:rPr>
        <w:t>Statement of Shareholders’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2"/>
        <w:gridCol w:w="146"/>
        <w:gridCol w:w="146"/>
        <w:gridCol w:w="691"/>
        <w:gridCol w:w="146"/>
        <w:gridCol w:w="146"/>
        <w:gridCol w:w="206"/>
        <w:gridCol w:w="365"/>
        <w:gridCol w:w="146"/>
        <w:gridCol w:w="146"/>
        <w:gridCol w:w="146"/>
        <w:gridCol w:w="916"/>
        <w:gridCol w:w="166"/>
        <w:gridCol w:w="146"/>
        <w:gridCol w:w="196"/>
        <w:gridCol w:w="511"/>
        <w:gridCol w:w="166"/>
        <w:gridCol w:w="146"/>
        <w:gridCol w:w="196"/>
        <w:gridCol w:w="976"/>
        <w:gridCol w:w="166"/>
        <w:gridCol w:w="146"/>
        <w:gridCol w:w="201"/>
        <w:gridCol w:w="850"/>
        <w:gridCol w:w="166"/>
        <w:gridCol w:w="146"/>
        <w:gridCol w:w="196"/>
        <w:gridCol w:w="976"/>
        <w:gridCol w:w="213"/>
      </w:tblGrid>
      <w:tr>
        <w:trPr/>
        <w:tc>
          <w:tcPr>
            <w:tcW w:w="1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Period from June 30, 2025 (Inception) through</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2025 (Inception)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Class B ordinary shares to 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Surrender of Class B ordinary shares by </w:t>
              <w:br/>
              <w:t>   Founder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Class B ordinary shares in private</w:t>
              <w:br/>
              <w:t>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Class A Units in private</w:t>
              <w:br/>
              <w:t>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3,482,337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rights included in Public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10,626,000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Allocated value of transaction costs to Class A </w:t>
              <w:br/>
              <w:t>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Accretion of Class A ordinary shares to </w:t>
              <w:br/>
              <w:t>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(14,506,639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Reclass of negative additional paid-in capital to </w:t>
              <w:br/>
              <w:t>   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1,831,322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10,814,432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1,451,851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21" w:name="statement_of_cash_flows"/>
      <w:bookmarkEnd w:id="21"/>
      <w:r>
        <w:rPr>
          <w:rFonts w:ascii="Times New Roman" w:hAnsi="Times New Roman"/>
          <w:b/>
          <w:color w:val="000000"/>
          <w:sz w:val="20"/>
        </w:rPr>
        <w:t>Statement of Cash Flows</w:t>
      </w:r>
    </w:p>
    <w:p>
      <w:pPr>
        <w:pStyle w:val="TextBody"/>
        <w:bidi w:val="0"/>
        <w:jc w:val="left"/>
        <w:rPr/>
      </w:pPr>
      <w:r>
        <w:rPr/>
        <w:t> </w:t>
      </w:r>
    </w:p>
    <w:tbl>
      <w:tblPr>
        <w:tblW w:w="9568" w:type="dxa"/>
        <w:jc w:val="left"/>
        <w:tblInd w:w="0" w:type="dxa"/>
        <w:tblLayout w:type="fixed"/>
        <w:tblCellMar>
          <w:top w:w="28" w:type="dxa"/>
          <w:left w:w="28" w:type="dxa"/>
          <w:bottom w:w="28" w:type="dxa"/>
          <w:right w:w="28" w:type="dxa"/>
        </w:tblCellMar>
      </w:tblPr>
      <w:tblGrid>
        <w:gridCol w:w="7281"/>
        <w:gridCol w:w="146"/>
        <w:gridCol w:w="228"/>
        <w:gridCol w:w="1302"/>
        <w:gridCol w:w="611"/>
      </w:tblGrid>
      <w:tr>
        <w:trPr/>
        <w:tc>
          <w:tcPr>
            <w:tcW w:w="7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w:t>
              <w:br/>
              <w:t>June 30, 2025</w:t>
              <w:br/>
              <w:t>(Inception) through</w:t>
              <w:b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dividends earned on 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(2,267,683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of cash in Trust Account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Class B ordinary shares to the 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public units, net of underwriting discount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Private Investor Shares and Private Placement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3,453,892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related party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related party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254,872,872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Offering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Class A ordinary shares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14,506,639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related party loan for Private Placement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22" w:name="notes_to_financial_statements"/>
      <w:bookmarkEnd w:id="22"/>
      <w:r>
        <w:rPr>
          <w:rFonts w:ascii="Times New Roman" w:hAnsi="Times New Roman"/>
          <w:b/>
          <w:color w:val="000000"/>
          <w:sz w:val="20"/>
        </w:rPr>
        <w:t>Notes to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DESCRIPTION OF ORGANIZATION AND BUSINESS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The Company’s sponsor is GigAcquisitions8 Corp., a Cayman Island exempted company (the “Sponsor” and is sometimes referred to as the “Founder”).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Company had not commenced any operations. All activity for the period from June 30, 2025 (date of inception) through December 31, 2025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will generate non-operating income in the form of interest and dividend income on cash, cash equivalents and marketable securities from the proceeds derived from the Offering. The Company has selected December 31 as its fiscal year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2025, the Securities and Exchange Commission (the “SEC”) declared the Company’s initial Registration Statement on Form S-1 (File No. 333-289479), in connection with the Offering,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an underwriting agreement with D. Boral Capital LLC (the “Underwriter”) on October 3, 2025 to conduct the Offering of 22,000,000 units (the “Units”) in the amount of $220.0 million in gross proceeds, with a 45-day option provided to the Underwriter to purchase up to 3,300,000 additional Units solely to cover over-allotments, if any, in the amount of up to $33.0 million in additional gross proceeds. Each Unit consists of one share of the Company’s Class A ordinary shares, $0.0001 par value, and one right to receive one-fifth (1/5) of one Class A ordinary share upon the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institutional accredited investors (none of which are affiliated with any member of management, the Sponsor or any other investor (the “non-managing investors”)) purchased an aggregate of (a) 2,964,203 Class B ordinary shares (the “Private Investor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(the “Private Placement Unit”) for an aggregate purchase price of $2,624,266. The Private Investor Shares along with the Founder Shares (as defined below - see Note 4) collectively represent 30% of the outstanding ordinary shares,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Offering, proceeds in the amount of $253,000,000 from the sale of the Units in the Offering were placed in a trust account (the “Trust Account”)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$1,788,054, consisting of $1,025,000 of underwriting fees and $763,054 of offering costs. The Company’s remaining cash after payment of the offering costs is held outside of the Trust Account for working capital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memorandum and articles of association provide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amended and restated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has broad discretion with respect to the specific application of the proceeds of the Offering, although substantially all of the proceeds of the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rules of the Nasdaq Global Market tier of The Nasdaq Stock Market LLC (“Nasdaq”). If the Company seeks shareholder approval, it will complete its Business Combination only if a majority of the outstanding shares are voted in favor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holds a shareholder vote or there is a tender offer for shares in connection with the Business Combination, a public shareholder will have the right to redeem their shares for an amount in cash equal to their pro rata share of the aggregate amount then on deposit in the Trust Account as of two business days prior to the consummation of the initial Business Combination, including interest but less taxes payable. As a result, such ordinary shares were recorded at redemption amount and classified as temporary equity upon the completion of the Offering. The amount in the Trust Account of $253,000,000 represents 25,300,000 public shares at $10.00 per public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24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agreed: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its initial Business Combination within 24 months from the closing of the Offering, although they will be entitled to liquidating distributions from the Trust Account with respect to any public shares they hold if the Company fails to complete its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its initial Business Combination or with respect to any other provision relating to shareholders’ rights or pre-business (per above under Trust Account) combination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Offering.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$1,442,471 in cash and working capital of $1,298,043.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financial statements do not include any adjustments that might result from the outcome of this uncertainty.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December 31, 2025, and the results of operations and cash flows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Income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(“ASC”) Topic 260, “Earnings Per Share.” Net income per share is computed by dividing net income by the weighted-average number of shares of ordinary shares outstanding during the period. The weighted-average ordinary shares are reduced for the effect of the Class B ordinary shares that are subject to forfeiture. The Company’s statement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income per share is the same as basic income per share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Marketable Securities Held in Trust Account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assets held in the Trust Account consisted of money market funds investing in U.S. Treasury securities and cash.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investment income on marketable securities held in the Trust Account in the accompanying statement of operations and comprehensive income. The estimated fair values of investments held in the Trust Account are determined using available market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complies with the requirements of ASC 340-10-S99-1 and the SEC's Staff Accounting Bulletin (“SAB”) Topic 5A – “Expenses of Offering.” Offering costs in the amount of $1,788,054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rights (as defined in Note 3) were charged to shareholders’ equity upon the completion of the Offering.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Conditionally redeemable ordinary shares (including ordinary shares that feature redemption rights that are either within the control of the holder or subject to redemption upon the occurrence of uncertain events not solely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as of December 31, 2025, Class A ordinary shares subject to possible redemption are presented at redemption value as temporary equity, outside of the shareholders’ equity section of the Company’s balance sheet. Immediately upon the closing of the Offering, the Company recognized the accretion from initial book value to redemption amount value. The change in the carrying value of redeemable ordinary shares resulted in charges against additional paid-in capital. As of December 31, 2025, 25,300,000 Class A ordinary shares were issued and outstanding and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Class A ordinary shares subject to possible redemption reflected on the balance sheet are reconciled in the following table:</w:t>
      </w:r>
    </w:p>
    <w:p>
      <w:pPr>
        <w:pStyle w:val="TextBody"/>
        <w:bidi w:val="0"/>
        <w:jc w:val="left"/>
        <w:rPr/>
      </w:pPr>
      <w:r>
        <w:rPr/>
        <w:t> </w:t>
      </w:r>
    </w:p>
    <w:tbl>
      <w:tblPr>
        <w:tblW w:w="7177" w:type="dxa"/>
        <w:jc w:val="left"/>
        <w:tblInd w:w="0" w:type="dxa"/>
        <w:tblLayout w:type="fixed"/>
        <w:tblCellMar>
          <w:top w:w="28" w:type="dxa"/>
          <w:left w:w="28" w:type="dxa"/>
          <w:bottom w:w="28" w:type="dxa"/>
          <w:right w:w="28" w:type="dxa"/>
        </w:tblCellMar>
      </w:tblPr>
      <w:tblGrid>
        <w:gridCol w:w="4746"/>
        <w:gridCol w:w="299"/>
        <w:gridCol w:w="1621"/>
        <w:gridCol w:w="511"/>
      </w:tblGrid>
      <w:tr>
        <w:trPr/>
        <w:tc>
          <w:tcPr>
            <w:tcW w:w="47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proceeds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Proceeds allocated to public rights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Ordinary share issuance costs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(1,712,956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14,506,639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ordinary shares subject to possible redemption</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255,167,683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balance sheet.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statement of operations and comprehensive income. The key measures of segment profit (loss)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The Company follows the asset and liability method of accounting for income taxes under ASC 740, “</w:t>
      </w:r>
      <w:r>
        <w:rPr>
          <w:rFonts w:ascii="Times New Roman" w:hAnsi="Times New Roman"/>
          <w:i/>
          <w:color w:val="000000"/>
          <w:sz w:val="20"/>
        </w:rPr>
        <w:t>Income Taxes</w:t>
      </w:r>
      <w:r>
        <w:rPr>
          <w:rFonts w:ascii="Times New Roman" w:hAnsi="Times New Roman"/>
          <w:color w:val="000000"/>
          <w:sz w:val="20"/>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public and private placement rights issued in connection with the Offering and the private placement in accordance with the guidance contained in ASC Topic 815, “Derivatives and Hedging.” Accordingly, the Company evaluated and classified the rights under equity treatment at their assigned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completed the Offering whereby the Company sold 25,300,000 Units at a price of $10.00 per Unit. Each Unit consists of one share of the Company’s Class A ordinary shares, $0.0001 par value and one right to receive one-fifth (1/5) of one Class A ordinary share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paid an underwriting discount of $0.0405 per Unit to the Underwriter at the closing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non-managing investors purchased an aggregate of (a) 2,964,203 Class B ordinary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Private Placement Unit in a private placement that occurred simultaneously with the completion of the Offering for an aggregate purchase price of $2,624,266. The Private Investor Shares along with the Founder Shares collectively represent approximately 30% of the outstanding ordinary shares upon completion of the Offering, excluding the private placement shares that are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underlying security to the Private Placement Units. The private placement proceeds will be used to pay for business, legal and accounting due diligence expenses on acquisition targets and continuing general and administration expenses.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30, 2025 (date of inception), one Class B ordinary share that was allotted to Harneys Fiduciary (Cayman) Limited (“Harneys Fiduciary”) upon the Company’s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at a purchase price of $0.00318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consummation of the Offering the Founder sold 375,397 Founder Shares in the aggregate to four board members (“Insiders”) at an aggregate price of $9,244, or $0.02462 per share, and 1,416,665 Founder Shares to Lynrock Lake Master Fund LP (“Lynrock”) at an aggregate price of $13,130. Following this sale of Founder Shares, the Founder holds 6,053,167 Founder Shares and the price paid by the Founder for the 6,053,167 Founder Shares which it is retaining will be $2,626, or $0.000434 per share. The Class B ordinary shares owned by the Founder, Insiders, Lynrock and non-managing investors represents 30% of the Company’s issued and outstanding Class A and Class B ordinary shares after the Offering, excluding the private placement shares that are an underlying security to the Private Placement Units.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the Founder, Insiders and Lynrock purchased from the Company 95,200 Private Placement Units at a price of $9.7374 per Private Placement Unit pursuant to a Unit Purchase Agreement. In addition, as discussed in Note 3, the non-managing investors purchased 262,425 Private Placement Units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Founder,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case of the Private Placement Units (and its underlying securities),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Investor Shares and Private Placement Units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Founder, Insiders, Lynrock and the non-managing investors and their permitted transferees are entitled to registration rights pursuant to a registration rights agreement signed on the date of the prospectus for the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 Party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promissory note with the Sponsor with a principal amount of $100,000 (the “Promissory Note”), of which none remained outstanding as of December 31, 2025. On September 29, 2025, the Promissory Note was settled in exchange for Private Placement Units totaling $97,374 and the remaining balance of $2,626 was repaid. The proceeds were used for the payment of expenses related to the Offering. The Promissory Note was non-interest bearing, unsecured and was due on the earlier of (i) December 31, 2025 or (ii) the date on which the Company consummated the Offering.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Administrative Services Agreement and Other Agreements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agreed to pay $30,000 a month for office space, administrative services and secretarial support to an affiliate of the Founder, GigManagement, LLC. Services commenced on October 7, 2025, the date the securities were first listed on Nasdaq, and will terminate upon the earlier of the consummation by the Company of a Business Combination or the liquidation of the Company</w:t>
      </w:r>
      <w:r>
        <w:rPr>
          <w:rFonts w:ascii="Times New Roman" w:hAnsi="Times New Roman"/>
          <w:color w:val="000000"/>
          <w:sz w:val="18"/>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SHAREHOLDERS’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December 31,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December 31, 2025, there were 25,657,625 Class A ordinary shares issued and outstanding, of which 25,300,000 Class A ordinary shares are subject to possible redemption.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 Class B ordinary shares with a par value of $0.0001 per share. As of December 31, 2025, there were 10,814,432 Class B ordinary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in cases where the Company is not the surviving company in an initial Business Combination, each holder of a right will automatically receive one-fifth (1/5) of one Class A ordinary share upon consummation of an initial Business Combination. In the event the Company is not the surviving company upon completion of an initial Business Combination, each holder of a right will be required to affirmatively convert his, her or its rights in order to receive the one-fifth (1/5) of a Class A ordinary share of the new entity underlying each right upon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each holder must hold rights in multiples of five in order to receive shares for all of the rights upon closing of an initial Business Combination. If the Company is unable to complete an initial Business Combination within the required time period and redeems the public shares for the funds held in the Trust Account, holders of rights will not receive any of such funds for their rights and the rights will expire worthless. As of December 31, 2025, there were 5,131,525 rights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rights have been classified within shareholders’ equity and will not require remeasurement after issuance.The following table presents the quantitative information regarding market assumptions used in the valuation of the public rights:</w:t>
      </w:r>
    </w:p>
    <w:tbl>
      <w:tblPr>
        <w:tblW w:w="3467" w:type="dxa"/>
        <w:jc w:val="left"/>
        <w:tblInd w:w="0" w:type="dxa"/>
        <w:tblLayout w:type="fixed"/>
        <w:tblCellMar>
          <w:top w:w="28" w:type="dxa"/>
          <w:left w:w="28" w:type="dxa"/>
          <w:bottom w:w="28" w:type="dxa"/>
          <w:right w:w="28" w:type="dxa"/>
        </w:tblCellMar>
      </w:tblPr>
      <w:tblGrid>
        <w:gridCol w:w="1861"/>
        <w:gridCol w:w="348"/>
        <w:gridCol w:w="942"/>
        <w:gridCol w:w="316"/>
      </w:tblGrid>
      <w:tr>
        <w:trPr/>
        <w:tc>
          <w:tcPr>
            <w:tcW w:w="18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October 7,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price of Unit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Market adjustment </w:t>
            </w:r>
            <w:r>
              <w:rPr>
                <w:rFonts w:ascii="Times New Roman" w:hAnsi="Times New Roman"/>
                <w:color w:val="000000"/>
                <w:sz w:val="13"/>
              </w:rPr>
              <w:t>(1)</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right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Market adjustment reflects additional factors not fully captured by low volatility selection, which may include likelihood of the Business Combination occurring, market perception of lack of available or suitable targets, or possible post-acquisition decline of share price. The adjustment is determined by comparing traded right prices to simulated model outputs.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outstanding Class B ordinary shares are 5,000 Founder Shares issued to Ms. Marshall, the Company’s Chief Financial Officer, solely in consideration of future services pursuant to the Grant of Insider Shares Agreement dated September 26, 2025 between the Company and Ms. Marshall. The 5,000 Founder Shares issued to Ms. Marshall are subject to forfeiture as described in Note 4. If an initial Business Combination occurs and the 5,000 Founder Shares have not been previously forfeited, the fair value of the Class B ordinary shares on the date the shares were granted will be recognized as stock-based compensation in the Company’s statement of operations and comprehensive income when the completion of the Business Combination becomes probable.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which are supported by little or no market activity and which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 as of December 31, 2025, and indicates the fair value hierarchy of the valuation inputs the Company utilized to determine such fair value:</w:t>
      </w:r>
    </w:p>
    <w:p>
      <w:pPr>
        <w:pStyle w:val="TextBody"/>
        <w:bidi w:val="0"/>
        <w:spacing w:before="120" w:after="283"/>
        <w:jc w:val="left"/>
        <w:rPr/>
      </w:pPr>
      <w:r>
        <w:rPr/>
        <w:t> </w:t>
      </w:r>
    </w:p>
    <w:tbl>
      <w:tblPr>
        <w:tblW w:w="7320" w:type="dxa"/>
        <w:jc w:val="left"/>
        <w:tblInd w:w="0" w:type="dxa"/>
        <w:tblLayout w:type="fixed"/>
        <w:tblCellMar>
          <w:top w:w="28" w:type="dxa"/>
          <w:left w:w="28" w:type="dxa"/>
          <w:bottom w:w="28" w:type="dxa"/>
          <w:right w:w="28" w:type="dxa"/>
        </w:tblCellMar>
      </w:tblPr>
      <w:tblGrid>
        <w:gridCol w:w="4641"/>
        <w:gridCol w:w="146"/>
        <w:gridCol w:w="496"/>
        <w:gridCol w:w="146"/>
        <w:gridCol w:w="234"/>
        <w:gridCol w:w="1266"/>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255,267,683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financial assets or liabilities measured on a recurring basis as of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4" w:name="item_9a_controls_and_procedures"/>
      <w:bookmarkEnd w:id="24"/>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December 31, 2025.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120" w:after="283"/>
        <w:jc w:val="left"/>
        <w:rPr>
          <w:rFonts w:ascii="Times New Roman" w:hAnsi="Times New Roman"/>
          <w:sz w:val="20"/>
        </w:rPr>
      </w:pPr>
      <w:r>
        <w:rPr>
          <w:rFonts w:ascii="Times New Roman" w:hAnsi="Times New Roman"/>
          <w:i/>
          <w:color w:val="000000"/>
          <w:sz w:val="20"/>
        </w:rPr>
        <w:t>Management’s Report on Internal Controls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from October 1, 2025 through December 31, 2025,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28" w:name="item_10_directors_executive_officers"/>
      <w:bookmarkEnd w:id="2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and executive officers as of December 31, 2025 are listed below.</w:t>
      </w:r>
    </w:p>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2806"/>
        <w:gridCol w:w="146"/>
        <w:gridCol w:w="391"/>
        <w:gridCol w:w="146"/>
        <w:gridCol w:w="529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Avi S. Katz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 and Chief Executive Officer</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 Marshall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Raluca Dinu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Admiral (Ret.) David Ben-Bashat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Raanan I. Horowitz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Ambassador Adrian Zuckerman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Machuca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Rear Admiral (Ret.) Omri Dagul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Timm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Greene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Dr. Avi S. Katz</w:t>
      </w:r>
      <w:r>
        <w:rPr>
          <w:rFonts w:ascii="Times New Roman" w:hAnsi="Times New Roman"/>
          <w:color w:val="000000"/>
          <w:sz w:val="20"/>
        </w:rPr>
        <w:t xml:space="preserve"> serves as our Chief Executive Officer and Chairman of the Board. Dr. Katz has served as the Chairman of the Board of QT 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Drs. Katz and Dinu co-founded GIG9 in October 2025, a Private-to-Public Equity (PPE) company formed for the purpose of acquiring a company in the aerospace and defense services industry and the TMT industry, including TMT companies focused on, cybersecurity and secured communications and quantum-based command and control systems, artificial intelligence and machine-learning industries. GIG9 completed its initial public offering in January 2026, in which it sold 25,300,000 units at a per unit price of $10.00, with each unit consisting of one Class A ordinary share and one right to receive one-fifth of one Class A ordinary share of GIG9 upon the consummation of an initial business combination, generating $253 million. GIG9 listed on Nasdaq under the symbol “GIX” and is currently looking for a suitable acquisition target.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Engineering from the Technion (Israel Institute of Technology). Dr. Katz is married to Dr. Dinu, one of our directors. </w:t>
      </w:r>
    </w:p>
    <w:p>
      <w:pPr>
        <w:pStyle w:val="TextBody"/>
        <w:bidi w:val="0"/>
        <w:spacing w:before="240" w:after="283"/>
        <w:jc w:val="left"/>
        <w:rPr>
          <w:rFonts w:ascii="Times New Roman" w:hAnsi="Times New Roman"/>
          <w:sz w:val="20"/>
        </w:rPr>
      </w:pPr>
      <w:r>
        <w:rPr>
          <w:rFonts w:ascii="Times New Roman" w:hAnsi="Times New Roman"/>
          <w:b/>
          <w:color w:val="000000"/>
          <w:sz w:val="20"/>
        </w:rPr>
        <w:t>Christine M. Marshall</w:t>
      </w:r>
      <w:r>
        <w:rPr>
          <w:rFonts w:ascii="Times New Roman" w:hAnsi="Times New Roman"/>
          <w:color w:val="000000"/>
          <w:sz w:val="20"/>
        </w:rPr>
        <w:t xml:space="preserve"> joined our company as Chief Financial Officer on June 30, 2025. Ms. Marshall is an accomplished finance leader 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Ms. Marshall has also been the chief financial officer of GIG7 since May 2024 and GIG9 since October 29, 2025.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 </w:t>
      </w:r>
    </w:p>
    <w:p>
      <w:pPr>
        <w:pStyle w:val="TextBody"/>
        <w:bidi w:val="0"/>
        <w:spacing w:before="240" w:after="283"/>
        <w:jc w:val="left"/>
        <w:rPr>
          <w:rFonts w:ascii="Times New Roman" w:hAnsi="Times New Roman"/>
          <w:sz w:val="20"/>
        </w:rPr>
      </w:pPr>
      <w:r>
        <w:rPr>
          <w:rFonts w:ascii="Times New Roman" w:hAnsi="Times New Roman"/>
          <w:b/>
          <w:color w:val="000000"/>
          <w:sz w:val="20"/>
        </w:rPr>
        <w:t>Dr. Raluca Dinu</w:t>
      </w:r>
      <w:r>
        <w:rPr>
          <w:rFonts w:ascii="Times New Roman" w:hAnsi="Times New Roman"/>
          <w:color w:val="000000"/>
          <w:sz w:val="20"/>
        </w:rPr>
        <w:t xml:space="preserve"> is our director. Dr. Dinu is the Chief Executive Officer, President, Secretary, serving in those roles since March 2024 and as 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Drs. Katz and Dinu co-founded GIG9 in October 2025, a Private-to-Public Equity (PPE) company formed for the purpose of acquiring a company in the aerospace and defense services industry and the TMT industry, including TMT companies focused on, cybersecurity and secured communications and quantum-based command and control systems, artificial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intelligence and machine-learning industries.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 </w:t>
      </w:r>
    </w:p>
    <w:p>
      <w:pPr>
        <w:pStyle w:val="TextBody"/>
        <w:bidi w:val="0"/>
        <w:spacing w:before="240" w:after="283"/>
        <w:jc w:val="left"/>
        <w:rPr>
          <w:rFonts w:ascii="Times New Roman" w:hAnsi="Times New Roman"/>
          <w:sz w:val="20"/>
        </w:rPr>
      </w:pPr>
      <w:r>
        <w:rPr>
          <w:rFonts w:ascii="Times New Roman" w:hAnsi="Times New Roman"/>
          <w:b/>
          <w:color w:val="000000"/>
          <w:sz w:val="20"/>
        </w:rPr>
        <w:t>Admiral (Ret.) David Ben-Bashat</w:t>
      </w:r>
      <w:r>
        <w:rPr>
          <w:rFonts w:ascii="Times New Roman" w:hAnsi="Times New Roman"/>
          <w:color w:val="000000"/>
          <w:sz w:val="20"/>
        </w:rPr>
        <w:t xml:space="preserve"> is our independent director. V. Admiral (Ret.) Ben-Bashat was the Commander in Chief of the Israeli Navy, retiring in 2008 after serving more than 38 years. Throughout his service in the Israeli Navy, V. Admiral (Ret.) Ben-Bashat assumed the role as the Chief Commander of the missile boat flotilla and commander of the Naval Officers Academy, as well as held different commanding positions as a naval commander and as an officer at the Navy Headquarters.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 team specialize in analyzing security risks and identifying design security technology solutions for national and critical assets engaged with governments and international technology companies. V. Admiral (Ret.) Ben-Bashat is a director of GIG9 since January 2026.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Raanan I. Horowitz </w:t>
      </w:r>
      <w:r>
        <w:rPr>
          <w:rFonts w:ascii="Times New Roman" w:hAnsi="Times New Roman"/>
          <w:color w:val="000000"/>
          <w:sz w:val="20"/>
        </w:rPr>
        <w:t xml:space="preserve">is our independent director.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is a director of GIG9 since January 2026.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283"/>
        <w:jc w:val="left"/>
        <w:rPr>
          <w:rFonts w:ascii="Times New Roman" w:hAnsi="Times New Roman"/>
          <w:sz w:val="20"/>
        </w:rPr>
      </w:pPr>
      <w:r>
        <w:rPr>
          <w:rFonts w:ascii="Times New Roman" w:hAnsi="Times New Roman"/>
          <w:b/>
          <w:color w:val="000000"/>
          <w:sz w:val="20"/>
        </w:rPr>
        <w:t>Ambassador Adrian Zuckerman</w:t>
      </w:r>
      <w:r>
        <w:rPr>
          <w:rFonts w:ascii="Times New Roman" w:hAnsi="Times New Roman"/>
          <w:color w:val="000000"/>
          <w:sz w:val="20"/>
        </w:rPr>
        <w:t xml:space="preserve"> is our independent director.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 director of GIG9 since January 2026.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jc w:val="left"/>
        <w:rPr>
          <w:rFonts w:ascii="Times New Roman" w:hAnsi="Times New Roman"/>
          <w:sz w:val="20"/>
        </w:rPr>
      </w:pPr>
      <w:r>
        <w:rPr>
          <w:rFonts w:ascii="Times New Roman" w:hAnsi="Times New Roman"/>
          <w:b/>
          <w:color w:val="000000"/>
          <w:sz w:val="20"/>
        </w:rPr>
        <w:t>Luis Machuca</w:t>
      </w:r>
      <w:r>
        <w:rPr>
          <w:rFonts w:ascii="Times New Roman" w:hAnsi="Times New Roman"/>
          <w:color w:val="000000"/>
          <w:sz w:val="20"/>
        </w:rPr>
        <w:t xml:space="preserve"> is our independent director. He also serves as a director of GIG9 since January 2026 and a director of UpHealth, Inc. (OTC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 </w:t>
      </w:r>
    </w:p>
    <w:p>
      <w:pPr>
        <w:pStyle w:val="TextBody"/>
        <w:bidi w:val="0"/>
        <w:spacing w:before="240" w:after="283"/>
        <w:jc w:val="left"/>
        <w:rPr>
          <w:rFonts w:ascii="Times New Roman" w:hAnsi="Times New Roman"/>
          <w:sz w:val="20"/>
        </w:rPr>
      </w:pPr>
      <w:r>
        <w:rPr>
          <w:rFonts w:ascii="Times New Roman" w:hAnsi="Times New Roman"/>
          <w:b/>
          <w:color w:val="000000"/>
          <w:sz w:val="20"/>
        </w:rPr>
        <w:t>Rear Admiral (Ret.) Omri Dagul</w:t>
      </w:r>
      <w:r>
        <w:rPr>
          <w:rFonts w:ascii="Times New Roman" w:hAnsi="Times New Roman"/>
          <w:color w:val="000000"/>
          <w:sz w:val="20"/>
        </w:rPr>
        <w:t xml:space="preserve"> is our independent director. Over several decades, Omri has shared his vast maritime experience with Global Shipping and Port Companies in Israel and abroad. Since 2007, he has been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Owner and CEO of Dockport Ltd, a Consultancy and Project Management company. Dockport is a specialized consultancy which provides extensive technical and management services in global shipyards for new builds, mainly with Car and Bulk Carriers. At the same time, until 2010, Omri was also Consultant to several Defense companies including Elbit Systems, Asia Global Technologies, Lockheed Martine and General Dynamics. Prior to 2007, he served for 32 years in the Israel Navy in a variety of technical and engineering positions. Omri retired from the Navy with the rank of Rear Admiral and his last position was the Head of Materiel Command. Omri holds a BSc in Mechanical Engineering from the Technion, Haifa, Israel and a MSc in Naval Architecture and Marine Engineering from University of Michigan, USA.</w:t>
      </w:r>
    </w:p>
    <w:p>
      <w:pPr>
        <w:pStyle w:val="TextBody"/>
        <w:bidi w:val="0"/>
        <w:spacing w:before="240" w:after="283"/>
        <w:jc w:val="left"/>
        <w:rPr>
          <w:rFonts w:ascii="Times New Roman" w:hAnsi="Times New Roman"/>
          <w:sz w:val="20"/>
        </w:rPr>
      </w:pPr>
      <w:r>
        <w:rPr>
          <w:rFonts w:ascii="Times New Roman" w:hAnsi="Times New Roman"/>
          <w:b/>
          <w:color w:val="000000"/>
          <w:sz w:val="20"/>
        </w:rPr>
        <w:t>Bryan Timm</w:t>
      </w:r>
      <w:r>
        <w:rPr>
          <w:rFonts w:ascii="Times New Roman" w:hAnsi="Times New Roman"/>
          <w:color w:val="000000"/>
          <w:sz w:val="20"/>
        </w:rPr>
        <w:t xml:space="preserve"> is our independent director. Mr. Timm is also a director of GIG9 since January 2026. Mr. Timm currently serves as a Board Advisor for Papé Group, a family company serving the West Coast with Kenworth, John Deere, and Hyster heavy equipment dealerships. He previously served on the Board of Directors of Umpqua Holdings Corporation (Nasdaq: UMPQ) (n/k/a Columbia Banking System)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 </w:t>
      </w:r>
    </w:p>
    <w:p>
      <w:pPr>
        <w:pStyle w:val="TextBody"/>
        <w:bidi w:val="0"/>
        <w:spacing w:before="240" w:after="283"/>
        <w:jc w:val="left"/>
        <w:rPr>
          <w:rFonts w:ascii="Times New Roman" w:hAnsi="Times New Roman"/>
          <w:sz w:val="20"/>
        </w:rPr>
      </w:pPr>
      <w:r>
        <w:rPr>
          <w:rFonts w:ascii="Times New Roman" w:hAnsi="Times New Roman"/>
          <w:b/>
          <w:color w:val="000000"/>
          <w:sz w:val="20"/>
        </w:rPr>
        <w:t>James Greene</w:t>
      </w:r>
      <w:r>
        <w:rPr>
          <w:rFonts w:ascii="Times New Roman" w:hAnsi="Times New Roman"/>
          <w:color w:val="000000"/>
          <w:sz w:val="20"/>
        </w:rPr>
        <w:t xml:space="preserve"> is our independent director. Mr. Greene served as a director of Umpqua Bank (n/k/a Columbia Banking System) (Nasdaq: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Number, Terms of Office and Election of 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will be elected each year at our annual meeting of shareholders. We may not hold an annual meeting of shareholders until after we consummate our initial business combination (unless required by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are elected by the Board of Directors and serve at the discretion of the Board of Directors, rather than for specific terms of office. Our Board of Directors is authorized by our amended and 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three standing committees: an audit committee; a compensation committee; and a nominating and corporate governance committee. Each of our audit committee, our compensation committee and our nominating and corporate governance committee are composed solely of independent directors. Each committee operates under a charter that is approved by our board and has the composition and responsibilities described below. The committee assignments set forth below were in effect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an audit committee of the Board of Directors. Mr. Horowitz and Mr. Machuca serve as members of our audit committee. Mr. Timm serves as the Chairman of the audit committee. Under Nasdaq listing standards and applicable SEC rules, we are required to have three members of the audit committee all of whom must be independent. Mr. Timm, Mr. Horowitz and Mr. Machuca are independent.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member of the audit committee is financially literate and our Board of Directors has determined that Mr. Timm qualifies as an “audit committee financial expert” as defined in applicable SEC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audit committee charter, which details the purpose and principal functions of the audit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with each of the internal auditors and independent registered public accounting firm the overall scope and plans for audits, including authority and organizational reporting lines and adequacy of staffing and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internal auditors and the independent registered public accounting firm the Company’s financial and critical accounting practices, and policies relating to risk assessment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and reviewing reports of the independent registered public accounting firm discussing 1) all critical accounting policies and practices to be used in the independent registered public accounting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reviewing and discussing with management and the independent registered public accounting firm the annual and quarterly financial statements and section entitled “</w:t>
      </w:r>
      <w:r>
        <w:rPr>
          <w:rFonts w:ascii="Times New Roman" w:hAnsi="Times New Roman"/>
          <w:i/>
          <w:color w:val="000000"/>
          <w:sz w:val="20"/>
        </w:rPr>
        <w:t>Management’s</w:t>
      </w:r>
      <w:r>
        <w:rPr>
          <w:color w:val="000000"/>
        </w:rPr>
        <w:t xml:space="preserve"> </w:t>
      </w:r>
      <w:r>
        <w:rPr>
          <w:rFonts w:ascii="Times New Roman" w:hAnsi="Times New Roman"/>
          <w:i/>
          <w:color w:val="000000"/>
          <w:sz w:val="20"/>
        </w:rPr>
        <w:t>Discussion</w:t>
      </w:r>
      <w:r>
        <w:rPr>
          <w:color w:val="000000"/>
        </w:rPr>
        <w:t xml:space="preserve"> </w:t>
      </w:r>
      <w:r>
        <w:rPr>
          <w:rFonts w:ascii="Times New Roman" w:hAnsi="Times New Roman"/>
          <w:i/>
          <w:color w:val="000000"/>
          <w:sz w:val="20"/>
        </w:rPr>
        <w:t>and</w:t>
      </w:r>
      <w:r>
        <w:rPr>
          <w:color w:val="000000"/>
        </w:rPr>
        <w:t xml:space="preserve"> </w:t>
      </w:r>
      <w:r>
        <w:rPr>
          <w:rFonts w:ascii="Times New Roman" w:hAnsi="Times New Roman"/>
          <w:i/>
          <w:color w:val="000000"/>
          <w:sz w:val="20"/>
        </w:rPr>
        <w:t>Analysis of Financial</w:t>
      </w:r>
      <w:r>
        <w:rPr>
          <w:color w:val="000000"/>
        </w:rPr>
        <w:t xml:space="preserve"> </w:t>
      </w:r>
      <w:r>
        <w:rPr>
          <w:rFonts w:ascii="Times New Roman" w:hAnsi="Times New Roman"/>
          <w:i/>
          <w:color w:val="000000"/>
          <w:sz w:val="20"/>
        </w:rPr>
        <w:t>Conditions and Results of</w:t>
      </w:r>
      <w:r>
        <w:rPr>
          <w:color w:val="000000"/>
        </w:rPr>
        <w:t xml:space="preserve"> </w:t>
      </w:r>
      <w:r>
        <w:rPr>
          <w:rFonts w:ascii="Times New Roman" w:hAnsi="Times New Roman"/>
          <w:i/>
          <w:color w:val="000000"/>
          <w:sz w:val="20"/>
        </w:rPr>
        <w:t>Operations</w:t>
      </w:r>
      <w:r>
        <w:rPr>
          <w:color w:val="000000"/>
        </w:rPr>
        <w:t xml:space="preserve">” </w:t>
      </w:r>
      <w:r>
        <w:rPr>
          <w:rFonts w:ascii="Times New Roman" w:hAnsi="Times New Roman"/>
          <w:color w:val="000000"/>
          <w:sz w:val="20"/>
        </w:rPr>
        <w:t>of the Company prior to the filing of the Company’s Annual Report on Form 10-K and Quarterly Reports on Form 10-Q;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or establishing, standards for the type of information and the type of presentation of such information to be included in, earnings press releases and earnings guidance provided to analysts and rating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with management and the independent registered public accounting firm any changes in Company’s critical accounting principles and the effects of alternative GAAP methods, off-balance sheet structures and regulatory and accounting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material pending legal proceedings involving the Company and other contingent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periodically with the Chief Executive Officer, Chief Financial Officer, the senior internal auditing executive and the independent registered public accounting firm in separate executive sessions to discuss results of examinations;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all transactions between the Company and related parties or affiliates of the officers of the Company requiring disclosure under Item 404 of Regulation S-K prior to the Company entering into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policies for the hiring of employees and former employees of the independent registered public accounting firm.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compensation committee of the Board of Directors. The members of our Compensation Committee are Mr. Horowitz and Rear Admiral (Ret.) Dagul, and Mr. Greene serves as Chairman of the compensation committee. We have adopted a compensation committee charter, which details the purpose and responsibility of the compensation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performance of the Chief Executive Officer and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the Board of Directors in developing and evaluating potential candidates for executive positions (including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the salaries, bonus and other compensation for all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compensation packages for new corporate officers and termination packages for corporate officers as requested by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the Board of Directors and senior officers plans for officer development and corporate succession plans for the Chief Executive Officer and other senior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concerning executive compensation policies and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to the Board of Directors the adoption of or changes to the compensation of the Company’s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awards made under any executive officer bonus plan, and provide an appropriate report to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concerning long-term incentive compensation plans, including the use of stock options and other equity-based plans, and, except as otherwise delegated by the Board of Directors, acting on as the “Plan Administrator” for equity-based and employee benefit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all special perquisites, special cash payments and other special compensation and benefit arrangements for the Company’s executive officers and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periodic reports from management on matters relating to the Company’s personnel appointments and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management in complying with the Company’s proxy statement and annual report disclosure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issuing an annual report of the Compensation Committee on Executive Compensation for the Company’s annual proxy statement in compliance with applicable SEC rules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evaluating the Committee’s performance and the committee’s charter and recommending to the Board of Directors any proposed changes to the charter or the committee;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undertaking all further actions and discharge all further responsibilities imposed upon the Committee from time to time by the Board of Directors, the federal securities laws or the rules and regulations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nominating and corporate governance committee of the Board of Directors. The members of our nominating and corporate governance are Mr. Greene and Admiral (Ret.) Ben-Bashel, and Mr. Machuca serves as Chairman of the nominating and corporate governance committee. We have adopted a nominating and corporate governance committee charter, which details the purpose and responsibilities of the nominating and corporate governance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the criteria for appointment as a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considering, recruiting and recommending candidates to fill new positions on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candidates recommended by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the appropriate and necessary inquiries into the backgrounds and qualifications of possible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director nominees for approval by the Board of Directors and election by the shareholders at the next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Committee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compensation committee of the board of directors has reviewed and discussed the “</w:t>
      </w:r>
      <w:r>
        <w:rPr>
          <w:rFonts w:ascii="Times New Roman" w:hAnsi="Times New Roman"/>
          <w:i/>
          <w:color w:val="000000"/>
          <w:sz w:val="20"/>
        </w:rPr>
        <w:t>Compensation of Our Executive Officers and Directors”</w:t>
      </w:r>
      <w:r>
        <w:rPr>
          <w:rFonts w:ascii="Times New Roman" w:hAnsi="Times New Roman"/>
          <w:color w:val="000000"/>
          <w:sz w:val="20"/>
        </w:rPr>
        <w:t xml:space="preserve"> section below and, based on such review and discussion, has recommended to our board of directors that such section be included in this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closing of the Offering, Admiral (Ret.) Ben-Bashat, Mr. Horowitz, Ambassador Zuckerman, Mr. Machuca, Real Admiral (Ret.) Dagul, Mr. Timm and Mr. Greene are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adopted a Code of Business Conduct and Ethics applicable to our management team and employees in accordance with applicable federal securities laws. We have filed a copy of our form of Code of Business Conduct and Ethics and our board committee charters as exhibits to the initial registration statement. You are able to review these documents by accessing our public filings at the SEC’s web site at </w:t>
      </w:r>
      <w:r>
        <w:rPr>
          <w:rFonts w:ascii="Times New Roman" w:hAnsi="Times New Roman"/>
          <w:i/>
          <w:color w:val="000000"/>
          <w:sz w:val="20"/>
        </w:rPr>
        <w:t>www.sec.gov</w:t>
      </w:r>
      <w:r>
        <w:rPr>
          <w:rFonts w:ascii="Times New Roman" w:hAnsi="Times New Roman"/>
          <w:color w:val="000000"/>
          <w:sz w:val="20"/>
        </w:rPr>
        <w:t>. In addition, a copy of the Code of Business Conduct and Ethics will be provided without charge upon request from us, or may accessed on our Company website at https://www.gigcapitalglobal.com/investors. We intend to disclose any amendments to or waivers of certain provisions of our Code of Business Conduct and Ethics in a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the consummation of the Offering, we adopted an insider trading policy which requires insiders to (1) refrain from purchasing securities during certain blackout periods and when they are in possession of any material non-public information and (2) 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 10b5-1 plan or may determine that acting pursuant to such a plan is not required under the Exchange Act; however, if the purchasers determine at the time of any such purchases that the purchases are subject to such rules, the purchasers will comply with such rules.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Conflicts of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however, that the fiduciary, contractual or other obligations or duties of our officers or directors will materially affect our ability to complete our initial business combination. Our amended and restated memorandum and articles of association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significant overlap among the directors and officers of UpHealth, Inc., QT Imaging Holdings, Inc., GIG7, GIG9 and our Company. Dr. Katz, our Chief Executive Officer and Chairman, serves as the Chairman of QT Imaging Holdings, Inc. and UpHealth, Inc. and as the Chief Executive Officer and Chairman of GIG7 and GIG9 Ms. Marshall, our Chief Financial Officer, serves as the Chief Financial Officer of GIG7 and GIG9 Dr. Dinu, our director, is also a member of the board of directors of UpHealth, Inc., GIG7 and GIG9 and the Chief Executive Officer and member of the board of directors of QT Imaging Holdings, Inc. Any of such companies may present additional conflicts of interest in pursuing an acquisition target. Investors should be aware of the following potential conflicts of interest: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officers and directors is required to commit their full time to our affairs and, accordingly, they may have conflicts of interest in allocating their time among various business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their other business activities, our Sponsor, officers and directors may become aware of investment and business opportunities which may be appropriate for presentation to our Company as well as the other entities with which they are affiliated. However, our officers and directors have agreed to present to us all suitable target business opportunities, subject to any fiduciary or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we consummate our initial business combination, our executive officers, directors and Sponsor will not receive reimbursement for any out-of-pocket expenses incurred by them to the extent that such expenses exceed the amount of available proceeds not deposited in the trust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founder shares, private placement shares and any Class A ordinary shares issuable upon conversion thereof, private placement rights (and underlying securities) will be released from their respective lock-up restrictions only if a business combination is successfully completed, and the private placement rights will expire worthless if a business combination is not consummated.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foregoing reasons, our Board of Directors may have a conflict of interest in determining whether a particular target business is appropriate to effect a business combination with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executive officers and directors of a corporation incorporated under the Cayman Islands are required to present business opportunities to a corporation if: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corporation could financially undertake the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opportunity is within the corporation’s line of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would not be fair to the corporation and its shareholders for the opportunity not to be brought to the attention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 a result of multiple business affiliations, our management team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We cannot assure you that any of the above mentioned conflicts will be resolved in our favor.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minimize potential conflicts of interest which may arise from multiple corporate affiliations, each of our officers and directors has contractually agreed, pursuant to a written agreement with us, until the earliest of our execution of a definitive agreement for a business combination, our liquidation or such time as he or she ceases to be an officer or director, to present to our Company for our consideration, prior to presentation to any other entity, any suitable business opportunity which may reasonably be required to be presented to us, subject to any fiduciary or contractual obligations he or she might have in the event their respective business combinations are not consummated. Accordingly, our amended and restated memorandum and articles of association provide that the doctrine of corporate opportunity will not apply with respect to any of our executive officers or directors in circumstances where the application of the doctrine would conflict with any fiduciary duties or contractual obligations they may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is a table summarizing the entities to which our executive officers and directors currently have fiduciary duties or contractual obligations. </w:t>
      </w:r>
    </w:p>
    <w:tbl>
      <w:tblPr>
        <w:tblW w:w="10205" w:type="dxa"/>
        <w:jc w:val="left"/>
        <w:tblInd w:w="0" w:type="dxa"/>
        <w:tblLayout w:type="fixed"/>
        <w:tblCellMar>
          <w:top w:w="28" w:type="dxa"/>
          <w:left w:w="28" w:type="dxa"/>
          <w:bottom w:w="28" w:type="dxa"/>
          <w:right w:w="28" w:type="dxa"/>
        </w:tblCellMar>
      </w:tblPr>
      <w:tblGrid>
        <w:gridCol w:w="1764"/>
        <w:gridCol w:w="2207"/>
        <w:gridCol w:w="2275"/>
        <w:gridCol w:w="3959"/>
      </w:tblGrid>
      <w:tr>
        <w:trPr/>
        <w:tc>
          <w:tcPr>
            <w:tcW w:w="1764" w:type="dxa"/>
            <w:tcBorders/>
            <w:shd w:fill="FFFFFF" w:val="clear"/>
            <w:vAlign w:val="center"/>
          </w:tcPr>
          <w:p>
            <w:pPr>
              <w:pStyle w:val="TableContents"/>
              <w:bidi w:val="0"/>
              <w:spacing w:before="0" w:after="283"/>
              <w:jc w:val="left"/>
              <w:rPr>
                <w:sz w:val="4"/>
                <w:szCs w:val="4"/>
              </w:rPr>
            </w:pPr>
            <w:r>
              <w:rPr>
                <w:sz w:val="4"/>
                <w:szCs w:val="4"/>
              </w:rPr>
            </w:r>
          </w:p>
        </w:tc>
        <w:tc>
          <w:tcPr>
            <w:tcW w:w="2207" w:type="dxa"/>
            <w:tcBorders/>
            <w:shd w:fill="FFFFFF" w:val="clear"/>
            <w:vAlign w:val="center"/>
          </w:tcPr>
          <w:p>
            <w:pPr>
              <w:pStyle w:val="TableContents"/>
              <w:bidi w:val="0"/>
              <w:spacing w:before="0" w:after="283"/>
              <w:jc w:val="left"/>
              <w:rPr>
                <w:sz w:val="4"/>
                <w:szCs w:val="4"/>
              </w:rPr>
            </w:pPr>
            <w:r>
              <w:rPr>
                <w:sz w:val="4"/>
                <w:szCs w:val="4"/>
              </w:rPr>
            </w:r>
          </w:p>
        </w:tc>
        <w:tc>
          <w:tcPr>
            <w:tcW w:w="2275" w:type="dxa"/>
            <w:tcBorders/>
            <w:shd w:fill="FFFFFF" w:val="clear"/>
            <w:vAlign w:val="center"/>
          </w:tcPr>
          <w:p>
            <w:pPr>
              <w:pStyle w:val="TableContents"/>
              <w:bidi w:val="0"/>
              <w:spacing w:before="0" w:after="283"/>
              <w:jc w:val="left"/>
              <w:rPr>
                <w:sz w:val="4"/>
                <w:szCs w:val="4"/>
              </w:rPr>
            </w:pPr>
            <w:r>
              <w:rPr>
                <w:sz w:val="4"/>
                <w:szCs w:val="4"/>
              </w:rPr>
            </w:r>
          </w:p>
        </w:tc>
        <w:tc>
          <w:tcPr>
            <w:tcW w:w="3959" w:type="dxa"/>
            <w:tcBorders/>
            <w:shd w:fill="FFFFFF" w:val="clear"/>
            <w:vAlign w:val="center"/>
          </w:tcPr>
          <w:p>
            <w:pPr>
              <w:pStyle w:val="TableContents"/>
              <w:bidi w:val="0"/>
              <w:spacing w:before="0" w:after="283"/>
              <w:jc w:val="left"/>
              <w:rPr>
                <w:sz w:val="4"/>
                <w:szCs w:val="4"/>
              </w:rPr>
            </w:pPr>
            <w:r>
              <w:rPr>
                <w:sz w:val="4"/>
                <w:szCs w:val="4"/>
              </w:rPr>
            </w:r>
          </w:p>
        </w:tc>
      </w:tr>
      <w:tr>
        <w:trPr/>
        <w:tc>
          <w:tcPr>
            <w:tcW w:w="1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w:t>
            </w:r>
          </w:p>
        </w:tc>
        <w:tc>
          <w:tcPr>
            <w:tcW w:w="22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22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Entity’s Business</w:t>
            </w:r>
          </w:p>
        </w:tc>
        <w:tc>
          <w:tcPr>
            <w:tcW w:w="3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Affiliation</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Dr. Avi S. Katz</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Gig4L, LLC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Consulting and Investment</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managing member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GigManagement, LLC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Management Company</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Co-founder and managing member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Chairman of board of directors</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QT Imaging Holdings, Inc.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Medical Device</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Chairman of board of directors</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GigAcquisitions7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GigAcquisitions8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GigCapital9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GigAcquisitions9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Christine M. Marshall</w:t>
            </w:r>
          </w:p>
        </w:tc>
        <w:tc>
          <w:tcPr>
            <w:tcW w:w="220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275"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95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Financial Officer</w:t>
            </w:r>
          </w:p>
        </w:tc>
      </w:tr>
      <w:tr>
        <w:trPr/>
        <w:tc>
          <w:tcPr>
            <w:tcW w:w="1764" w:type="dxa"/>
            <w:tcBorders/>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GigCapital9 Corp.</w:t>
            </w:r>
          </w:p>
        </w:tc>
        <w:tc>
          <w:tcPr>
            <w:tcW w:w="2275"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95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Financial Officer</w:t>
            </w:r>
          </w:p>
        </w:tc>
      </w:tr>
      <w:tr>
        <w:trPr/>
        <w:tc>
          <w:tcPr>
            <w:tcW w:w="17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Dr. Raluca Dinu</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GigManagement, LLC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Management Company</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Co-founder and managing member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Gig4L, LLC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Consulting and Investment</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managing member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QT Imaging Holdings, Inc.</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Medical Device</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 President, Secretary and Director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GigAcquisitions7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1764"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GigAcquisitions8 Corp.</w:t>
            </w:r>
          </w:p>
        </w:tc>
        <w:tc>
          <w:tcPr>
            <w:tcW w:w="227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95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1"/>
        <w:gridCol w:w="2289"/>
        <w:gridCol w:w="3157"/>
        <w:gridCol w:w="2418"/>
      </w:tblGrid>
      <w:tr>
        <w:trPr/>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2289" w:type="dxa"/>
            <w:tcBorders/>
            <w:shd w:fill="FFFFFF" w:val="clear"/>
            <w:vAlign w:val="center"/>
          </w:tcPr>
          <w:p>
            <w:pPr>
              <w:pStyle w:val="TableContents"/>
              <w:bidi w:val="0"/>
              <w:spacing w:before="0" w:after="283"/>
              <w:jc w:val="left"/>
              <w:rPr>
                <w:sz w:val="4"/>
                <w:szCs w:val="4"/>
              </w:rPr>
            </w:pPr>
            <w:r>
              <w:rPr>
                <w:sz w:val="4"/>
                <w:szCs w:val="4"/>
              </w:rPr>
            </w:r>
          </w:p>
        </w:tc>
        <w:tc>
          <w:tcPr>
            <w:tcW w:w="3157" w:type="dxa"/>
            <w:tcBorders/>
            <w:shd w:fill="FFFFFF" w:val="clear"/>
            <w:vAlign w:val="center"/>
          </w:tcPr>
          <w:p>
            <w:pPr>
              <w:pStyle w:val="TableContents"/>
              <w:bidi w:val="0"/>
              <w:spacing w:before="0" w:after="283"/>
              <w:jc w:val="left"/>
              <w:rPr>
                <w:sz w:val="4"/>
                <w:szCs w:val="4"/>
              </w:rPr>
            </w:pPr>
            <w:r>
              <w:rPr>
                <w:sz w:val="4"/>
                <w:szCs w:val="4"/>
              </w:rPr>
            </w:r>
          </w:p>
        </w:tc>
        <w:tc>
          <w:tcPr>
            <w:tcW w:w="2418" w:type="dxa"/>
            <w:tcBorders/>
            <w:shd w:fill="FFFFFF" w:val="clear"/>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w:t>
            </w:r>
          </w:p>
        </w:tc>
        <w:tc>
          <w:tcPr>
            <w:tcW w:w="2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3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Entity’s Business</w:t>
            </w:r>
          </w:p>
        </w:tc>
        <w:tc>
          <w:tcPr>
            <w:tcW w:w="2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Affiliation</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GigCapital9 Corp.</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GigAcquisitions9 Corp.</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Ambassador Adrian Zuckerman</w:t>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DLA Piper LLP (US)</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Law Firm</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Of Counsel</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 xml:space="preserve">GigCapital9 Corp. </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3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Raanan Horowitz</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Institute for Defense Analysis</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Technical and Scientific Analysis</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Member of board of trustees</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Parry Labs LLC</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Engineering Services</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 xml:space="preserve">GigCapital9 Corp. </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Admiral (Ret.) David Ben-Bashat</w:t>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GaitMetrics</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Security Company</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GigCapital9 Corp.</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Luis Machuca</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Columbia Banking System</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Financial Institution</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 xml:space="preserve">GigCapital9 Corp. </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Rear Admiral (Ret.) Omri Dagul</w:t>
            </w:r>
          </w:p>
        </w:tc>
        <w:tc>
          <w:tcPr>
            <w:tcW w:w="2289"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Dockport Ltd.</w:t>
            </w:r>
          </w:p>
        </w:tc>
        <w:tc>
          <w:tcPr>
            <w:tcW w:w="3157"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Consultancy and Project Management company</w:t>
            </w:r>
          </w:p>
        </w:tc>
        <w:tc>
          <w:tcPr>
            <w:tcW w:w="2418"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Owner and Chief Executive Officer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Ray Shipping</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Maritime Business</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Executive Vice President</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Bryan Timm</w:t>
            </w:r>
          </w:p>
        </w:tc>
        <w:tc>
          <w:tcPr>
            <w:tcW w:w="2289"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GigCapital9 Corp.</w:t>
            </w:r>
          </w:p>
        </w:tc>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James Greene</w:t>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QT Imaging Holdings, Inc.</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Medical Device</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Columbia Banking System</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Financial Institution</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89"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Sky D Ventures</w:t>
            </w:r>
          </w:p>
        </w:tc>
        <w:tc>
          <w:tcPr>
            <w:tcW w:w="315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Venture Fund and Advisory Service Firm</w:t>
            </w:r>
          </w:p>
        </w:tc>
        <w:tc>
          <w:tcPr>
            <w:tcW w:w="2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Managing Partner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submit our initial business combination to our public shareholders for a vote, our initial shareholders have agreed to vote their founder shares and private placement shares in favor of our initial business combination, but not any public shares that non-managing investors may buy in the Offering or after the Offering on the open market. In addition, they have agreed to waive their respective rights to participate in any liquidation distribution with respect to their founder shares, insider shares or private shares. If they purchase public shares as part of the Offering or on the open market, however, they would be entitled to participate in any liquidation distribution in respect of such shares but have agreed not to convert or sell such shares to us in connection with the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16(a) of the Exchange Act requires our management team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period ended December 31, 2025 there were no delinquent filers.</w:t>
      </w:r>
    </w:p>
    <w:p>
      <w:pPr>
        <w:pStyle w:val="TextBody"/>
        <w:bidi w:val="0"/>
        <w:spacing w:before="36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Compensation of our 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are a special purpose acquisition company, formed for the purpose of effecting a business combination, our primary objective with respect to executive and director compensation is to retain the executives and directors to help identify and close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Commencing on the date that the Company’s securities were first listed on the Nasdaq through the earlier of consummation of the Company’s initial business combination or our liquidation, the Company has agreed to pay GigManagement, LLC a total of $30,000 per month for office space and general and administrative services. This arrangement was agreed to by an affiliate of the Company’s Executive Chairman and the Company’s Chief Executive Officer for the Company’s benefit and is not intended to provide such affiliate of the Company’s Executive Chairman and the Company’s Chief Executive Officer compensation in lieu of a salary. The Company believes that such fees are at least as favorable as it could have obtained from an unaffiliated third party for such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agreed to pay Ms. Marshall, its Treasurer and Chief Financial Officer a total of $15,000 per month for her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what was provided for in the Current Report on Form 8-K, on October 14, 2025, the Board of Directors approved the payment by the Company of advisory fees to directors in connection with certain activities on the Company’s behalf, such as identifying and investigating possible business targets and business combinations as well as pertaining to Board of Directors committee service and administrative and analytical services. These advisory fees are due to be paid quarterly, and include payments to Dr. Avi Katz, the Chief Executive Officer. The quarterly amounts approved are as follows, of which no quarterly payments were made in 2025; however, one prorata quarters worth of payments are in accrued liabilities as of December 31, 2025:</w:t>
      </w:r>
    </w:p>
    <w:p>
      <w:pPr>
        <w:pStyle w:val="TextBody"/>
        <w:bidi w:val="0"/>
        <w:jc w:val="left"/>
        <w:rPr/>
      </w:pPr>
      <w:r>
        <w:rPr/>
        <w:t> </w:t>
      </w:r>
    </w:p>
    <w:tbl>
      <w:tblPr>
        <w:tblW w:w="4917" w:type="dxa"/>
        <w:jc w:val="left"/>
        <w:tblInd w:w="0" w:type="dxa"/>
        <w:tblLayout w:type="fixed"/>
        <w:tblCellMar>
          <w:top w:w="28" w:type="dxa"/>
          <w:left w:w="28" w:type="dxa"/>
          <w:bottom w:w="28" w:type="dxa"/>
          <w:right w:w="28" w:type="dxa"/>
        </w:tblCellMar>
      </w:tblPr>
      <w:tblGrid>
        <w:gridCol w:w="2806"/>
        <w:gridCol w:w="516"/>
        <w:gridCol w:w="1404"/>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Quarterly Compensation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Avi S. Katz</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Raluca Dinu</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Admiral (Ret.) David Ben-Bashat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Raanan I. Horowitz</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Ambassador Adrian Zuckerman</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Machuca</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Rear Admiral (Ret.) Omri Dagul</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Timm</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Greene</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are the tabular disclosures of our executive officer and director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 Compensation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9"/>
        <w:gridCol w:w="1289"/>
        <w:gridCol w:w="181"/>
        <w:gridCol w:w="511"/>
        <w:gridCol w:w="146"/>
        <w:gridCol w:w="181"/>
        <w:gridCol w:w="346"/>
        <w:gridCol w:w="146"/>
        <w:gridCol w:w="204"/>
        <w:gridCol w:w="391"/>
        <w:gridCol w:w="146"/>
        <w:gridCol w:w="207"/>
        <w:gridCol w:w="397"/>
        <w:gridCol w:w="146"/>
        <w:gridCol w:w="374"/>
        <w:gridCol w:w="718"/>
        <w:gridCol w:w="146"/>
        <w:gridCol w:w="400"/>
        <w:gridCol w:w="768"/>
        <w:gridCol w:w="146"/>
        <w:gridCol w:w="280"/>
        <w:gridCol w:w="678"/>
        <w:gridCol w:w="146"/>
        <w:gridCol w:w="181"/>
        <w:gridCol w:w="511"/>
        <w:gridCol w:w="197"/>
      </w:tblGrid>
      <w:tr>
        <w:trPr/>
        <w:tc>
          <w:tcPr>
            <w:tcW w:w="136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 and principal position</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Nonequity incentive plan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Nonqualified deferred compensation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 compensation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Dr. Avi S. Katz, Executive</w:t>
              <w:br/>
              <w:t>   Chairman of the Board</w:t>
              <w:br/>
              <w:t>   of Directors and Chief Executive Officer (Principal</w:t>
              <w:br/>
              <w:t>   Executive Officer)</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June 30, 2025 (Inception) through December 31, 2025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Christine M. Marshall, Chief Financial Officer</w:t>
              <w:br/>
              <w:t>   (Principal Financial and</w:t>
              <w:br/>
              <w:t>   Accounting Officer)</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June 30, 2025 (Inception) through December 31, 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Advisory fees were paid to directors for board committee service and administrative and analytical services, including certain activities on the Company’s behalf, such as identifying and investigating possible business targets and business combinations.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Independent Director Compensation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6"/>
        <w:gridCol w:w="272"/>
        <w:gridCol w:w="520"/>
        <w:gridCol w:w="146"/>
        <w:gridCol w:w="208"/>
        <w:gridCol w:w="399"/>
        <w:gridCol w:w="146"/>
        <w:gridCol w:w="214"/>
        <w:gridCol w:w="410"/>
        <w:gridCol w:w="146"/>
        <w:gridCol w:w="398"/>
        <w:gridCol w:w="764"/>
        <w:gridCol w:w="146"/>
        <w:gridCol w:w="564"/>
        <w:gridCol w:w="1082"/>
        <w:gridCol w:w="146"/>
        <w:gridCol w:w="146"/>
        <w:gridCol w:w="290"/>
        <w:gridCol w:w="704"/>
        <w:gridCol w:w="146"/>
        <w:gridCol w:w="146"/>
        <w:gridCol w:w="181"/>
        <w:gridCol w:w="436"/>
        <w:gridCol w:w="199"/>
      </w:tblGrid>
      <w:tr>
        <w:trPr/>
        <w:tc>
          <w:tcPr>
            <w:tcW w:w="23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 earned or paid in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Nonequity incentive plan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Change in pension value and nonqualified deferred compensation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 compensation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Dr. Raluca Dinu, Director</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Admiral (Ret.) David Ben-Bashat, Independent Director</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Raanan I. Horowitz, Independent Director</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Ambassador Adrian Zuckerman, Independent Director</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Luis Machuca, Independent Director and Chairman of the nominating and corporate governance committee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Rear Admiral (Ret.) Omri Dagul, Independent Director</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Bryan Timm, Independent Director and Chairman of the Audit Committee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James Greene, Independent Director and Chairman of the Compensation Committee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Advisory fees were paid to directors for board committee service and administrative and analytical services, including certain activities on the Company’s behalf, such as identifying and investigating possible business targets and business combinations.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set forth above, no compensation will be paid to the Company’s Sponsor, executive officers and directors, or any of their respective affiliates, prior to or in connection with the consummation of our initial business combination with the target business. Additionally, these individuals are reimbursed for any out-of-pocket expenses incurred in connection with activities on our behalf such as identifying potential target businesses and performing due diligence on suitable business combinations. The Company’s independent directors review on a quarterly basis all payments that were made to the Sponsor, executive officers, directors or their affiliates. The Company is not party to any agreements with its officers and directors that provide for benefits upon termination of employment.</w:t>
      </w:r>
    </w:p>
    <w:p>
      <w:pPr>
        <w:pStyle w:val="TextBody"/>
        <w:bidi w:val="0"/>
        <w:spacing w:before="360" w:after="283"/>
        <w:jc w:val="left"/>
        <w:rPr>
          <w:rFonts w:ascii="Times New Roman" w:hAnsi="Times New Roman"/>
          <w:b/>
          <w:color w:val="000000"/>
          <w:sz w:val="20"/>
        </w:rPr>
      </w:pPr>
      <w:bookmarkStart w:id="30" w:name="item_12_security_ownership"/>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compensation plans under which equity securities are authorized for issuance.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the beneficial ownership of our shares as of the date of this annual report, and as adjusted to reflect the sale of our shares included in the units,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known by us to be the beneficial owner of more than 5% of the outstanding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executive officers and directors that beneficially owns ordinary shares;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our executive officers and directors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indicated, we believe that all persons named in the table have sole voting and investment power with respect to all shares beneficially owned by them.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1"/>
        <w:gridCol w:w="187"/>
        <w:gridCol w:w="1193"/>
        <w:gridCol w:w="146"/>
        <w:gridCol w:w="186"/>
        <w:gridCol w:w="1188"/>
        <w:gridCol w:w="146"/>
        <w:gridCol w:w="532"/>
        <w:gridCol w:w="1263"/>
        <w:gridCol w:w="146"/>
        <w:gridCol w:w="328"/>
        <w:gridCol w:w="1050"/>
        <w:gridCol w:w="319"/>
      </w:tblGrid>
      <w:tr>
        <w:trPr/>
        <w:tc>
          <w:tcPr>
            <w:tcW w:w="35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w:t>
              <w:b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Percentage of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Percentage</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Name and Address of Beneficial Owner </w:t>
            </w:r>
            <w:r>
              <w:rPr>
                <w:rFonts w:ascii="Times New Roman" w:hAnsi="Times New Roman"/>
                <w:b/>
                <w:color w:val="000000"/>
                <w:sz w:val="11"/>
              </w:rPr>
              <w:t>(1)</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Class A Ordinary Shares</w:t>
            </w:r>
            <w:r>
              <w:rPr>
                <w:rFonts w:ascii="Times New Roman" w:hAnsi="Times New Roman"/>
                <w:color w:val="000000"/>
                <w:sz w:val="16"/>
              </w:rPr>
              <w:t>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of Outstanding Shares</w:t>
            </w:r>
            <w:r>
              <w:rPr>
                <w:rFonts w:ascii="Times New Roman" w:hAnsi="Times New Roman"/>
                <w:color w:val="000000"/>
                <w:sz w:val="16"/>
              </w:rPr>
              <w:t> </w:t>
            </w:r>
            <w:r>
              <w:rPr>
                <w:rFonts w:ascii="Times New Roman" w:hAnsi="Times New Roman"/>
                <w:b/>
                <w:color w:val="000000"/>
                <w:sz w:val="11"/>
              </w:rPr>
              <w:t>(3)</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Avi S. Katz </w:t>
            </w:r>
            <w:r>
              <w:rPr>
                <w:rFonts w:ascii="Times New Roman" w:hAnsi="Times New Roman"/>
                <w:color w:val="000000"/>
                <w:sz w:val="13"/>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 Marshall</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Raluca Dinu </w:t>
            </w:r>
            <w:r>
              <w:rPr>
                <w:rFonts w:ascii="Times New Roman" w:hAnsi="Times New Roman"/>
                <w:color w:val="000000"/>
                <w:sz w:val="13"/>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Admiral (Ret.) David Ben-Bashat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Raanan I. Horowitz</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Ambassador Adrian Zuckerman</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Machuca</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Rear Admiral (Ret.) Omri Dagul</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Timm</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Greene</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Directors and Executive Officers of the Company as a Group (10 Individuals)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20"/>
              </w:rPr>
              <w:t>Five Percent or Greater Holders:</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GigAcquisitions8 Corp.</w:t>
            </w:r>
            <w:r>
              <w:rPr>
                <w:rFonts w:ascii="Times New Roman" w:hAnsi="Times New Roman"/>
                <w:color w:val="000000"/>
                <w:sz w:val="13"/>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Avi S. Katz </w:t>
            </w:r>
            <w:r>
              <w:rPr>
                <w:rFonts w:ascii="Times New Roman" w:hAnsi="Times New Roman"/>
                <w:color w:val="000000"/>
                <w:sz w:val="13"/>
              </w:rPr>
              <w:t>(4)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Dr. Raluca Dinu</w:t>
            </w:r>
            <w:r>
              <w:rPr>
                <w:rFonts w:ascii="Times New Roman" w:hAnsi="Times New Roman"/>
                <w:color w:val="000000"/>
                <w:sz w:val="13"/>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Glazer Capital, LLC</w:t>
            </w:r>
            <w:r>
              <w:rPr>
                <w:rFonts w:ascii="Times New Roman" w:hAnsi="Times New Roman"/>
                <w:color w:val="000000"/>
                <w:sz w:val="13"/>
              </w:rPr>
              <w:t>(5)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AQR Capital Management Holdings, LLC</w:t>
            </w:r>
            <w:r>
              <w:rPr>
                <w:rFonts w:ascii="Times New Roman" w:hAnsi="Times New Roman"/>
                <w:color w:val="000000"/>
                <w:sz w:val="13"/>
              </w:rPr>
              <w:t>(6)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W.R. Berkley Corporation</w:t>
            </w:r>
            <w:r>
              <w:rPr>
                <w:rFonts w:ascii="Times New Roman" w:hAnsi="Times New Roman"/>
                <w:color w:val="000000"/>
                <w:sz w:val="13"/>
              </w:rPr>
              <w:t>(7)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Tenor Opportunity Master Fund, Ltd.</w:t>
            </w:r>
            <w:r>
              <w:rPr>
                <w:rFonts w:ascii="Times New Roman" w:hAnsi="Times New Roman"/>
                <w:color w:val="000000"/>
                <w:sz w:val="13"/>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Lynrock Lake LP</w:t>
            </w:r>
            <w:r>
              <w:rPr>
                <w:rFonts w:ascii="Times New Roman" w:hAnsi="Times New Roman"/>
                <w:color w:val="000000"/>
                <w:sz w:val="13"/>
              </w:rPr>
              <w:t>(9)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the business address of each of the individuals is 1731 Embarcadero Rd., Suite 200, Palo Alto, CA 94303.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25,657,625 Class A ordinary shares outstanding as of March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36,472,057 ordinary shares outstanding as of March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held by our Sponsor. The shares held by our Sponsor are beneficially owned by Dr. Katz,our Chairman of the Board of Directors, and Dr. Raluca Dinu, our director, who both have the voting and dispositive power over the shares held by our Sponsor. The Sponsor’s business address is 1731 Embarcadero Rd., Suite 200, Palo Alto, CA 94303.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 Schedule 13G filed with the SEC on February 12, 2026, the Class A Ordinary Shares reported therein are held by certain funds and managed accounts to which Glazer Capital, LLC (“Glazer Capital”) serves as investment manager (collectively, the “Glazer Funds”). Paul J. Glazer serves as the Managing Member of Glazer Capital. By virtue of these relationships, the Glazer Funds, Glazer Capital and Paul J. Glazer may be deemed to have shared voting and dispositive power with respect to the reported securities owned directly by the Glazer Funds. The address of the Glazer Funds is 250 West 55th Street, Suite 30A, New York, New York 10019.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 Schedule 13G filed with the SEC on February 12, 2026, the Class A Ordinary Shares reported therein are held by AQR Capital Management, LLC (“AQR Capital”). AQR Capital is a wholly owned subsidiary of AQR Capital Management Holdings, LLC (“AQR Holdings”). AQR Arbitrage, LLC (“AQR Arbitrage”) is deemed to be controlled by AQR Capital. By virtue of these relationships, AQR Capital, AQR Holdings and AQR Arbitrage may be deemed to have shared voting and dispositive power with respect to the reported securities owned directly by AQR Capital. The address of AQR Capital is One Greenwich Plaza, Suite 130, Greenwich, CT 06830.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 Schedule 13G filed with the SEC on February 10, 2026, the Class A Ordinary Shares reported therein are held by W. R. Berkley Corporation (“Berkley Corp”). Berkley Insurance Company is a parent holding company of Berkley Corp. By virtue of these relationships, Berkley Corp and Berkley Insurance Company may be deemed to have shared voting and dispositive power with respect to the reported securities owned directly by Berkley Corp. The address of Berkley Corp is 475 Steamboat Road Greenwich, CT 06830.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 Schedule 13G filed with the SEC on November 4, 2025, the Class A Ordinary Shares reported therein are held in the form of public units by Tenor Opportunity Master Fund, Ltd. (the “Master Fund”). Tenor Capital Management Company, L.P. (“Tenor Capital”) serves as the investment manager to the Master Fund. Robin Shah serves as the managing member of Tenor Management GP, LLC, the general partner of Tenor Capital. By virtue of these relationships, Master Fund, Tenor Capital and Robin Shah may be deemed to have shared voting and dispositive power with respect to the reported securities owned directly by the Master Fund. The address of Master Fund is 810 Seventh Avenue, Suite 1905, New York, NY 10019.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 Schedule 13G filed with the SEC on February 17, 2026, the Class A Ordinary Shares reported therein are held in the form of public units by Lynrock Lake Master Fund LP (“Lynrock Lake Master”). Lynrock Lake LP (the “Investment Manager”) is the investment manager of Lynrock Lake Master, and pursuant to an investment management agreement, the Investment Manager has been delegated full voting and investment power over the reported securities held by Lynrock Lake Master. Cynthia Paul, the Chief Investment Officer of the Investment Manager and Sole Member of Lynrock Lake Partners LLC, the general partner of the Investment Manager, may be deemed to exercise voting and investment power over securities of the Issuer held by Lynrock Lake Master. The address of Lynrock Lake Master is 2 International Drive, Suite 130, Rye Brook, NY 10573.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initial shareholders and any of their permitted transferees beneficially own approximately 40% of our issued and outstanding shares (assuming none of our initial shareholders purchases any public units in the open market), with our Sponsor beneficially owning approximately 30.6% of such issued and outstanding shares. Because of this ownership block, our Sponsor, acting alone, may be able to effectively influence the outcome of all matters requiring approval by our shareholders, including the election of directors, amendments to our amended and restated memorandum and articles of association and approval of significant corporate transactions. </w:t>
      </w:r>
    </w:p>
    <w:p>
      <w:pPr>
        <w:pStyle w:val="TextBody"/>
        <w:bidi w:val="0"/>
        <w:spacing w:before="360" w:after="283"/>
        <w:jc w:val="left"/>
        <w:rPr>
          <w:rFonts w:ascii="Times New Roman" w:hAnsi="Times New Roman"/>
          <w:b/>
          <w:color w:val="000000"/>
          <w:sz w:val="20"/>
        </w:rPr>
      </w:pPr>
      <w:bookmarkStart w:id="31" w:name="item_13_certain_relationships_and_rel"/>
      <w:bookmarkEnd w:id="31"/>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The purchase price per founder share was determined by dividing the amount of cash contributed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Company by the number of founder shares issued. Prior to the investment of $25,000 by our Sponsor (before giving effect to the sales of shares to four of our directors), our Company had no assets, tangible or intangible.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consummation of the Offering our Sponsor sold 375,397 founder shares in the aggregate to Messrs. Greene, Machuca, Timm and Horowitz at an aggregate price of $9,244, thus reducing the price paid by our Sponsor for the 6,053,167 founder shares (after also giving effect to the sale of 1,416,665 founder shares to Lynrock at an aggregate price of $13,130) which it is retaining to $2,626, or $0.00434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founder shares, and the forfeiture mechanism underlying the founder shares, has been determined in order to ensure that the founder shares, together with the private investor shares owned by the non-managing investors will collectively represent 30% of the issued and outstanding shares (assuming none of the initial shareholders purchases public units or public shares in the Offering) upon completion of the Offering and the exercise of the underwriters’ over-allotment option. In connection with the Offering, our Sponsor and four of our directors hold 6,428,564 founder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18, 2025, we issued a promissory note to our Sponsor with a principal amount of $100,000, none of which remained outstanding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with respect to permitted transferees, our initial shareholders have agreed not to transfer, assign or sell any of their respective founder shares, private placement shares and any Class A ordinary shares issuable upon conversion thereof until the earlier to occur of: (A) 6 months after the date of the consummation of our initial business combination or (B) subsequent to our initial business combination, (x) the date on which the last sale price of our ordinary shares equals or exceeds $11.50 per share (as adjusted for stock splits, stock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Permitted transferees would be subject to the same restrictions and other agreements of our initial shareholders with respect to any such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meet our working capital needs following the consummation of the Offering, our Sponsor, executive officers, directors or their affiliates may, but are not obligated to, loan us funds, from time to time or at any time, in whatever amount they deem reasonable in their sole discretion. Each loan would be evidenced by a promissory note. Up to $1,500,000 of such loans may be convertible into additional private placement units of the post-business combination entity at a price of $10.00 per unit at the option of the lender. The units would be identical to the private placement units. The terms of such loans by our Sponsor, executive officers, directors, or their affiliates, if any, have not been determined and no written agreements exist with respect to such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our founder shares, private investor shares and private placement shares issued and outstanding on the date of this Annual Report, and the shares to be issued upon conversion of the private placement rights upon consummation of our initial business combination, as well as, shares our Sponsor, officers, directors or their affiliates may be issued in payment of working capital loans made to us (and all underlying securities), will be entitled to registration rights pursuant to an agreement signed prior to or on the effective date of the IPO.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 Katz, our Chief Executive Officer and Chairman, formed our Sponsor which 100% is owned equally by Drs. Katz and Dinu, who are husband and wife; and have the sole financial and voting interest in our Sponsor that entitles it to participate in any economic return that the Sponsor receives for its investment in the Company in accordance with terms negotiated with the other holders of financial and voting interests in our Sponsor. Accordingly, Drs. Katz and Dinu will benefit from the transaction to the extent of their interest in our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the Offering, to pay GigManagement, LLC a monthly fee of $30,000 per month for office space and general and administrative services until the consummation of an initial business combination. In conjunction with our services agreement with GigManagement, LLC and in connection with GigManagement, LLC’s affiliation with GigFounders, LLC, we have a licensing arrangement with GigFounders, LLC whereby we are permitted to use its “Private-to-Public Equity (PPE).”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agreed to pay our Chief Financial Officer, Christine M. Marshall, $15,000 a month for her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w:t>
      </w:r>
    </w:p>
    <w:p>
      <w:pPr>
        <w:pStyle w:val="TextBody"/>
        <w:bidi w:val="0"/>
        <w:jc w:val="left"/>
        <w:rPr>
          <w:rFonts w:ascii="Times New Roman" w:hAnsi="Times New Roman"/>
          <w:color w:val="000000"/>
          <w:sz w:val="20"/>
        </w:rPr>
      </w:pPr>
      <w:r>
        <w:rPr>
          <w:rFonts w:ascii="Times New Roman" w:hAnsi="Times New Roman"/>
          <w:color w:val="000000"/>
          <w:sz w:val="20"/>
        </w:rPr>
        <w:t xml:space="preserve">Dr. Katz, our Chief Executive Officer and Chairman of the Board of Directors, and Dr. Dinu, one of our directors, are husband and wife. </w:t>
      </w:r>
    </w:p>
    <w:p>
      <w:pPr>
        <w:pStyle w:val="TextBody"/>
        <w:bidi w:val="0"/>
        <w:spacing w:before="360" w:after="283"/>
        <w:jc w:val="left"/>
        <w:rPr>
          <w:rFonts w:ascii="Times New Roman" w:hAnsi="Times New Roman"/>
          <w:sz w:val="20"/>
        </w:rPr>
      </w:pPr>
      <w:r>
        <w:rPr>
          <w:rFonts w:ascii="Times New Roman" w:hAnsi="Times New Roman"/>
          <w:b/>
          <w:color w:val="000000"/>
          <w:sz w:val="20"/>
        </w:rPr>
        <w:t>Related Party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Code of Business Conduct and Ethics requires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procedures are intended to determine whether any such related party transaction impairs the independence of a director or presents a conflict of interest on the part of a director, employee or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 </w:t>
      </w:r>
    </w:p>
    <w:p>
      <w:pPr>
        <w:pStyle w:val="TextBody"/>
        <w:bidi w:val="0"/>
        <w:spacing w:before="360" w:after="283"/>
        <w:jc w:val="left"/>
        <w:rPr>
          <w:rFonts w:ascii="Times New Roman" w:hAnsi="Times New Roman"/>
          <w:b/>
          <w:color w:val="000000"/>
          <w:sz w:val="20"/>
        </w:rPr>
      </w:pPr>
      <w:bookmarkStart w:id="32" w:name="item_14_principal_accounting_fees"/>
      <w:bookmarkEnd w:id="3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for professional services provided by our independent registered public accounting firm since inception include:</w:t>
      </w:r>
    </w:p>
    <w:p>
      <w:pPr>
        <w:pStyle w:val="TextBody"/>
        <w:bidi w:val="0"/>
        <w:jc w:val="left"/>
        <w:rPr/>
      </w:pPr>
      <w:r>
        <w:rPr/>
        <w:t> </w:t>
      </w:r>
    </w:p>
    <w:tbl>
      <w:tblPr>
        <w:tblW w:w="3612" w:type="dxa"/>
        <w:jc w:val="left"/>
        <w:tblInd w:w="0" w:type="dxa"/>
        <w:tblLayout w:type="fixed"/>
        <w:tblCellMar>
          <w:top w:w="28" w:type="dxa"/>
          <w:left w:w="28" w:type="dxa"/>
          <w:bottom w:w="28" w:type="dxa"/>
          <w:right w:w="28" w:type="dxa"/>
        </w:tblCellMar>
      </w:tblPr>
      <w:tblGrid>
        <w:gridCol w:w="1891"/>
        <w:gridCol w:w="325"/>
        <w:gridCol w:w="1205"/>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w:t>
              <w:br/>
              <w:t>June 30, 2025</w:t>
              <w:br/>
              <w:t>(Inception) through</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(3)</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(4)</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Audit Fees. Audit fees consist of fees billed and to be billed for professional services rendered for the audit of our financial statements, reviews of our condensed financial statements and services that are normally provided by our independent registered public accounting firm in connection with statutory and regulatory filings.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Audit-Related Fees. 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consultation concerning financial accounting and reporting standards, including permitted due diligence services related to a potential business combination.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Tax Fees. Tax fees consist of fees billed for professional services relating to tax compliance, tax planning and tax advice.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All Other Fees. All other fees consist of fees billed for all other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Policy on Board Pre-Approval of Audit and Permissible Non-Audit Services of the Independent Auditors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is responsible for appointing, setting compensation and overseeing the work of the independent auditors. In recognition of this responsibility, the audit committee shall review and, in its sole discretion, pre-approve all audit and permitted non-audit services to be provided by the independent auditors as provided under the audit committee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34" w:name="item_15_exhibits_financial_statement"/>
      <w:bookmarkEnd w:id="34"/>
      <w:r>
        <w:rPr>
          <w:rFonts w:ascii="Times New Roman" w:hAnsi="Times New Roman"/>
          <w:b/>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See “Item 8. Financial Statements and Supplementary Data”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 The exhibits listed in the accompanying index to exhibits are filed or incorporated by reference as part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2"/>
        <w:gridCol w:w="146"/>
        <w:gridCol w:w="9267"/>
      </w:tblGrid>
      <w:tr>
        <w:trPr/>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7" w:type="dxa"/>
            <w:tcBorders/>
            <w:vAlign w:val="center"/>
          </w:tcPr>
          <w:p>
            <w:pPr>
              <w:pStyle w:val="TableContents"/>
              <w:bidi w:val="0"/>
              <w:spacing w:before="0" w:after="283"/>
              <w:jc w:val="left"/>
              <w:rPr>
                <w:sz w:val="4"/>
                <w:szCs w:val="4"/>
              </w:rPr>
            </w:pPr>
            <w:r>
              <w:rPr>
                <w:sz w:val="4"/>
                <w:szCs w:val="4"/>
              </w:rPr>
            </w:r>
          </w:p>
        </w:tc>
      </w:tr>
      <w:tr>
        <w:trPr/>
        <w:tc>
          <w:tcPr>
            <w:tcW w:w="79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7" w:type="dxa"/>
            <w:tcBorders>
              <w:bottom w:val="single" w:sz="6" w:space="0" w:color="000000"/>
            </w:tcBorders>
            <w:shd w:fill="FFFFFF" w:val="clear"/>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Underwriting Agreement, dated October 3, 2025, by and between the Company and D. Boral Capital LLC, as representative of the underwriters named therein</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Memorandum and Articles of Association</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Unit Certificate</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Class A Ordinary Share Certificate</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Right Certificate</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Rights Agreement between Continental Stock Transfer &amp; Trust Company and the Company</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Insider Letter Agreement, dated October 3, 2025, by and between the Company and GigAcquisitions8 Corp., each of its officers and directors, D. Boral Capital LLC, and certain other security holders named therein</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Registration Rights Agreement, dated October 3, 2025, by and among the Company, the Sponsor, and certain other security holders named therein</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Investment Management Trust Agreement, dated October 3, 2025, by and between the Company and Continental Stock Transfer &amp; Trust Company</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Administrative Services Agreement, dated October 3, 2025, by and among the Company and GigManagement, LLC</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Code of Business Conduct and Ethics</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19.htm">
              <w:r>
                <w:rPr>
                  <w:rStyle w:val="InternetLink"/>
                  <w:rFonts w:ascii="Times New Roman" w:hAnsi="Times New Roman"/>
                  <w:color w:val="0000FF"/>
                  <w:sz w:val="20"/>
                  <w:u w:val="single"/>
                </w:rPr>
                <w:t>Insider Trading Policy</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97_1.htm">
              <w:r>
                <w:rPr>
                  <w:rStyle w:val="InternetLink"/>
                  <w:rFonts w:ascii="Times New Roman" w:hAnsi="Times New Roman"/>
                  <w:color w:val="0000FF"/>
                  <w:sz w:val="20"/>
                  <w:u w:val="single"/>
                </w:rPr>
                <w:t>Clawback Policy</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Audit Committee Charter</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Compensation Committee Charter</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Nominating and Corporate Governance Committee Charter</w:t>
              </w:r>
            </w:hyperlink>
          </w:p>
        </w:tc>
      </w:tr>
      <w:tr>
        <w:trPr/>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146"/>
        <w:gridCol w:w="9320"/>
      </w:tblGrid>
      <w:tr>
        <w:trPr/>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0" w:type="dxa"/>
            <w:tcBorders/>
            <w:vAlign w:val="center"/>
          </w:tcPr>
          <w:p>
            <w:pPr>
              <w:pStyle w:val="TableContents"/>
              <w:bidi w:val="0"/>
              <w:spacing w:before="0" w:after="283"/>
              <w:jc w:val="left"/>
              <w:rPr>
                <w:sz w:val="4"/>
                <w:szCs w:val="4"/>
              </w:rPr>
            </w:pPr>
            <w:r>
              <w:rPr>
                <w:sz w:val="4"/>
                <w:szCs w:val="4"/>
              </w:rPr>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for the Company’s Annual Report on Form 10-K for the year ended December 31, 2025, has been formatted in Inline XBRL and contained in Exhibit 101</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
        <w:gridCol w:w="9848"/>
      </w:tblGrid>
      <w:tr>
        <w:trPr/>
        <w:tc>
          <w:tcPr>
            <w:tcW w:w="357" w:type="dxa"/>
            <w:tcBorders/>
            <w:vAlign w:val="center"/>
          </w:tcPr>
          <w:p>
            <w:pPr>
              <w:pStyle w:val="TableContents"/>
              <w:bidi w:val="0"/>
              <w:spacing w:before="0" w:after="283"/>
              <w:jc w:val="left"/>
              <w:rPr>
                <w:sz w:val="4"/>
                <w:szCs w:val="4"/>
              </w:rPr>
            </w:pPr>
            <w:r>
              <w:rPr>
                <w:sz w:val="4"/>
                <w:szCs w:val="4"/>
              </w:rPr>
            </w:r>
          </w:p>
        </w:tc>
        <w:tc>
          <w:tcPr>
            <w:tcW w:w="9848" w:type="dxa"/>
            <w:tcBorders/>
            <w:vAlign w:val="center"/>
          </w:tcPr>
          <w:p>
            <w:pPr>
              <w:pStyle w:val="TableContents"/>
              <w:bidi w:val="0"/>
              <w:spacing w:before="0" w:after="283"/>
              <w:jc w:val="left"/>
              <w:rPr>
                <w:sz w:val="4"/>
                <w:szCs w:val="4"/>
              </w:rPr>
            </w:pPr>
            <w:r>
              <w:rPr>
                <w:sz w:val="4"/>
                <w:szCs w:val="4"/>
              </w:rPr>
            </w:r>
          </w:p>
        </w:tc>
      </w:tr>
      <w:tr>
        <w:trPr/>
        <w:tc>
          <w:tcPr>
            <w:tcW w:w="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with that certain Current Report on Form 8-K filed with the Securities and Exchange Commission on October 3, 2025, and incorporated herein by reference.</w:t>
            </w:r>
          </w:p>
        </w:tc>
      </w:tr>
      <w:tr>
        <w:trPr/>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98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with that certain Registration Statement on Form S-1 filed with the Securities and Exchange Commission on September 25, 2025, and incorporated herein by reference.</w:t>
            </w:r>
          </w:p>
        </w:tc>
      </w:tr>
      <w:tr>
        <w:trPr/>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98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98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20"/>
              </w:rPr>
            </w:pPr>
            <w:r>
              <w:rPr>
                <w:rFonts w:ascii="Times New Roman" w:hAnsi="Times New Roman"/>
                <w:color w:val="0D0D0D"/>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bl>
    <w:p>
      <w:pPr>
        <w:pStyle w:val="TextBody"/>
        <w:bidi w:val="0"/>
        <w:jc w:val="both"/>
        <w:rPr/>
      </w:pPr>
      <w:r>
        <w:rPr/>
        <w:t> </w:t>
      </w:r>
    </w:p>
    <w:p>
      <w:pPr>
        <w:pStyle w:val="TextBody"/>
        <w:bidi w:val="0"/>
        <w:jc w:val="both"/>
        <w:rPr>
          <w:rFonts w:ascii="Times New Roman" w:hAnsi="Times New Roman"/>
          <w:sz w:val="20"/>
        </w:rPr>
      </w:pPr>
      <w:bookmarkStart w:id="35" w:name="item_16_form_10_k_summary"/>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662" w:type="dxa"/>
        <w:jc w:val="left"/>
        <w:tblInd w:w="0" w:type="dxa"/>
        <w:tblLayout w:type="fixed"/>
        <w:tblCellMar>
          <w:top w:w="28" w:type="dxa"/>
          <w:left w:w="28" w:type="dxa"/>
          <w:bottom w:w="28" w:type="dxa"/>
          <w:right w:w="28" w:type="dxa"/>
        </w:tblCellMar>
      </w:tblPr>
      <w:tblGrid>
        <w:gridCol w:w="1891"/>
        <w:gridCol w:w="109"/>
        <w:gridCol w:w="406"/>
        <w:gridCol w:w="325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GigCapital8 Corp.</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center"/>
        <w:rPr>
          <w:rFonts w:ascii="Times New Roman" w:hAnsi="Times New Roman"/>
          <w:b/>
          <w:color w:val="000000"/>
          <w:sz w:val="20"/>
        </w:rPr>
      </w:pPr>
      <w:bookmarkStart w:id="36" w:name="power_of_attorney"/>
      <w:bookmarkEnd w:id="36"/>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Dr. Avi S. Katz and Christine M. Marshall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500" w:type="dxa"/>
        <w:jc w:val="left"/>
        <w:tblInd w:w="0" w:type="dxa"/>
        <w:tblLayout w:type="fixed"/>
        <w:tblCellMar>
          <w:top w:w="28" w:type="dxa"/>
          <w:left w:w="28" w:type="dxa"/>
          <w:bottom w:w="28" w:type="dxa"/>
          <w:right w:w="28" w:type="dxa"/>
        </w:tblCellMar>
      </w:tblPr>
      <w:tblGrid>
        <w:gridCol w:w="3046"/>
        <w:gridCol w:w="146"/>
        <w:gridCol w:w="3721"/>
        <w:gridCol w:w="146"/>
        <w:gridCol w:w="144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br/>
              <w:t>(Principal Executive Officer)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Avi S. Katz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br/>
              <w:t>(Principal Financial and Accounting Officer)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Christine M. Marshall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Raluca Dinu</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Raluca Dinu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Admiral (Ret.) David Ben-Bashat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Admiral (Ret.) David Ben-Bashat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Raanan I. Horowitz</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Raanan I. Horowitz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Ambassador Adrian Zuckerman</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Ambassador Adrian Zuckerman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Luis Machuca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Luis Machuca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/s/Rear Admiral (Ret.) Omri Dagul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Rear Admiral (Ret.) Omri Dagul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Bryan Timm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Bryan Timm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Greene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James Greene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bookmarkStart w:id="37" w:name="giwwu-ex19.htm"/>
      <w:bookmarkStart w:id="38" w:name="ksgiwwuex19"/>
      <w:bookmarkEnd w:id="37"/>
      <w:bookmarkEnd w:id="38"/>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GIGCAPITAL8 CORP.</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Stock Trading Policy and Insider Trading Prohibition</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GigCapital8 Corp. (the “Company”) recognizes the importance of all employees, officers, directors and consultants following high ethical, moral and legal standards in the conduct of the Company’s business. This includes strict compliance with the laws regulating the misuse of inside information. We want to emphasize that even the appearance of improper conduct pertaining to insider trading should be avoided. This policy applies to all directors, officers, employees and consultants (in active service) to the Company (referred to in this policy as “Insiders”).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stock, whether or not issued by the Company, such as exchange-traded options.</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Stock Trading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Officers, Directors and Employees</w:t>
      </w:r>
      <w:r>
        <w:rPr>
          <w:rFonts w:ascii="Times New Roman" w:hAnsi="Times New Roman"/>
          <w:color w:val="000000"/>
          <w:sz w:val="24"/>
        </w:rPr>
        <w:t xml:space="preserve">. Unless permitted in writing, the buying or selling of Company securities is </w:t>
      </w:r>
      <w:r>
        <w:rPr>
          <w:rFonts w:ascii="Times New Roman" w:hAnsi="Times New Roman"/>
          <w:i/>
          <w:color w:val="000000"/>
          <w:sz w:val="24"/>
          <w:u w:val="single"/>
        </w:rPr>
        <w:t>specifically prohibited</w:t>
      </w:r>
      <w:r>
        <w:rPr>
          <w:rFonts w:ascii="Times New Roman" w:hAnsi="Times New Roman"/>
          <w:color w:val="000000"/>
          <w:sz w:val="20"/>
        </w:rPr>
        <w:t xml:space="preserve"> </w:t>
      </w:r>
      <w:r>
        <w:rPr>
          <w:rFonts w:ascii="Times New Roman" w:hAnsi="Times New Roman"/>
          <w:color w:val="000000"/>
          <w:sz w:val="24"/>
        </w:rPr>
        <w:t>when in possession of material nonpublic information through the 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business day following the Company’s public announcement of such information, with trading only permitted beginning the 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business day after the Company’s public announcement. For example, if material information is publicly announced on Friday, May 2nd; in this scenario, trading Company stock would be prohibited through Wednesday, May 7</w:t>
      </w:r>
      <w:r>
        <w:rPr>
          <w:rFonts w:ascii="Times New Roman" w:hAnsi="Times New Roman"/>
          <w:color w:val="000000"/>
          <w:sz w:val="16"/>
        </w:rPr>
        <w:t>th</w:t>
      </w:r>
      <w:r>
        <w:rPr>
          <w:rFonts w:ascii="Times New Roman" w:hAnsi="Times New Roman"/>
          <w:color w:val="000000"/>
          <w:sz w:val="24"/>
        </w:rPr>
        <w:t xml:space="preserve">. Once trading is permitted, </w:t>
      </w:r>
      <w:r>
        <w:rPr>
          <w:rFonts w:ascii="Times New Roman" w:hAnsi="Times New Roman"/>
          <w:b/>
          <w:i/>
          <w:color w:val="000000"/>
          <w:sz w:val="24"/>
          <w:u w:val="single"/>
        </w:rPr>
        <w:t>every trade requires specific</w:t>
      </w:r>
      <w:r>
        <w:rPr>
          <w:rFonts w:ascii="Times New Roman" w:hAnsi="Times New Roman"/>
          <w:color w:val="000000"/>
          <w:sz w:val="20"/>
          <w:u w:val="single"/>
        </w:rPr>
        <w:t xml:space="preserve"> </w:t>
      </w:r>
      <w:r>
        <w:rPr>
          <w:rFonts w:ascii="Times New Roman" w:hAnsi="Times New Roman"/>
          <w:b/>
          <w:i/>
          <w:color w:val="000000"/>
          <w:sz w:val="24"/>
          <w:u w:val="single"/>
        </w:rPr>
        <w:t>approval</w:t>
      </w:r>
      <w:r>
        <w:rPr>
          <w:rFonts w:ascii="Times New Roman" w:hAnsi="Times New Roman"/>
          <w:color w:val="000000"/>
          <w:sz w:val="20"/>
        </w:rPr>
        <w:t xml:space="preserve"> </w:t>
      </w:r>
      <w:r>
        <w:rPr>
          <w:rFonts w:ascii="Times New Roman" w:hAnsi="Times New Roman"/>
          <w:color w:val="000000"/>
          <w:sz w:val="24"/>
        </w:rPr>
        <w:t>of the Chief Executive Officer after consultation with legal counsel. This “permission only” policy is in effect to protect covered individuals from potential consequences of inadvertently trading Company shares while material nonpublic information may be known to them or otherwise widely known inside the Company. However, neither trading during the open Plan Window Period nor this preclearance is a “safe harbor”, and persons possessing material nonpublic information concerning the Company may not trade regardless of whether the trade has been precleared or the Plan Window Period is open.</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trading during an open Plan Window Period will not be unreasonably restricted. However, from time to time, the Company may “close the trading window,” and require the suspension of trading for some or all of its employees, officers and directors. The decision to suspend trading may be based on unusual market conditions or developments known to the Company and not yet disclosed to the public or other factors. In such event, anyone affected by the decision is advised not to engage in any transaction involving the purchase or sale of the Company’s securities during such period, and should not disclose to others the fact of such suspension of trading.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Consultants to the Company, while subject to the general principles of the GigCapital8 Corp. Stock Trading Policy and Insider Trading Prohibition, are not subject to the trading window restrictions, provided, however, that no less than two days prior to engaging in any transaction in Company stock, such consultant shall notify the Company’s Chief Executive Officer (or their designee) of such trading activity, and such Company Officer shall advise such member or other consultant of the existence or not of any insider information in the possession of the member or other consultant.</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Insider Trading Prohibition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Trading Company securities with the knowledge of material information is illegal and specifically prohibited. If an Insider has material nonpublic information relating to the Company, that person or any related person may not buy or sell securities of the Company or engage in any other action to take advantage of, or pass on to others, that information. This policy also prohibits trading in the securities of other companies, such as potential acquisition candidates or our customers or suppliers, about which you have material nonpublic information as a result of your relationship with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is important that you understand the breadth of activities that constitute illegal insider trading and the consequences, which can be severe. Both the U.S. Securities and Exchange Commission and the various national securities exchanges investigate and are very effective at detecting insider trading. The SEC, together with the U.S. Attorneys, pursue insider trading violations vigorously. Cases have been successfully prosecuted against trading by team members through foreign accounts, trading by family members and friends, and trading involving only a small number of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Transactions that may be necessary or justifiable for independent reasons (such as the need to raise money for emergency expenditures) are </w:t>
      </w:r>
      <w:r>
        <w:rPr>
          <w:rFonts w:ascii="Times New Roman" w:hAnsi="Times New Roman"/>
          <w:color w:val="000000"/>
          <w:sz w:val="24"/>
          <w:u w:val="single"/>
        </w:rPr>
        <w:t xml:space="preserve">not </w:t>
      </w:r>
      <w:r>
        <w:rPr>
          <w:rFonts w:ascii="Times New Roman" w:hAnsi="Times New Roman"/>
          <w:color w:val="000000"/>
          <w:sz w:val="24"/>
        </w:rPr>
        <w:t>exceptions to this policy. Even the appearance of an improper transaction must be avoided to preserve our reputation for adhering to the highest standards of conduct.</w:t>
      </w:r>
    </w:p>
    <w:p>
      <w:pPr>
        <w:pStyle w:val="TextBody"/>
        <w:bidi w:val="0"/>
        <w:jc w:val="center"/>
        <w:rPr>
          <w:rFonts w:ascii="Times New Roman" w:hAnsi="Times New Roman"/>
          <w:caps/>
          <w:color w:val="000000"/>
          <w:sz w:val="20"/>
        </w:rPr>
      </w:pPr>
      <w:r>
        <w:rPr>
          <w:rFonts w:ascii="Times New Roman" w:hAnsi="Times New Roman"/>
          <w:caps/>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Material nonpublic information</w:t>
      </w:r>
      <w:r>
        <w:rPr>
          <w:rFonts w:ascii="Times New Roman" w:hAnsi="Times New Roman"/>
          <w:color w:val="000000"/>
          <w:sz w:val="20"/>
        </w:rPr>
        <w:t xml:space="preserve"> </w:t>
      </w:r>
      <w:r>
        <w:rPr>
          <w:rFonts w:ascii="Times New Roman" w:hAnsi="Times New Roman"/>
          <w:color w:val="000000"/>
          <w:sz w:val="24"/>
        </w:rPr>
        <w:t>has two important components – materiality and public availability.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Material Information</w:t>
      </w:r>
      <w:r>
        <w:rPr>
          <w:rFonts w:ascii="Times New Roman" w:hAnsi="Times New Roman"/>
          <w:color w:val="000000"/>
          <w:sz w:val="20"/>
        </w:rPr>
        <w:t xml:space="preserve"> </w:t>
      </w:r>
      <w:r>
        <w:rPr>
          <w:rFonts w:ascii="Times New Roman" w:hAnsi="Times New Roman"/>
          <w:color w:val="000000"/>
          <w:sz w:val="24"/>
        </w:rPr>
        <w:t>is any information that a reasonable investor would consider important in a decision to buy, hold or sell securities. Either positive or negative information may be material. In short, any information that could reasonably affect the price of the securities would be material information.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Common examples of information that will frequently be regarded as material are: projections of future earnings or losses; news of a pending or proposed merger, acquisition or tender offer; news of significant sales of assets or the disposition of a subsidiary; changes in dividend policies or the declaration of a stock split or the offering of additional securities; changes in management; significant new products or discoveries; impending bankruptcy or financial liquidity problems; and the gain or loss of a substantial contract or supplier.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Twenty-Twenty Hindsight</w:t>
      </w:r>
      <w:r>
        <w:rPr>
          <w:rFonts w:ascii="Times New Roman" w:hAnsi="Times New Roman"/>
          <w:color w:val="000000"/>
          <w:sz w:val="20"/>
        </w:rPr>
        <w:t xml:space="preserve"> </w:t>
      </w:r>
      <w:r>
        <w:rPr>
          <w:rFonts w:ascii="Times New Roman" w:hAnsi="Times New Roman"/>
          <w:color w:val="000000"/>
          <w:sz w:val="24"/>
        </w:rPr>
        <w:t>- remember, if your securities transactions become the subject of scrutiny, they will be viewed after-the-fact with the benefit of hindsight. As a result, before engaging in any transaction, you should carefully consider how management, regulators and others might view your transaction in hindsight. Questions regarding the materiality of particular information should be resolved in favor of materiality, and trading should be avoided.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When Information is Public</w:t>
      </w:r>
      <w:r>
        <w:rPr>
          <w:rFonts w:ascii="Times New Roman" w:hAnsi="Times New Roman"/>
          <w:color w:val="000000"/>
          <w:sz w:val="24"/>
        </w:rPr>
        <w:t>. Information is nonpublic if it has not been previously disclosed by the Company and is otherwise not available to the general public. It is also improper for an Insider to enter a trade immediately after the Company has made a public announcement of material information, including all earnings releases. Because the Company’s shareholders and the investing public should be afforded the time to receive the information and act upon it, as a general rule, you should not engage in any transactions until the third business day after the information has been released to the public (at least 48 hours after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No Disclosure in Internet “Chat Rooms”</w:t>
      </w:r>
      <w:r>
        <w:rPr>
          <w:rFonts w:ascii="Times New Roman" w:hAnsi="Times New Roman"/>
          <w:color w:val="000000"/>
          <w:sz w:val="24"/>
        </w:rPr>
        <w:t>. The Company will regard it as a violation of this policy for any Insider to disclose, or participate in the disclosure of, any information related to the Company’s business, prospects, financial condition or employees by means of an Internet “chat room” or other similar space on the Internet in which either the Company’s business or the value of its securities is discussed or posted.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Tipping Company Information to Others</w:t>
      </w:r>
      <w:r>
        <w:rPr>
          <w:rFonts w:ascii="Times New Roman" w:hAnsi="Times New Roman"/>
          <w:color w:val="000000"/>
          <w:sz w:val="24"/>
        </w:rPr>
        <w:t>, whether the information is proprietary or could have an impact on the price of the Company’s securities, is forbidden. Individuals that pass information to others may cause them to be subject to insider trading penalties, whether or not you know about or derive any benefit from another’s actions. Disclosing material nonpublic information concerning any other public company to anyone is also prohibited.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Transactions By Family Members</w:t>
      </w:r>
      <w:r>
        <w:rPr>
          <w:rFonts w:ascii="Times New Roman" w:hAnsi="Times New Roman"/>
          <w:color w:val="000000"/>
          <w:sz w:val="20"/>
        </w:rPr>
        <w:t xml:space="preserve"> </w:t>
      </w:r>
      <w:r>
        <w:rPr>
          <w:rFonts w:ascii="Times New Roman" w:hAnsi="Times New Roman"/>
          <w:color w:val="000000"/>
          <w:sz w:val="24"/>
        </w:rPr>
        <w:t>and others living in your household are subject to the same restrictions that apply to employees, and you are expected to be responsible for the compliance of their immediate family and personal household.</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Other Transactions</w:t>
      </w:r>
      <w:r>
        <w:rPr>
          <w:rFonts w:ascii="Times New Roman" w:hAnsi="Times New Roman"/>
          <w:color w:val="000000"/>
          <w:sz w:val="24"/>
        </w:rPr>
        <w:t>: Employees who are not officers are not prohibited under the federal securities laws from trading in the Company’s securities on a short-term basis. However, the Company considers it improper and inappropriate for Insiders to engage in short-term or speculative transactions in the Company’s securities. Therefore, as a matter of Company policy, the following transactions involving Company securities should not be undertaken unless cleared with the CEO or CFO. Any request for approval must be submitted at least two weeks prior to the proposed transaction and must set forth the justification for the proposed transaction. Furthermore, officers and directors should refer to the Company’s memoranda describing the specific reporting obligations and trading restrictions applicable to them and the procedures established by the Company to assist them in this regard.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Short-Term Trading</w:t>
      </w:r>
      <w:r>
        <w:rPr>
          <w:rFonts w:ascii="Times New Roman" w:hAnsi="Times New Roman"/>
          <w:color w:val="000000"/>
          <w:sz w:val="24"/>
        </w:rPr>
        <w:t>. Short-term trading of the Company’s securities may be distracting and may unduly focus the investor on the Company’s short-term stock market performance instead of the Company’s long-term business objectives. For these reasons, Insiders who purchase Company securities in the open market may not sell any Company securities of the same class during the six months following the purchase, whether or not such person is subject to Section 16 restrictions.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Short Sales</w:t>
      </w:r>
      <w:r>
        <w:rPr>
          <w:rFonts w:ascii="Times New Roman" w:hAnsi="Times New Roman"/>
          <w:color w:val="000000"/>
          <w:sz w:val="24"/>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Insiders, whether or not covered by Section 16, are prohibited from engaging in short sales of the Company’s securities as described in Section 16(c) of the Exchange 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Publicly-Traded Options</w:t>
      </w:r>
      <w:r>
        <w:rPr>
          <w:rFonts w:ascii="Times New Roman" w:hAnsi="Times New Roman"/>
          <w:color w:val="000000"/>
          <w:sz w:val="24"/>
        </w:rPr>
        <w:t>. A transaction in options is, in effect, a bet on the short-term movement of the Company’s stock and therefore creates the appearance that the Insider is trading based on inside information. Transactions in options also may focus the investor’s attention on short-term performance at the expense of the Company’s long-term objectives. Accordingly, transactions in puts, calls or other derivative securities, on an exchange or in any other organized market, are prohibited.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Hedging Transactions</w:t>
      </w:r>
      <w:r>
        <w:rPr>
          <w:rFonts w:ascii="Times New Roman" w:hAnsi="Times New Roman"/>
          <w:color w:val="000000"/>
          <w:sz w:val="24"/>
        </w:rPr>
        <w:t>. Certain forms of hedging or monetization transactions, such as zero-cost collars and forward sale contracts, allow a person to lock in much of the stock holdings’ value, often in exchange for all or part of the potential for upside appreciation in the stock. These transactions allow a person to continue to own the Company’s securities, but without the full risks and rewards of ownership. When that occurs, the individual may no longer have the same objectives as the Company’s other shareholders. Therefore, Insiders are prohibited from engaging in such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Margin Accounts and Pledges</w:t>
      </w:r>
      <w:r>
        <w:rPr>
          <w:rFonts w:ascii="Times New Roman" w:hAnsi="Times New Roman"/>
          <w:color w:val="000000"/>
          <w:sz w:val="24"/>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w:t>
      </w:r>
      <w:r>
        <w:rPr>
          <w:rFonts w:ascii="Times New Roman" w:hAnsi="Times New Roman"/>
          <w:color w:val="000000"/>
          <w:sz w:val="20"/>
        </w:rPr>
        <w:t xml:space="preserve"> </w:t>
      </w:r>
    </w:p>
    <w:p>
      <w:pPr>
        <w:pStyle w:val="TextBody"/>
        <w:bidi w:val="0"/>
        <w:jc w:val="center"/>
        <w:rPr>
          <w:rFonts w:ascii="Times New Roman" w:hAnsi="Times New Roman"/>
          <w:caps/>
          <w:color w:val="000000"/>
          <w:sz w:val="20"/>
        </w:rPr>
      </w:pPr>
      <w:r>
        <w:rPr>
          <w:rFonts w:ascii="Times New Roman" w:hAnsi="Times New Roman"/>
          <w:caps/>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trade in Company securities, Insiders are prohibited from holding Company securities in a margin account or pledging Company securities as collateral for a loan.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continues to apply to your transactions in Company securities even after you have terminated employment or other services to the Company. If you are aware of material nonpublic information when your employment or service relationship terminates, you may not trade in Company securities until after that information has become public or is no longer material.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Trades under Qualified Plans Complying with Rule 10b5 1</w:t>
      </w:r>
      <w:r>
        <w:rPr>
          <w:rFonts w:ascii="Times New Roman" w:hAnsi="Times New Roman"/>
          <w:color w:val="000000"/>
          <w:sz w:val="24"/>
        </w:rPr>
        <w:t>. The trading prohibitions and preclearance procedure described in this policy do not apply to transactions made by an employee, officer or director of the Company under a “Qualified Plan” to trade securities under Rule 10b5-1 of the Securities Exchange 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Employees, officers and directors of the Company are permitted to buy or sell the Company’s securities under a “Qualified Plan” that complies with federal and state securities laws, and the specific requirements of this policy. A “Qualified Plan” must meet each of the following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Binding contract</w:t>
      </w:r>
      <w:r>
        <w:rPr>
          <w:rFonts w:ascii="Times New Roman" w:hAnsi="Times New Roman"/>
          <w:color w:val="000000"/>
          <w:sz w:val="24"/>
        </w:rPr>
        <w:t>. The proposed plan must be a binding written agreement between the participant and a national brokerage firm or other financial professional reasonably acceptable to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Prior review process: all participants</w:t>
      </w:r>
      <w:r>
        <w:rPr>
          <w:rFonts w:ascii="Times New Roman" w:hAnsi="Times New Roman"/>
          <w:color w:val="000000"/>
          <w:sz w:val="24"/>
        </w:rPr>
        <w:t>. Before any securities transaction under a Qualified Plan, the participant must submit the proposed plan to the Company’s Chief Executive Officer for review, and receive a written acknowledgement signed by the Chief Executive Officer. Acknowledgement by the Company shall not be understood to signify consent, approval or a legal opinion as to the proposed plan’s effectiveness.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Prior review process: officers and directors</w:t>
      </w:r>
      <w:r>
        <w:rPr>
          <w:rFonts w:ascii="Times New Roman" w:hAnsi="Times New Roman"/>
          <w:color w:val="000000"/>
          <w:sz w:val="24"/>
        </w:rPr>
        <w:t>. If the participant is an officer or director of the Company, the Chief Executive Officer will, prior to delivering a written acknowledgement to the participant or financial institution, obtain the advice and consent of at least one member of the Compensation Committee of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Rule 10b5-1 compliance</w:t>
      </w:r>
      <w:r>
        <w:rPr>
          <w:rFonts w:ascii="Times New Roman" w:hAnsi="Times New Roman"/>
          <w:color w:val="000000"/>
          <w:sz w:val="24"/>
        </w:rPr>
        <w:t>. The proposed plan must clearly state that both the participant and the financial institution intend that all transactions will comply with Rule 10b5-1 under the Securities and Exchange Act of 1934, as amended, including that it is entered into in good faith, and not as part of a scheme to evade the prohibitions of Rule 10b5-1. The participant is solely responsible for determining compliance of the Qualified Plan with Rule 10b5-1 and other applicable laws and regulations.</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material nonpublic information</w:t>
      </w:r>
      <w:r>
        <w:rPr>
          <w:rFonts w:ascii="Times New Roman" w:hAnsi="Times New Roman"/>
          <w:color w:val="000000"/>
          <w:sz w:val="24"/>
        </w:rPr>
        <w:t>. The participant must not be in possession of material nonpublic information at the time of entering into the Qualified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Adoption of plan: Plan Window Period</w:t>
      </w:r>
      <w:r>
        <w:rPr>
          <w:rFonts w:ascii="Times New Roman" w:hAnsi="Times New Roman"/>
          <w:color w:val="000000"/>
          <w:sz w:val="24"/>
        </w:rPr>
        <w:t>. The proposed plan must be adopted during a Plan Window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Timing of first transaction</w:t>
      </w:r>
      <w:r>
        <w:rPr>
          <w:rFonts w:ascii="Times New Roman" w:hAnsi="Times New Roman"/>
          <w:color w:val="000000"/>
          <w:sz w:val="24"/>
        </w:rPr>
        <w:t>. The first transaction under a Qualified Plan may not take place until at least the opening of the next Plan Window Period after the Qualified Plan has been formally adopted. Formal adoption requires the signatures of both parties.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(h)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Plan termination date</w:t>
      </w:r>
      <w:r>
        <w:rPr>
          <w:rFonts w:ascii="Times New Roman" w:hAnsi="Times New Roman"/>
          <w:color w:val="000000"/>
          <w:sz w:val="24"/>
        </w:rPr>
        <w:t>. The Qualified Plan must contain a termination date and the trading program under the Qualified Plan must be for at least 6 months and no longer than 12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Prohibited activities</w:t>
      </w:r>
      <w:r>
        <w:rPr>
          <w:rFonts w:ascii="Times New Roman" w:hAnsi="Times New Roman"/>
          <w:color w:val="000000"/>
          <w:sz w:val="24"/>
        </w:rPr>
        <w:t>. The participant is not permitted to alter or deviate from the Qualified Plan, and “hedging” transactions involving the Company’s securities are prohibited.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Confirmation of transactions</w:t>
      </w:r>
      <w:r>
        <w:rPr>
          <w:rFonts w:ascii="Times New Roman" w:hAnsi="Times New Roman"/>
          <w:color w:val="000000"/>
          <w:sz w:val="24"/>
        </w:rPr>
        <w:t>. The financial institution must agree to provide written confirmation to the Company by both U.S. mail and same-day e-mail (1) promptly following each transaction made under the Qualified Plan, (2) promptly upon any termination of the Qualified Plan and (3) in advance of any proposed modification or suspension of the Qualified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Termination by Company</w:t>
      </w:r>
      <w:r>
        <w:rPr>
          <w:rFonts w:ascii="Times New Roman" w:hAnsi="Times New Roman"/>
          <w:color w:val="000000"/>
          <w:sz w:val="24"/>
        </w:rPr>
        <w:t>. The Qualified Plan must provide that the Company can terminate the Qualified Plan, in its sole discretion, by notice to the financial institution and the participant, or determine that any proposed modification or suspension of the Qualified Plan has terminated the Qualified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Termination by participant</w:t>
      </w:r>
      <w:r>
        <w:rPr>
          <w:rFonts w:ascii="Times New Roman" w:hAnsi="Times New Roman"/>
          <w:color w:val="000000"/>
          <w:sz w:val="24"/>
        </w:rPr>
        <w:t>. The participant may cancel or terminate the Qualified Plan, but only if the Qualified Plan was entered into in good faith and not as part of a plan or scheme to evade Rule 10b5-1. The participant may propose entering into a new Qualified Plan after at least three months’ time has passed from termination of the old Qualified Plan. Any new proposed plan must meet all of the requirements of Rule 10b5-1 and the other requirements set forth in this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Non-standard plans: expense reimbursement</w:t>
      </w:r>
      <w:r>
        <w:rPr>
          <w:rFonts w:ascii="Times New Roman" w:hAnsi="Times New Roman"/>
          <w:color w:val="000000"/>
          <w:sz w:val="24"/>
        </w:rPr>
        <w:t>. If the participant’s preferred financial institution is not nationally recognized, or if a proposed plan contains insufficient or complex provisions, the Company may condition its</w:t>
      </w:r>
      <w:r>
        <w:rPr>
          <w:rFonts w:ascii="Times New Roman" w:hAnsi="Times New Roman"/>
          <w:color w:val="000000"/>
          <w:sz w:val="20"/>
        </w:rPr>
        <w:t xml:space="preserve"> </w:t>
      </w:r>
    </w:p>
    <w:p>
      <w:pPr>
        <w:pStyle w:val="TextBody"/>
        <w:bidi w:val="0"/>
        <w:jc w:val="center"/>
        <w:rPr>
          <w:rFonts w:ascii="Times New Roman" w:hAnsi="Times New Roman"/>
          <w:caps/>
          <w:color w:val="000000"/>
          <w:sz w:val="20"/>
        </w:rPr>
      </w:pPr>
      <w:r>
        <w:rPr>
          <w:rFonts w:ascii="Times New Roman" w:hAnsi="Times New Roman"/>
          <w:caps/>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review on participant’s agreement to pay the Company’s expenses for legal advice related to the review process.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Company Assistance</w:t>
      </w:r>
      <w:r>
        <w:rPr>
          <w:rFonts w:ascii="Times New Roman" w:hAnsi="Times New Roman"/>
          <w:color w:val="000000"/>
          <w:sz w:val="24"/>
        </w:rPr>
        <w:t>: If you have any doubt as to your responsibilities under this policy or if you have questions concerning contemplated transactions in the securities of the Company, you are encouraged to contact Dr. Avi Katz, Chief Executive Officer. The ultimate responsibility for adhering to these policies and avoiding improper transactions, however, rests solely with each individual.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requires the strictest compliance with this policy by all Insiders at every level. Failure to observe this policy may result in serious legal difficulties for you, as well as for the Company. A failure to follow the letter and spirit of the policy would be considered a matter of extreme seriousness and a basis for termination of an individual’s employment arrangement with the Company.</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The Consequences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consequences of insider trading violations can be substantial: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individuals who trade on inside information (or tip information to others):</w:t>
      </w:r>
    </w:p>
    <w:p>
      <w:pPr>
        <w:pStyle w:val="TextBody"/>
        <w:bidi w:val="0"/>
        <w:jc w:val="left"/>
        <w:rPr>
          <w:rFonts w:ascii="Times New Roman" w:hAnsi="Times New Roman"/>
          <w:color w:val="000000"/>
          <w:sz w:val="24"/>
        </w:rPr>
      </w:pPr>
      <w:r>
        <w:rPr>
          <w:rFonts w:ascii="Times New Roman" w:hAnsi="Times New Roman"/>
          <w:color w:val="000000"/>
          <w:sz w:val="24"/>
        </w:rPr>
        <w:t>- A civil penalty of up to three times the profit gained or loss avoided;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A criminal fine (no matter how small the profit) of up to $5 million;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A jail term of up to twenty years.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of the above consequences, even an SEC investigation that does not result in prosecution, can tarnish an individual’s reputation and irreparably damage a career as well as harm the Company. Moreover, Company imposed sanctions, including dismissal for cause, could result from failing to comply with the Company’s policy or procedures.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acknowledge below your receiving a copy of this policy and your agreement to comply with its terms.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_____________________________________</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Employee: 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(Print Name)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 _________________________________</w:t>
      </w:r>
    </w:p>
    <w:p>
      <w:pPr>
        <w:pStyle w:val="TextBody"/>
        <w:bidi w:val="0"/>
        <w:jc w:val="center"/>
        <w:rPr>
          <w:rFonts w:ascii="Times New Roman" w:hAnsi="Times New Roman"/>
          <w:caps/>
          <w:color w:val="000000"/>
          <w:sz w:val="20"/>
        </w:rPr>
      </w:pPr>
      <w:r>
        <w:rPr>
          <w:rFonts w:ascii="Times New Roman" w:hAnsi="Times New Roman"/>
          <w:caps/>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giwwu-ex31_1.htm"/>
      <w:bookmarkStart w:id="40" w:name="ksgiwwuex31_1"/>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Avi S. Katz,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GigCapital8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91"/>
        <w:gridCol w:w="109"/>
        <w:gridCol w:w="40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giwwu-ex31_2.htm"/>
      <w:bookmarkStart w:id="42" w:name="ksgiwwuex31_2"/>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GigCapital8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82" w:type="dxa"/>
        <w:jc w:val="left"/>
        <w:tblInd w:w="0" w:type="dxa"/>
        <w:tblLayout w:type="fixed"/>
        <w:tblCellMar>
          <w:top w:w="28" w:type="dxa"/>
          <w:left w:w="28" w:type="dxa"/>
          <w:bottom w:w="28" w:type="dxa"/>
          <w:right w:w="28" w:type="dxa"/>
        </w:tblCellMar>
      </w:tblPr>
      <w:tblGrid>
        <w:gridCol w:w="1891"/>
        <w:gridCol w:w="109"/>
        <w:gridCol w:w="406"/>
        <w:gridCol w:w="217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giwwu-ex32_1.htm"/>
      <w:bookmarkStart w:id="44" w:name="ksgiwwuex32_1"/>
      <w:bookmarkEnd w:id="43"/>
      <w:bookmarkEnd w:id="4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GigCapital8 Corp.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683" w:type="dxa"/>
        <w:jc w:val="left"/>
        <w:tblInd w:w="0" w:type="dxa"/>
        <w:tblLayout w:type="fixed"/>
        <w:tblCellMar>
          <w:top w:w="28" w:type="dxa"/>
          <w:left w:w="28" w:type="dxa"/>
          <w:bottom w:w="28" w:type="dxa"/>
          <w:right w:w="28" w:type="dxa"/>
        </w:tblCellMar>
      </w:tblPr>
      <w:tblGrid>
        <w:gridCol w:w="1891"/>
        <w:gridCol w:w="109"/>
        <w:gridCol w:w="406"/>
        <w:gridCol w:w="14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giwwu-ex32_2.htm"/>
      <w:bookmarkStart w:id="46" w:name="ksgiwwuex32_2"/>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GigCapital8 Corp.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28" w:type="dxa"/>
        <w:jc w:val="left"/>
        <w:tblInd w:w="0" w:type="dxa"/>
        <w:tblLayout w:type="fixed"/>
        <w:tblCellMar>
          <w:top w:w="28" w:type="dxa"/>
          <w:left w:w="28" w:type="dxa"/>
          <w:bottom w:w="28" w:type="dxa"/>
          <w:right w:w="28" w:type="dxa"/>
        </w:tblCellMar>
      </w:tblPr>
      <w:tblGrid>
        <w:gridCol w:w="1891"/>
        <w:gridCol w:w="109"/>
        <w:gridCol w:w="406"/>
        <w:gridCol w:w="146"/>
        <w:gridCol w:w="217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giwwu-ex97_1.htm"/>
      <w:bookmarkStart w:id="48" w:name="ksgiwwuex97_1"/>
      <w:bookmarkEnd w:id="47"/>
      <w:bookmarkEnd w:id="48"/>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97.1</w:t>
      </w:r>
    </w:p>
    <w:p>
      <w:pPr>
        <w:pStyle w:val="TextBody"/>
        <w:bidi w:val="0"/>
        <w:jc w:val="center"/>
        <w:rPr>
          <w:rFonts w:ascii="Times New Roman" w:hAnsi="Times New Roman"/>
          <w:b/>
          <w:color w:val="000000"/>
          <w:sz w:val="22"/>
        </w:rPr>
      </w:pPr>
      <w:r>
        <w:rPr>
          <w:rFonts w:ascii="Times New Roman" w:hAnsi="Times New Roman"/>
          <w:b/>
          <w:color w:val="000000"/>
          <w:sz w:val="22"/>
        </w:rPr>
        <w:t>GIGCAPITAL8 CORP.</w:t>
      </w:r>
    </w:p>
    <w:p>
      <w:pPr>
        <w:pStyle w:val="TextBody"/>
        <w:bidi w:val="0"/>
        <w:jc w:val="center"/>
        <w:rPr>
          <w:rFonts w:ascii="Times New Roman" w:hAnsi="Times New Roman"/>
          <w:b/>
          <w:caps/>
          <w:color w:val="000000"/>
          <w:sz w:val="20"/>
        </w:rPr>
      </w:pPr>
      <w:r>
        <w:rPr>
          <w:rFonts w:ascii="Times New Roman" w:hAnsi="Times New Roman"/>
          <w:b/>
          <w:caps/>
          <w:color w:val="000000"/>
          <w:sz w:val="20"/>
        </w:rPr>
        <w:t>Policy for RECOVERY OF ERRONEOUSLY AWARDED Incentive Compensation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(Adopted as of October 9,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 INTRODUCTION</w:t>
      </w:r>
    </w:p>
    <w:p>
      <w:pPr>
        <w:pStyle w:val="TextBody"/>
        <w:bidi w:val="0"/>
        <w:spacing w:before="0" w:after="240"/>
        <w:jc w:val="both"/>
        <w:rPr>
          <w:rFonts w:ascii="Times New Roman" w:hAnsi="Times New Roman"/>
          <w:sz w:val="20"/>
        </w:rPr>
      </w:pPr>
      <w:r>
        <w:rPr>
          <w:rFonts w:ascii="Times New Roman" w:hAnsi="Times New Roman"/>
          <w:color w:val="000000"/>
          <w:sz w:val="20"/>
        </w:rPr>
        <w:t>The Board of Directors (the “</w:t>
      </w:r>
      <w:r>
        <w:rPr>
          <w:rFonts w:ascii="Times New Roman" w:hAnsi="Times New Roman"/>
          <w:b/>
          <w:i/>
          <w:color w:val="000000"/>
          <w:sz w:val="20"/>
        </w:rPr>
        <w:t>Board</w:t>
      </w:r>
      <w:r>
        <w:rPr>
          <w:rFonts w:ascii="Times New Roman" w:hAnsi="Times New Roman"/>
          <w:color w:val="000000"/>
          <w:sz w:val="20"/>
        </w:rPr>
        <w:t>”) of GigCapital8 Corp. (the “</w:t>
      </w:r>
      <w:r>
        <w:rPr>
          <w:rFonts w:ascii="Times New Roman" w:hAnsi="Times New Roman"/>
          <w:b/>
          <w:i/>
          <w:color w:val="000000"/>
          <w:sz w:val="20"/>
        </w:rPr>
        <w:t>Company</w:t>
      </w:r>
      <w:r>
        <w:rPr>
          <w:rFonts w:ascii="Times New Roman" w:hAnsi="Times New Roman"/>
          <w:color w:val="000000"/>
          <w:sz w:val="20"/>
        </w:rPr>
        <w:t>”) is adopting this policy (this “</w:t>
      </w:r>
      <w:r>
        <w:rPr>
          <w:rFonts w:ascii="Times New Roman" w:hAnsi="Times New Roman"/>
          <w:b/>
          <w:i/>
          <w:color w:val="000000"/>
          <w:sz w:val="20"/>
        </w:rPr>
        <w:t>Policy</w:t>
      </w:r>
      <w:r>
        <w:rPr>
          <w:rFonts w:ascii="Times New Roman" w:hAnsi="Times New Roman"/>
          <w:color w:val="000000"/>
          <w:sz w:val="20"/>
        </w:rPr>
        <w:t>”) to provide for the Company’s recovery of certain Incentive Compensation (as defined below) erroneously awarded to Affected Officers (as defined below) under certain circumstances. This Policy is effective as of October 3, 2025 (the “</w:t>
      </w:r>
      <w:r>
        <w:rPr>
          <w:rFonts w:ascii="Times New Roman" w:hAnsi="Times New Roman"/>
          <w:b/>
          <w:i/>
          <w:color w:val="000000"/>
          <w:sz w:val="20"/>
        </w:rPr>
        <w:t>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is administered by the Board. The Board shall have full and final authority to make any and all determinations required or permitted under this Policy. Any determination by the Board with respect to this Policy shall be final, conclusive and binding on all parties. The Board may amend or terminate this Policy at any time. </w:t>
      </w:r>
    </w:p>
    <w:p>
      <w:pPr>
        <w:pStyle w:val="TextBody"/>
        <w:bidi w:val="0"/>
        <w:spacing w:before="0" w:after="240"/>
        <w:jc w:val="both"/>
        <w:rPr>
          <w:rFonts w:ascii="Times New Roman" w:hAnsi="Times New Roman"/>
          <w:sz w:val="20"/>
        </w:rPr>
      </w:pPr>
      <w:r>
        <w:rPr>
          <w:rFonts w:ascii="Times New Roman" w:hAnsi="Times New Roman"/>
          <w:color w:val="000000"/>
          <w:sz w:val="20"/>
        </w:rPr>
        <w:t>This Policy is intended to comply with Section 10D of the Securities and Exchange Act of 1934, as amended (the “</w:t>
      </w:r>
      <w:r>
        <w:rPr>
          <w:rFonts w:ascii="Times New Roman" w:hAnsi="Times New Roman"/>
          <w:b/>
          <w:i/>
          <w:color w:val="000000"/>
          <w:sz w:val="20"/>
        </w:rPr>
        <w:t>Exchange Act</w:t>
      </w:r>
      <w:r>
        <w:rPr>
          <w:rFonts w:ascii="Times New Roman" w:hAnsi="Times New Roman"/>
          <w:color w:val="000000"/>
          <w:sz w:val="20"/>
        </w:rPr>
        <w:t>”), Rule 10D-1 thereunder and the applicable rules of any national securities exchange on which the Company’s securities are then listed (the “</w:t>
      </w:r>
      <w:r>
        <w:rPr>
          <w:rFonts w:ascii="Times New Roman" w:hAnsi="Times New Roman"/>
          <w:b/>
          <w:i/>
          <w:color w:val="000000"/>
          <w:sz w:val="20"/>
        </w:rPr>
        <w:t>Exchange</w:t>
      </w:r>
      <w:r>
        <w:rPr>
          <w:rFonts w:ascii="Times New Roman" w:hAnsi="Times New Roman"/>
          <w:color w:val="000000"/>
          <w:sz w:val="20"/>
        </w:rPr>
        <w:t xml:space="preserve">”) and will be interpreted and administered consistent with that intent.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Affected Officer subject to this Policy must execute the Acknowledgment and Agreement attached hereto as </w:t>
      </w:r>
      <w:r>
        <w:rPr>
          <w:rFonts w:ascii="Times New Roman" w:hAnsi="Times New Roman"/>
          <w:color w:val="000000"/>
          <w:sz w:val="20"/>
          <w:u w:val="single"/>
        </w:rPr>
        <w:t>Exhibit A</w:t>
      </w:r>
      <w:r>
        <w:rPr>
          <w:rFonts w:ascii="Times New Roman" w:hAnsi="Times New Roman"/>
          <w:color w:val="000000"/>
          <w:sz w:val="20"/>
        </w:rPr>
        <w:t xml:space="preserve"> before such Affected Officer will be entitled to receive any cash- or equity-based incentive compensation that is approved, granted or awarded on or after the Effective Date.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shall apply to all Incentive Compensation received by an Affected Officer on or after October 3, 2025 to the extent permitted or required by applicable law or the rules of the Exchange.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 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purposes of this Policy, the following terms shall have the meanings set forth below: </w:t>
      </w:r>
    </w:p>
    <w:p>
      <w:pPr>
        <w:pStyle w:val="TextBody"/>
        <w:bidi w:val="0"/>
        <w:spacing w:before="0" w:after="240"/>
        <w:jc w:val="both"/>
        <w:rPr/>
      </w:pPr>
      <w:r>
        <w:rPr>
          <w:color w:val="000000"/>
        </w:rPr>
        <w:t>“</w:t>
      </w:r>
      <w:r>
        <w:rPr>
          <w:rFonts w:ascii="Times New Roman" w:hAnsi="Times New Roman"/>
          <w:b/>
          <w:i/>
          <w:color w:val="000000"/>
          <w:sz w:val="20"/>
        </w:rPr>
        <w:t>Affected Officer</w:t>
      </w:r>
      <w:r>
        <w:rPr>
          <w:rFonts w:ascii="Times New Roman" w:hAnsi="Times New Roman"/>
          <w:color w:val="000000"/>
          <w:sz w:val="20"/>
        </w:rPr>
        <w:t>” means any current or former “officer” as defined in Exchange Act Rule 16a-1.</w:t>
      </w:r>
    </w:p>
    <w:p>
      <w:pPr>
        <w:pStyle w:val="TextBody"/>
        <w:bidi w:val="0"/>
        <w:spacing w:before="0" w:after="240"/>
        <w:jc w:val="both"/>
        <w:rPr/>
      </w:pPr>
      <w:r>
        <w:rPr>
          <w:color w:val="000000"/>
        </w:rPr>
        <w:t>“</w:t>
      </w:r>
      <w:r>
        <w:rPr>
          <w:rFonts w:ascii="Times New Roman" w:hAnsi="Times New Roman"/>
          <w:b/>
          <w:i/>
          <w:color w:val="000000"/>
          <w:sz w:val="20"/>
        </w:rPr>
        <w:t>Erroneously Awarded Compensation</w:t>
      </w:r>
      <w:r>
        <w:rPr>
          <w:rFonts w:ascii="Times New Roman" w:hAnsi="Times New Roman"/>
          <w:color w:val="000000"/>
          <w:sz w:val="20"/>
        </w:rPr>
        <w:t>” means the amount of Incentive Compensation received within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 (the “</w:t>
      </w:r>
      <w:r>
        <w:rPr>
          <w:rFonts w:ascii="Times New Roman" w:hAnsi="Times New Roman"/>
          <w:b/>
          <w:i/>
          <w:color w:val="000000"/>
          <w:sz w:val="20"/>
        </w:rPr>
        <w:t>look-back period</w:t>
      </w:r>
      <w:r>
        <w:rPr>
          <w:rFonts w:ascii="Times New Roman" w:hAnsi="Times New Roman"/>
          <w:color w:val="000000"/>
          <w:sz w:val="20"/>
        </w:rPr>
        <w:t>”)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Board in its sole discretion. The Board may determine the form and amount of Erroneously Awarded Compensation in its sole discretion.</w:t>
      </w:r>
    </w:p>
    <w:p>
      <w:pPr>
        <w:pStyle w:val="TextBody"/>
        <w:bidi w:val="0"/>
        <w:spacing w:before="0" w:after="240"/>
        <w:jc w:val="both"/>
        <w:rPr/>
      </w:pPr>
      <w:r>
        <w:rPr>
          <w:color w:val="000000"/>
        </w:rPr>
        <w:t>“</w:t>
      </w:r>
      <w:r>
        <w:rPr>
          <w:rFonts w:ascii="Times New Roman" w:hAnsi="Times New Roman"/>
          <w:b/>
          <w:i/>
          <w:color w:val="000000"/>
          <w:sz w:val="20"/>
        </w:rPr>
        <w:t>Financial Reporting Measure</w:t>
      </w:r>
      <w:r>
        <w:rPr>
          <w:rFonts w:ascii="Times New Roman" w:hAnsi="Times New Roman"/>
          <w:color w:val="000000"/>
          <w:sz w:val="20"/>
        </w:rPr>
        <w:t xml:space="preserve">”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also Financial Reporting Measures.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Incentive Compensation</w:t>
      </w:r>
      <w:r>
        <w:rPr>
          <w:rFonts w:ascii="Times New Roman" w:hAnsi="Times New Roman"/>
          <w:color w:val="000000"/>
          <w:sz w:val="20"/>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earned or vested based in part on a Financial Reporting Measure.</w:t>
      </w:r>
    </w:p>
    <w:p>
      <w:pPr>
        <w:pStyle w:val="TextBody"/>
        <w:bidi w:val="0"/>
        <w:spacing w:before="0" w:after="240"/>
        <w:jc w:val="both"/>
        <w:rPr/>
      </w:pPr>
      <w:r>
        <w:rPr>
          <w:color w:val="000000"/>
        </w:rPr>
        <w:t>“</w:t>
      </w:r>
      <w:r>
        <w:rPr>
          <w:rFonts w:ascii="Times New Roman" w:hAnsi="Times New Roman"/>
          <w:b/>
          <w:i/>
          <w:color w:val="000000"/>
          <w:sz w:val="20"/>
        </w:rPr>
        <w:t>Restatement</w:t>
      </w:r>
      <w:r>
        <w:rPr>
          <w:rFonts w:ascii="Times New Roman" w:hAnsi="Times New Roman"/>
          <w:color w:val="000000"/>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240"/>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for a fiscal period ending on or after October 3, 2025, the Company is required to prepare a Restatement, the Company shall seek to recover reasonably promptly all Erroneously Awarded Compensation that results from attainment of a Financial Reporting Measure based on or derived from financial information for any fiscal period ending on or after October 3, 2025 and that is received by an Affected Officer after such Affected Officer begins service as an Affected Officer, provided that such Affected Officer served as an Affected Officer during the performance period for that Incentive Compensation and while the Company has a class of securities listed on the Exchange, and for such period as such Affective Officer has served as an Affected Officer during the look-back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Policy: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Erroneously Awarded Compensation is deemed to be received in the Company’s fiscal period during which the Financial Reporting Measure specified in the Incentive Compensation is attained, even if the payment or grant of the Incentive Compensation occurs after the end of that period;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date the Company is required to prepare a Restatement is the earlier of (x) the date the Board or any officer of the Company authorized to take such action concludes, or reasonably should have concluded, that the Company is required to prepare the Restatement, or (y) the date a court, regulator, or other legally authorized body directs the Company to prepare the Restatement.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required by applicable law or the rules of the Exchange, any profits realized from the sale of securities of the Company are subject to recoupment under this Policy.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pStyle w:val="TextBody"/>
        <w:bidi w:val="0"/>
        <w:spacing w:before="0" w:after="24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SOURCES OF RECOUPMENT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permitted by applicable law, the Board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 </w:t>
      </w:r>
    </w:p>
    <w:p>
      <w:pPr>
        <w:pStyle w:val="TextBody"/>
        <w:bidi w:val="0"/>
        <w:spacing w:before="0" w:after="24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LIMITED</w:t>
      </w:r>
      <w:r>
        <w:rPr>
          <w:rFonts w:ascii="Times New Roman" w:hAnsi="Times New Roman"/>
          <w:color w:val="000000"/>
          <w:sz w:val="20"/>
        </w:rPr>
        <w:t xml:space="preserve"> </w:t>
      </w:r>
      <w:r>
        <w:rPr>
          <w:rFonts w:ascii="Times New Roman" w:hAnsi="Times New Roman"/>
          <w:b/>
          <w:color w:val="000000"/>
          <w:sz w:val="20"/>
        </w:rPr>
        <w:t>EXCEPTIONS TO 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the Board, in its discretion, may choose to forgo recovery of Erroneously Awarded Compensation under the following circumstances, provided that a majority of the independent members of the Board has made a determination that recovery would be impracticable because: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Recovery would violate home country law where the law was adopted prior to November 28, 2022, and the Company provides an opinion of home country counsel to that effect to the Exchange that is acceptable to the Exchange;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Recovery would likely cause an otherwise tax-qualified retirement plan to fail to meet the requirements of the Internal Revenue Code of 1986, as amended.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7. NO INDEMNIFICATION OR INSURANCE</w:t>
      </w:r>
    </w:p>
    <w:p>
      <w:pPr>
        <w:pStyle w:val="TextBody"/>
        <w:bidi w:val="0"/>
        <w:spacing w:before="0" w:after="240"/>
        <w:jc w:val="both"/>
        <w:rPr>
          <w:rFonts w:ascii="Times New Roman" w:hAnsi="Times New Roman"/>
          <w:color w:val="0E0E0E"/>
          <w:sz w:val="20"/>
        </w:rPr>
      </w:pPr>
      <w:r>
        <w:rPr>
          <w:rFonts w:ascii="Times New Roman" w:hAnsi="Times New Roman"/>
          <w:color w:val="0E0E0E"/>
          <w:sz w:val="20"/>
        </w:rPr>
        <w:t xml:space="preserve">The Company will not indemnify, insure or otherwise reimburse any Affected Officer against the recovery of Erroneously Awarded Compensation.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8. NO IMPAIRMENT OF OTHER REMEDIES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my signature below, I acknowledge and agree that: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0"/>
        </w:rPr>
        <w:t>I have received and read the attached Policy for Recovery of Erroneously Awarded Incentive Compensation (as it may be amended, restated, supplemented or otherwise modified from time to time, the “</w:t>
      </w:r>
      <w:r>
        <w:rPr>
          <w:rFonts w:ascii="Times New Roman" w:hAnsi="Times New Roman"/>
          <w:b/>
          <w:i/>
          <w:color w:val="000000"/>
          <w:sz w:val="20"/>
        </w:rPr>
        <w:t>Policy</w:t>
      </w:r>
      <w:r>
        <w:rPr>
          <w:color w:val="000000"/>
        </w:rPr>
        <w:t>”</w:t>
      </w:r>
      <w:r>
        <w:rPr>
          <w:rFonts w:ascii="Times New Roman" w:hAnsi="Times New Roman"/>
          <w:color w:val="000000"/>
          <w:sz w:val="20"/>
        </w:rPr>
        <w:t>) of GigCapital8 Corp. (the “</w:t>
      </w:r>
      <w:r>
        <w:rPr>
          <w:rFonts w:ascii="Times New Roman" w:hAnsi="Times New Roman"/>
          <w:b/>
          <w:i/>
          <w:color w:val="000000"/>
          <w:sz w:val="20"/>
        </w:rPr>
        <w:t>Company</w:t>
      </w:r>
      <w:r>
        <w:rPr>
          <w:color w:val="000000"/>
        </w:rPr>
        <w:t>”</w:t>
      </w:r>
      <w:r>
        <w:rPr>
          <w:rFonts w:ascii="Times New Roman" w:hAnsi="Times New Roman"/>
          <w:color w:val="000000"/>
          <w:sz w:val="20"/>
        </w:rPr>
        <w:t xml:space="preserve">). Any capitalized terms used and not defined in this Attestation and Acknowledgement shall have the meaning set forth in the Policy.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am fully bound by, and subject to, all of the terms and conditions of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it is determined by the Board of Directors of the Company that any amounts granted, awarded, earned or paid to me must be forfeited or reimbursed to the Company, 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Agreed and Acknowledged</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[Name of Affected Officer]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0019/000119312525235847/d87287dex11.htm" TargetMode="External"/><Relationship Id="rId3" Type="http://schemas.openxmlformats.org/officeDocument/2006/relationships/hyperlink" Target="https://www.sec.gov/Archives/edgar/data/2080019/000119312525235847/d87287dex31.htm" TargetMode="External"/><Relationship Id="rId4" Type="http://schemas.openxmlformats.org/officeDocument/2006/relationships/hyperlink" Target="https://www.sec.gov/Archives/edgar/data/2080019/000119312525217947/d929696dex41.htm" TargetMode="External"/><Relationship Id="rId5" Type="http://schemas.openxmlformats.org/officeDocument/2006/relationships/hyperlink" Target="https://www.sec.gov/Archives/edgar/data/2080019/000119312525217947/d929696dex42.htm" TargetMode="External"/><Relationship Id="rId6" Type="http://schemas.openxmlformats.org/officeDocument/2006/relationships/hyperlink" Target="https://www.sec.gov/Archives/edgar/data/2080019/000119312525217947/d929696dex43.htm" TargetMode="External"/><Relationship Id="rId7" Type="http://schemas.openxmlformats.org/officeDocument/2006/relationships/hyperlink" Target="https://www.sec.gov/Archives/edgar/data/2080019/000119312525217947/d929696dex44.htm41.htm" TargetMode="External"/><Relationship Id="rId8" Type="http://schemas.openxmlformats.org/officeDocument/2006/relationships/hyperlink" Target="https://www.sec.gov/Archives/edgar/data/2080019/000119312525235847/d87287dex101.htm" TargetMode="External"/><Relationship Id="rId9" Type="http://schemas.openxmlformats.org/officeDocument/2006/relationships/hyperlink" Target="https://www.sec.gov/Archives/edgar/data/2080019/000119312525235847/d87287dex102.htm" TargetMode="External"/><Relationship Id="rId10" Type="http://schemas.openxmlformats.org/officeDocument/2006/relationships/hyperlink" Target="https://www.sec.gov/Archives/edgar/data/2080019/000119312525235847/d87287dex103.htm" TargetMode="External"/><Relationship Id="rId11" Type="http://schemas.openxmlformats.org/officeDocument/2006/relationships/hyperlink" Target="https://www.sec.gov/Archives/edgar/data/2080019/000119312525235847/d87287dex104.htm" TargetMode="External"/><Relationship Id="rId12" Type="http://schemas.openxmlformats.org/officeDocument/2006/relationships/hyperlink" Target="https://www.sec.gov/Archives/edgar/data/2080019/000119312525235847/d87287dex105.htm" TargetMode="External"/><Relationship Id="rId13" Type="http://schemas.openxmlformats.org/officeDocument/2006/relationships/hyperlink" Target="https://www.sec.gov/Archives/edgar/data/2023730/000119312524200546/d794575dex14.htm" TargetMode="External"/><Relationship Id="rId14" Type="http://schemas.openxmlformats.org/officeDocument/2006/relationships/hyperlink" Target="https://www.sec.gov/Archives/edgar/data/2080019/000119312525217947/d929696dex991.htm" TargetMode="External"/><Relationship Id="rId15" Type="http://schemas.openxmlformats.org/officeDocument/2006/relationships/hyperlink" Target="https://www.sec.gov/Archives/edgar/data/2080019/000119312525217947/d929696dex992.htm" TargetMode="External"/><Relationship Id="rId16" Type="http://schemas.openxmlformats.org/officeDocument/2006/relationships/hyperlink" Target="https://www.sec.gov/Archives/edgar/data/2080019/000119312525217947/d929696dex993.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84229</Words>
  <Characters>455075</Characters>
  <CharactersWithSpaces>538905</CharactersWithSpaces>
  <Paragraphs>3915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