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Avi S. Katz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Chairman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GigCapital8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1731 Embarcadero Rd.,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Palo Alto, CA 94303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GigCapital8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333-289479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Avi S. Katz: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S-1 filed September 25, 2025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addition of Lynrock Lake Master Fund as an investor in the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placement units and the founder shares. We also note that you alternately state that (i)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sponsor intends at the time of this offering to sell 1,416,665 founder shares to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Lynrock and (ii) Lynrock will acquire such founder shares from your sponsor. Finally,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Lynrock is a party to each of the letter agreement and the registration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agreement. Based on the foregoing, it is unclear to what extent Lynrock has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to acquire beneficial ownership of the 1,416,665 founder shares within sixty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days (which founder shares constitute approximately 15% of the 9,403,808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expected to be issued and outstanding after this offering). Please revise or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 to clarify. Please also file, as applicable, any subscription agreement between</w:t>
      </w:r>
    </w:p>
    <w:p>
      <w:pPr>
        <w:ind w:right="81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Lynrock. Refer to Items 403 and (601)(b)(10) of Regulation S-K and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13d-3(d).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 Related Party Transactions, page F-12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revising your disclosure to reflect the updated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founder shares that will be retained by the sponsor and the effective price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as a result of the intended sale of 1,416,665 founder shares to Lynrock for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$13,130, and the transfer of 5,000 founder shares prior to the consummation of this</w:t>
      </w:r>
    </w:p>
    <w:p>
      <w:pPr>
        <w:ind w:right="307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to the Chief Financial Officer for future services. Exhibits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have counsel revise its opinion filed as Exhibit 5.1 to cover all of the units and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of the rights being registered under the registration statement. In this regard, we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the opinion covers only 22,000,000 units and 22,000,000 rights, but the full</w:t>
      </w:r>
    </w:p>
    <w:p>
      <w:pPr>
        <w:ind w:right="23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amount including any overallotment is 25,300,000 units and 25,300,000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have counsel revise its opinion filed as Exhibit 5.2 to also address whether,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each of the Unit Shares and the Rights Shares, there will be any further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on the holder to make any further payment to the company's creditors (in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 to any further payment to the company). In this regard, we note that Schedule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of the opinion defines "non-assessable" to mean, in part, "that a shareholder shall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not, solely by virtue of its status as a shareholder, be liable for additional assessments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calls on the shares by the Company or its creditors . . . ," but the opinions given in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paragraphs 6 and 7 do not use the term "non-assessable." Refer to Section II.B.1.a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Legal Bulleting No. 19, Legality and Tax Opinions in Registered Offerings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(October 14, 2011).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Kellie Kim at 202-551-3129 or Isaac Esquivel at 202-551-3395 if you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Benjamin Holt at 202-551-6614 or Mary Beth Breslin at 202-551-3625 with any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Elena Nrtina,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2026-03-02T00:10:39Z</dcterms:created>
  <dcterms:modified xsi:type="dcterms:W3CDTF">2026-03-02T00:10:39Z</dcterms:modified>
</cp:coreProperties>
</file>