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GigCapital8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G3864J100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G3864J100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Glazer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2,175,283.00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2,175,283.00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2,175,283.00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G3864J100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J. Glazer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2,175,283.00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2,175,283.00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2,175,283.00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GigCapital8 Corp.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Glazer Capital, LLC, a Delaware limited liability company ("Glazer Capital"), with respect to the shares of Common Stock (as defined in Item 2(d)) held by certain funds and managed accounts to 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Suite 30A,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Glazer Capital is a Delaware limited liability company. Mr. Glazer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jc w:val="left"/>
              <w:rPr/>
            </w:pPr>
            <w:r>
              <w:rPr/>
              <w:t xml:space="preserve">CUSIP No.: </w:t>
            </w:r>
          </w:p>
          <w:p>
            <w:pPr>
              <w:pStyle w:val="TableContents"/>
              <w:bidi w:val="0"/>
              <w:spacing w:before="0" w:after="0"/>
              <w:jc w:val="left"/>
              <w:rPr/>
            </w:pPr>
            <w:r>
              <w:rPr/>
              <w:t>G3864J100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2,175,283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8.48%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2,175,283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2,175,283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Glazer Capital Enhanced Master Fund, Ltd., a Glazer Fund, has the right to receive or the power to direct the receipt of the proceeds from the sale of more than 5% of the shares of Common Stock outstanding.</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Glazer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Paul J. Glazer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Paul J. Glazer,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Paul J. Glazer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1157</Words>
  <Characters>5846</Characters>
  <CharactersWithSpaces>6969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