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GigCapital8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G3864J100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G3864J100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AQR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1,694,769.00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1,694,769.00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1,694,769.00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G3864J100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AQR Capital Management Holdings,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1,694,769.00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1,694,769.00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1,694,769.00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6.61 %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G3864J100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AQR Arbitrage,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1,694,769.00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1,694,769.00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1,694,769.00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GigCapital8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2259"/>
        <w:spacing w:after="0"/>
        <w:rPr>
          <w:sz w:val="20"/>
          <w:szCs w:val="20"/>
          <w:color w:val="auto"/>
        </w:rPr>
      </w:pPr>
      <w:r>
        <w:rPr>
          <w:rFonts w:ascii="Times New Roman" w:cs="Times New Roman" w:eastAsia="Times New Roman" w:hAnsi="Times New Roman"/>
          <w:sz w:val="22"/>
          <w:szCs w:val="22"/>
          <w:color w:val="auto"/>
        </w:rPr>
        <w:t>1731 EMBARCADERO RD., SUITE 200, PALO ALTO, CALIFORNIA 94303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2" w:lineRule="exact"/>
        <w:rPr>
          <w:sz w:val="20"/>
          <w:szCs w:val="20"/>
          <w:color w:val="auto"/>
        </w:rPr>
      </w:pPr>
    </w:p>
    <w:p>
      <w:pPr>
        <w:ind w:left="920" w:right="1660"/>
        <w:spacing w:after="0" w:line="267" w:lineRule="auto"/>
        <w:rPr>
          <w:sz w:val="20"/>
          <w:szCs w:val="20"/>
          <w:color w:val="auto"/>
        </w:rPr>
      </w:pPr>
      <w:r>
        <w:rPr>
          <w:rFonts w:ascii="Times New Roman" w:cs="Times New Roman" w:eastAsia="Times New Roman" w:hAnsi="Times New Roman"/>
          <w:sz w:val="22"/>
          <w:szCs w:val="22"/>
          <w:color w:val="auto"/>
        </w:rPr>
        <w:t>AQR Capital Management, LLC AQR Capital Management Holdings, LLC AQR Arbitrage, LLC Address or principal business office or, if none, residence:</w:t>
      </w:r>
    </w:p>
    <w:p>
      <w:pPr>
        <w:spacing w:after="0" w:line="231" w:lineRule="auto"/>
        <w:rPr>
          <w:sz w:val="20"/>
          <w:szCs w:val="20"/>
          <w:color w:val="auto"/>
        </w:rPr>
      </w:pPr>
      <w:r>
        <w:rPr>
          <w:rFonts w:ascii="Times New Roman" w:cs="Times New Roman" w:eastAsia="Times New Roman" w:hAnsi="Times New Roman"/>
          <w:sz w:val="22"/>
          <w:szCs w:val="22"/>
          <w:color w:val="auto"/>
        </w:rPr>
        <w:t>(b)</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ONE GREENWICH PLAZA SUITE 130 Greenwich, Connecticut 06830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AQR Capital Management, LLC - UNITED STATES AQR Capital Management Holdings, LLC - UNITED STATES AQR Arbitrage, LLC - UNITED STATES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ordinary shares,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G3864J100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0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1,694,769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6.61 %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AQR Capital Management, LLC - 0 AQR Capital Management Holdings, LLC - 0 AQR Arbitrage, LLC - 0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40"/>
        <w:spacing w:after="0" w:line="258" w:lineRule="auto"/>
        <w:rPr>
          <w:sz w:val="20"/>
          <w:szCs w:val="20"/>
          <w:color w:val="auto"/>
        </w:rPr>
      </w:pPr>
      <w:r>
        <w:rPr>
          <w:rFonts w:ascii="Times New Roman" w:cs="Times New Roman" w:eastAsia="Times New Roman" w:hAnsi="Times New Roman"/>
          <w:sz w:val="22"/>
          <w:szCs w:val="22"/>
          <w:color w:val="auto"/>
        </w:rPr>
        <w:t>AQR Capital Management, LLC - 1,694,769 AQR Capital Management Holdings, LLC - 1,694,769 AQR Arbitrage, LLC - 1,694,769</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AQR Capital Management, LLC - 0 AQR Capital Management Holdings, LLC - 0 AQR Arbitrage, LLC - 0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40"/>
        <w:spacing w:after="0" w:line="258" w:lineRule="auto"/>
        <w:rPr>
          <w:sz w:val="20"/>
          <w:szCs w:val="20"/>
          <w:color w:val="auto"/>
        </w:rPr>
      </w:pPr>
      <w:r>
        <w:rPr>
          <w:rFonts w:ascii="Times New Roman" w:cs="Times New Roman" w:eastAsia="Times New Roman" w:hAnsi="Times New Roman"/>
          <w:sz w:val="22"/>
          <w:szCs w:val="22"/>
          <w:color w:val="auto"/>
        </w:rPr>
        <w:t>AQR Capital Management, LLC - 1,694,769 AQR Capital Management Holdings, LLC - 1,694,769 AQR Arbitrage, LLC - 1,694,769</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60" w:orient="portrait"/>
          <w:cols w:equalWidth="0" w:num="1">
            <w:col w:w="11060"/>
          </w:cols>
          <w:pgMar w:left="360" w:top="355" w:right="47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3"/>
        </w:trPr>
        <w:tc>
          <w:tcPr>
            <w:tcW w:w="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Item 7.</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w:t>
            </w:r>
          </w:p>
        </w:tc>
        <w:tc>
          <w:tcPr>
            <w:tcW w:w="0" w:type="dxa"/>
            <w:vAlign w:val="bottom"/>
          </w:tcPr>
          <w:p>
            <w:pPr>
              <w:spacing w:after="0"/>
              <w:rPr>
                <w:sz w:val="1"/>
                <w:szCs w:val="1"/>
                <w:color w:val="auto"/>
              </w:rPr>
            </w:pPr>
          </w:p>
        </w:tc>
      </w:tr>
      <w:tr>
        <w:trPr>
          <w:trHeight w:val="161"/>
        </w:trPr>
        <w:tc>
          <w:tcPr>
            <w:tcW w:w="820" w:type="dxa"/>
            <w:vAlign w:val="bottom"/>
            <w:vMerge w:val="continue"/>
          </w:tcPr>
          <w:p>
            <w:pPr>
              <w:spacing w:after="0"/>
              <w:rPr>
                <w:sz w:val="13"/>
                <w:szCs w:val="13"/>
                <w:color w:val="auto"/>
              </w:rPr>
            </w:pPr>
          </w:p>
        </w:tc>
        <w:tc>
          <w:tcPr>
            <w:tcW w:w="103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Holding Company or Control Person.</w:t>
            </w: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10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820" w:type="dxa"/>
            <w:vAlign w:val="bottom"/>
          </w:tcPr>
          <w:p>
            <w:pPr>
              <w:spacing w:after="0"/>
              <w:rPr>
                <w:sz w:val="22"/>
                <w:szCs w:val="22"/>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If a parent holding company has filed this schedule, pursuant to Rule 13d-1(b)(ii)(G), so indicate under Item 3(g) and</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attach an exhibit stating the identity and the Item 3 classification of the relevant subsidiary. If a parent holding</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company has filed this schedule pursuant to Rule 13d-1(c) or Rule 13d-1(d), attach an exhibit stating the</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identification of the relevant subsidiary.</w:t>
            </w:r>
          </w:p>
        </w:tc>
        <w:tc>
          <w:tcPr>
            <w:tcW w:w="0" w:type="dxa"/>
            <w:vAlign w:val="bottom"/>
          </w:tcPr>
          <w:p>
            <w:pPr>
              <w:spacing w:after="0"/>
              <w:rPr>
                <w:sz w:val="1"/>
                <w:szCs w:val="1"/>
                <w:color w:val="auto"/>
              </w:rPr>
            </w:pPr>
          </w:p>
        </w:tc>
      </w:tr>
      <w:tr>
        <w:trPr>
          <w:trHeight w:val="729"/>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See Item 2(a) above.</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Item 8.</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Item 9.</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Notice of Dissolution of Group.</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567"/>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Item 10.</w:t>
            </w:r>
          </w:p>
        </w:tc>
        <w:tc>
          <w:tcPr>
            <w:tcW w:w="10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Certifications:</w:t>
            </w:r>
          </w:p>
        </w:tc>
        <w:tc>
          <w:tcPr>
            <w:tcW w:w="0" w:type="dxa"/>
            <w:vAlign w:val="bottom"/>
          </w:tcPr>
          <w:p>
            <w:pPr>
              <w:spacing w:after="0"/>
              <w:rPr>
                <w:sz w:val="1"/>
                <w:szCs w:val="1"/>
                <w:color w:val="auto"/>
              </w:rPr>
            </w:pPr>
          </w:p>
        </w:tc>
      </w:tr>
      <w:tr>
        <w:trPr>
          <w:trHeight w:val="258"/>
        </w:trPr>
        <w:tc>
          <w:tcPr>
            <w:tcW w:w="820" w:type="dxa"/>
            <w:vAlign w:val="bottom"/>
          </w:tcPr>
          <w:p>
            <w:pPr>
              <w:spacing w:after="0"/>
              <w:rPr>
                <w:sz w:val="22"/>
                <w:szCs w:val="22"/>
                <w:color w:val="auto"/>
              </w:rPr>
            </w:pPr>
          </w:p>
        </w:tc>
        <w:tc>
          <w:tcPr>
            <w:tcW w:w="103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By signing below I certify that, to the best of my knowledge and belief, the securities referred to above were acquired</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9"/>
              </w:rPr>
              <w:t>and are held in the ordinary course of business and were not acquired and are not held for the purpose of or with the</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connection with or as a participant in any transaction having that purpose or effect, other than activities solely in</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4"/>
                <w:szCs w:val="24"/>
                <w:color w:val="auto"/>
              </w:rPr>
            </w:pPr>
          </w:p>
        </w:tc>
        <w:tc>
          <w:tcPr>
            <w:tcW w:w="10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connection with a nomination under ?? 240.14a-11.</w:t>
            </w: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AQR Capital Management, LLC</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Henry Parkin</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p>
      <w:pPr>
        <w:spacing w:after="0" w:line="15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AQR Capital Management Holdings, LLC</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Henry Parkin</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p>
      <w:pPr>
        <w:spacing w:after="0" w:line="152"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AQR Arbitrage, LLC</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Henry Parkin</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21"/>
          <w:szCs w:val="21"/>
          <w:color w:val="auto"/>
        </w:rPr>
        <w:t>AQR Capital Management Holdings, LLC, AQR Capital Management, LLC, and AQR Arbitrage, LLC hereby agree that this Schedule 13G is filed on behalf of each of the parties. AQR Capital Management, LLC is a wholly owned subsidiary of AQR Capital Management Holdings, LLC. AQR Arbitrage, LLC is deemed to be controlled by AQR Capital Management, LLC.</w:t>
      </w:r>
    </w:p>
    <w:sectPr>
      <w:pgSz w:w="11900" w:h="16838" w:orient="portrait"/>
      <w:cols w:equalWidth="0" w:num="1">
        <w:col w:w="11140"/>
      </w:cols>
      <w:pgMar w:left="360" w:top="11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3"/>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1"/>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2026-02-12T09:10:28Z</dcterms:created>
  <dcterms:modified xsi:type="dcterms:W3CDTF">2026-02-12T09:10:28Z</dcterms:modified>
</cp:coreProperties>
</file>