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giwwu-20250930.htm"/>
      <w:bookmarkStart w:id="1" w:name="ksgiwwu20250930"/>
      <w:bookmarkEnd w:id="0"/>
      <w:bookmarkEnd w:id="1"/>
      <w:r>
        <w:rPr/>
        <w:t> </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34"/>
        </w:rPr>
      </w:pPr>
      <w:r>
        <w:rPr>
          <w:rFonts w:ascii="Times New Roman" w:hAnsi="Times New Roman"/>
          <w:b/>
          <w:color w:val="000000"/>
          <w:sz w:val="34"/>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September 30, 2025</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transition period from ______ to __________</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001-42893</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GigCapital8 Corp.</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2701"/>
        <w:gridCol w:w="1336"/>
      </w:tblGrid>
      <w:tr>
        <w:trPr/>
        <w:tc>
          <w:tcPr>
            <w:tcW w:w="270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Cayman Islands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98-1868645</w:t>
            </w:r>
          </w:p>
        </w:tc>
      </w:tr>
      <w:tr>
        <w:trPr/>
        <w:tc>
          <w:tcPr>
            <w:tcW w:w="27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 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1731 Embarcadero Rd., Suite 200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Palo Alto, CA</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94303</w:t>
            </w:r>
          </w:p>
        </w:tc>
      </w:tr>
      <w:tr>
        <w:trPr/>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Registrant’s telephone number, including area code: (650) 276-7040</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2"/>
        <w:gridCol w:w="146"/>
        <w:gridCol w:w="751"/>
        <w:gridCol w:w="146"/>
        <w:gridCol w:w="2220"/>
      </w:tblGrid>
      <w:tr>
        <w:trPr/>
        <w:tc>
          <w:tcPr>
            <w:tcW w:w="6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r>
      <w:tr>
        <w:trPr/>
        <w:tc>
          <w:tcPr>
            <w:tcW w:w="69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69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Units, each consisting of one Class A ordinary share, $0.0001 par value, and one right to receive one-fifth of one Class A ordinary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GIWWU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r>
        <w:trPr/>
        <w:tc>
          <w:tcPr>
            <w:tcW w:w="69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Class A ordinary shares, par value $0.0001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GIW</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r>
        <w:trPr/>
        <w:tc>
          <w:tcPr>
            <w:tcW w:w="69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Rights, to receive one-fifth of one Class A ordinary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GIWWR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Stock Market LLC</w:t>
            </w:r>
          </w:p>
        </w:tc>
      </w:tr>
    </w:tbl>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As of November 6, 2025, the registrant had 25,657,625</w:t>
      </w:r>
      <w:r>
        <w:rPr>
          <w:rFonts w:ascii="Times New Roman" w:hAnsi="Times New Roman"/>
          <w:color w:val="000000"/>
          <w:sz w:val="20"/>
        </w:rPr>
        <w:t xml:space="preserve"> </w:t>
      </w:r>
      <w:r>
        <w:rPr>
          <w:rFonts w:ascii="Times New Roman" w:hAnsi="Times New Roman"/>
          <w:color w:val="000000"/>
          <w:sz w:val="18"/>
        </w:rPr>
        <w:t xml:space="preserve">Class A ordinary shares, $0.0001 par value per share </w:t>
      </w:r>
      <w:r>
        <w:rPr>
          <w:rFonts w:ascii="Times New Roman" w:hAnsi="Times New Roman"/>
          <w:color w:val="000000"/>
          <w:sz w:val="16"/>
        </w:rPr>
        <w:t>and 10,814,432</w:t>
      </w:r>
      <w:r>
        <w:rPr>
          <w:rFonts w:ascii="Times New Roman" w:hAnsi="Times New Roman"/>
          <w:color w:val="000000"/>
          <w:sz w:val="20"/>
        </w:rPr>
        <w:t xml:space="preserve"> </w:t>
      </w:r>
      <w:r>
        <w:rPr>
          <w:rFonts w:ascii="Times New Roman" w:hAnsi="Times New Roman"/>
          <w:color w:val="000000"/>
          <w:sz w:val="16"/>
        </w:rPr>
        <w:t>Class B ordinary shares, $0.0001 par value per share, were issued and</w:t>
      </w:r>
      <w:r>
        <w:rPr>
          <w:rFonts w:ascii="Times New Roman" w:hAnsi="Times New Roman"/>
          <w:color w:val="000000"/>
          <w:sz w:val="20"/>
        </w:rPr>
        <w:t xml:space="preserve"> </w:t>
      </w:r>
      <w:r>
        <w:rPr>
          <w:rFonts w:ascii="Times New Roman" w:hAnsi="Times New Roman"/>
          <w:color w:val="000000"/>
          <w:sz w:val="18"/>
        </w:rPr>
        <w:t>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Statements of Operations and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equity">
              <w:r>
                <w:rPr>
                  <w:rStyle w:val="InternetLink"/>
                  <w:rFonts w:ascii="Times New Roman" w:hAnsi="Times New Roman"/>
                  <w:color w:val="0000FF"/>
                  <w:sz w:val="20"/>
                  <w:u w:val="single"/>
                </w:rPr>
                <w:t>Condensed Statements of Shareholders'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Statement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Balance Sheet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490" w:type="dxa"/>
        <w:jc w:val="left"/>
        <w:tblInd w:w="0" w:type="dxa"/>
        <w:tblLayout w:type="fixed"/>
        <w:tblCellMar>
          <w:top w:w="28" w:type="dxa"/>
          <w:left w:w="28" w:type="dxa"/>
          <w:bottom w:w="28" w:type="dxa"/>
          <w:right w:w="28" w:type="dxa"/>
        </w:tblCellMar>
      </w:tblPr>
      <w:tblGrid>
        <w:gridCol w:w="7211"/>
        <w:gridCol w:w="546"/>
        <w:gridCol w:w="211"/>
        <w:gridCol w:w="931"/>
        <w:gridCol w:w="591"/>
      </w:tblGrid>
      <w:tr>
        <w:trPr/>
        <w:tc>
          <w:tcPr>
            <w:tcW w:w="72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3,292,163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3,292,163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3,460,245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3,357,006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3,522,218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(Notes 3 and 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Shareholders’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shares, par value of $0.0001 per share; 1,000,000 shares authorized; none</w:t>
              <w:br/>
              <w:t>   issued or outstanding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Class A ordinary shares, par value of $0.0001 per share; 200,000,000 shares</w:t>
              <w:br/>
              <w:t>   authorized; none issued or outstanding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Class B ordinary shares, par value of $0.0001 per share; 20,000,000 shares</w:t>
              <w:br/>
              <w:t xml:space="preserve">   authorized; 7,850,229 </w:t>
            </w:r>
            <w:r>
              <w:rPr>
                <w:rFonts w:ascii="Times New Roman" w:hAnsi="Times New Roman"/>
                <w:color w:val="000000"/>
                <w:sz w:val="13"/>
              </w:rPr>
              <w:t>(1)</w:t>
            </w:r>
            <w:r>
              <w:rPr>
                <w:rFonts w:ascii="Times New Roman" w:hAnsi="Times New Roman"/>
                <w:color w:val="000000"/>
                <w:sz w:val="20"/>
              </w:rPr>
              <w:t> shares issued and outstanding as of September 30, 2025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3,460,245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20"/>
        </w:rPr>
        <w:t>This number includes up to 1,023,943 Class B ordinary shares subject to forfeiture if the over-allotment option is not exercised in full or in part by the underwriter.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04"/>
        <w:gridCol w:w="146"/>
        <w:gridCol w:w="281"/>
        <w:gridCol w:w="1245"/>
        <w:gridCol w:w="166"/>
        <w:gridCol w:w="146"/>
        <w:gridCol w:w="577"/>
        <w:gridCol w:w="2547"/>
        <w:gridCol w:w="593"/>
      </w:tblGrid>
      <w:tr>
        <w:trPr/>
        <w:tc>
          <w:tcPr>
            <w:tcW w:w="4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 June 30, 2025 (Inception) through</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Basic and diluted weighted-average Class B non-redeemable </w:t>
              <w:br/>
              <w:t>   ordinary shares outstanding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7,072,737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Basic and diluted net loss per share, Class B </w:t>
              <w:br/>
              <w:t>   non-redeemable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This number excludes up to 1,023,943 Class B ordinary shares subject to forfeiture if the over-allotment option is not exercised in full or in part by the underwriter.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6" w:name="condensed_statements_equity"/>
      <w:bookmarkEnd w:id="6"/>
      <w:r>
        <w:rPr>
          <w:rFonts w:ascii="Times New Roman" w:hAnsi="Times New Roman"/>
          <w:b/>
          <w:color w:val="000000"/>
          <w:sz w:val="20"/>
        </w:rPr>
        <w:t>Condensed Statements of Shareholders’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41"/>
        <w:gridCol w:w="146"/>
        <w:gridCol w:w="146"/>
        <w:gridCol w:w="826"/>
        <w:gridCol w:w="166"/>
        <w:gridCol w:w="146"/>
        <w:gridCol w:w="236"/>
        <w:gridCol w:w="455"/>
        <w:gridCol w:w="166"/>
        <w:gridCol w:w="146"/>
        <w:gridCol w:w="214"/>
        <w:gridCol w:w="657"/>
        <w:gridCol w:w="146"/>
        <w:gridCol w:w="146"/>
        <w:gridCol w:w="349"/>
        <w:gridCol w:w="1183"/>
        <w:gridCol w:w="166"/>
        <w:gridCol w:w="146"/>
        <w:gridCol w:w="254"/>
        <w:gridCol w:w="857"/>
        <w:gridCol w:w="213"/>
      </w:tblGrid>
      <w:tr>
        <w:trPr/>
        <w:tc>
          <w:tcPr>
            <w:tcW w:w="3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b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as of July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Issuance of Class B ordinary shares to Founder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8,099,614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Surrender of Class B ordinary shares by Founder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(81,610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Balance as of September 30, 2025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7,850,229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(61,973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8"/>
        <w:gridCol w:w="146"/>
        <w:gridCol w:w="146"/>
        <w:gridCol w:w="826"/>
        <w:gridCol w:w="166"/>
        <w:gridCol w:w="146"/>
        <w:gridCol w:w="236"/>
        <w:gridCol w:w="455"/>
        <w:gridCol w:w="166"/>
        <w:gridCol w:w="146"/>
        <w:gridCol w:w="214"/>
        <w:gridCol w:w="657"/>
        <w:gridCol w:w="146"/>
        <w:gridCol w:w="146"/>
        <w:gridCol w:w="309"/>
        <w:gridCol w:w="1047"/>
        <w:gridCol w:w="166"/>
        <w:gridCol w:w="146"/>
        <w:gridCol w:w="254"/>
        <w:gridCol w:w="857"/>
        <w:gridCol w:w="212"/>
      </w:tblGrid>
      <w:tr>
        <w:trPr/>
        <w:tc>
          <w:tcPr>
            <w:tcW w:w="3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from June 30, 2025 (date of inception) through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br/>
              <w:t>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Issuance of Class B ordinary shares to Founder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8,099,614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Surrender of Class B ordinary shares by Founder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(86,973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Balance as of September 30, 2025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7,850,229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(61,973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This number included up to 1,023,943 Class B ordinary shares subject to forfeiture if the over-allotment option is not</w:t>
        <w:br/>
        <w:t xml:space="preserve">exercised in full or in part by the underwriters.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Condensed Statement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623" w:type="dxa"/>
        <w:jc w:val="left"/>
        <w:tblInd w:w="0" w:type="dxa"/>
        <w:tblLayout w:type="fixed"/>
        <w:tblCellMar>
          <w:top w:w="28" w:type="dxa"/>
          <w:left w:w="28" w:type="dxa"/>
          <w:bottom w:w="28" w:type="dxa"/>
          <w:right w:w="28" w:type="dxa"/>
        </w:tblCellMar>
      </w:tblPr>
      <w:tblGrid>
        <w:gridCol w:w="6436"/>
        <w:gridCol w:w="146"/>
        <w:gridCol w:w="305"/>
        <w:gridCol w:w="1345"/>
        <w:gridCol w:w="39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from June 30,</w:t>
              <w:br/>
              <w:t>2025 (Date of</w:t>
              <w:br/>
              <w:t>Inception) through</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Class B ordinary shares to the Founder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Private Investor Shares and Private Placement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3,259,632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related party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related party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3,292,154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3,292,163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3,292,163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related party loan for Private Placement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GigCapital8 Corp.</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 and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GigCapital8 Corp. (the “Company”) was incorporated as a Cayman Islands exempted company on June 30, 2025.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 upon closing of the initial public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the Company had not commenced any operations. All activity for the period from June 30, 2025 (date of inception) through September 30, 2025 relates to the Company’s formation and the proposed initial public offering (the “Proposed Offering”), as described below. The Company will not generate any operating revenues until after completion of the Business Combination, at the earliest. The Company will generate non-operating income in the form of interest income on cash and cash equivalents from the proceeds derived from the Proposed Offering. The Company has selected December 31 as its fiscal year 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2025, the Registration Statement on Form S-1 (File No. 333-289479 and File No. 333-290724), as amended (the “Registration Statement”), relating to the initial public offering (the “Offering”) of the Company was declared effective by the Securities and Exchange Commission (the “SEC”).</w:t>
      </w:r>
    </w:p>
    <w:p>
      <w:pPr>
        <w:pStyle w:val="TextBody"/>
        <w:bidi w:val="0"/>
        <w:spacing w:before="2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Sponsor, Founder and Proposed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sponsor is GigAcquisitions8 Corp., a Cayman Island exempted company (the “Sponsor” and is sometimes referred to as the “Founder”). The Company intends to finance a Business Combination with proceeds from a $220,000,000 public offering (Note 3), and a $3,357,006 private placement with the Sponsor and certain institutional investors (Notes 3 and 4). Upon the closing of the Proposed Offering, $220,000,000 (or $253,000,000 if the over-allotment option is exercised in full by D. Boral Capital LLC (the “Underwriter”)—Note 3) will be held in a trust account (the “Trust Account”) (discussed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Trust Account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memorandum and articles of association provides that, other than the withdrawal of interest to pay taxes none of the funds held in the Trust Account will be released until the earlier of: (1) the completion of an initial Business Combination; (2) the redemption of 100% of the outstanding public shares if the Company has not completed an initial Business Combination within 24 months from the closing of the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has broad discretion with respect to the specific application of the net proceeds of the Proposed Offering, although substantially all of the net proceeds of the Proposed Offering are intended 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withdrawals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Nasdaq rules. If the Company seeks shareholder approval, it will complete its Business Combination only if a majority of the outstanding shares are voted in favor of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holds a shareholder vote or there is a tender offer for shares in connection with the Business Combination, a public shareholder will have the right to redeem its shares for an amount in cash equal to its pro rata share of the aggregate amount then on deposit in the Trust Account as of two business days prior to the consummation of the initial Business Combination, including interest but less taxes payable. As a result, such ordinary shares will be recorded at redemption amount and classified as temporary equity upon the completion of the Proposed Offering. The amount in the Trust Account is initially anticipated to be $10.00 per public share ($220,000,000 held in the Trust Account divided by 22,000,000 public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have 24 months from the closing date of the Proposed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each entered into agreements with the Company, pursuant to which they will agree: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 (2) to waive their rights to liquidating distributions from the trust account with respect to their Founder Shares, Private Investor Shares and private placement shares if we fail to complete the Company’s initial Business Combination within 24 months from the closing of this offering, although they will be entitled to liquidating distributions from the trust account with respect to any public shares they hold if we fail to complete the Company’s initial Business Combination within the prescribed time frame; and (3) to waive their redemption rights with respect 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Company’s initial Business Combination or with respect to any other provision relating to shareholders’ rights or pre business (per above under Trust Account) combination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such distribution, it is possible that the per share value of the residual assets remaining available for distribution (including Trust Account assets) will be less than the initial public offering price per unit in the Proposed Offering.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the Company had $3,292,163 in cash and a negative working capital of $230,055. Further, the Company expects to continue to incur significant costs in pursuit of its financing and acquisition plans. Prior to the completion of the Offering, the Company lacked the liquidity it needed to sustain operations for a reasonable period of time, which is considered to be one year from the issuance date of the financial statements. The Company has since completed its Offering at which time capital in excess of the funds deposited in the Trust Account and/or used to fund Offering expenses was released to the Company for general working capital purposes. Accordingly, management has since re-evaluated the Company’s liquidity and financial condition and determined that sufficient capital exists to sustain operations for at least one year from the date that the condensed financial statements were issued, and therefore the substantial doubt has been alleviated.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interim financial statements of the Company have been prepared in conformity with accounting principles generally accepted in the United States of America ( “GAAP”) and pursuant to the rules and regulations of the SEC and reflect all adjustments, consisting only of normal recurring adjustments, which are, in the opinion of management, necessary for a fair presentation of the financial position as of September 30, 2025, and the results of operations and cash flows for the periods presented. Certain information and disclosures normally included in financial statements prepared in accordance with GAAP have been omitted pursuant to such rules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interim financial statements should be read in conjunction with the Company's final prospectus dated October 6, 2025, as well as the Company's Current Report on Form 8-K filed with the SEC on October 14, 2025. The results of operations for the interim periods presented are not necessarily indicative of the results to be expected for the period ending December 31, 2025 or for any future interim periods.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per ordinary share is computed by dividing net loss by the weighted-average number of ordinary shares outstanding during the period (after deducting 1,023,943 ordinary shares subject to forfeiture in connection with the Proposed Offering). As of September 30, 2025, the Company did not have any dilutive securities and other contracts that could, potentially, be exercised or converted into ordinary shares and then share in the earnings of the Company. As a result, diluted net loss per ordinary share is the same as basic net loss per ordinary share for the periods presented.</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short-term investments with a maturity of three months or less when purchased to be cash equivalents. The Company did not have any cash equivalents as of September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of a cash account held in financial institutions, which at times, may exceed federally insured limits. The Company has not experienced losses on these accounts and management believes the Company is not exposed to significant risks on such accounts.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assets and liabilities approximates the carrying amounts represented in the condensed balance sheet.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the Company’s management to make estimates and assumptions that affect the reported amounts of assets and liabilities and disclosure of contingent assets and liabilities at the date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 and the reported amounts of revenues and expenses during the reporting periods. Actual results could differ from those estimates.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Offering Costs Associated with the Proposed Offering</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offering costs consist of legal, accounting, and other costs incurred through the balance sheet date that are directly related to the Proposed Offering and that will be charged to shareholder’s equity (deficit) upon the completion of the Proposed Offering.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single segment and decides how to allocate resources based on net income (loss) that also is reported on the statement of operations and comprehensive loss. The key measures of segment profit reviewed by the CODM are general and administrative expenses. General and administrative expenses are reviewed and monitored by the CODM to manage and forecast cash to ensure enough capital is available to complete the Proposed Offering and eventually a Business Combination within the business combination period. The CODM also reviews general and administrative expenses to manage, maintain and enforce all contractual agreements to ensure costs are aligned with all agreements and budget.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follows the asset and liability method of accounting for income taxes under Accounting Standards Codification (“ASC”) 740, “</w:t>
      </w:r>
      <w:r>
        <w:rPr>
          <w:rFonts w:ascii="Times New Roman" w:hAnsi="Times New Roman"/>
          <w:i/>
          <w:color w:val="000000"/>
          <w:sz w:val="20"/>
        </w:rPr>
        <w:t>Income Taxes</w:t>
      </w:r>
      <w:r>
        <w:rPr>
          <w:rFonts w:ascii="Times New Roman" w:hAnsi="Times New Roman"/>
          <w:color w:val="000000"/>
          <w:sz w:val="20"/>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2025. The Company is currently not aware of any issues under review that could result in significant payments, accruals or material deviation from its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believe that any recently issued, but not yet effective, accounting pronouncements, if currently adopted, would have a material effect on the Company’s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Proposed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Proposed Offering, the Company intends to offer for sale up to 22,000,000 units at a price of $10.00 per unit (the “Units”). Each Unit consists of one share of the Company’s Class A ordinary shares, $0.0001 par value and one right to receive one-fifth (1/5) of one Class A ordinary share upon consummation of the initial Business Combination.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 rights upon closing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grant the Underwriter a 45-day option to purchase up to 3,300,000 additional Units to cover any over-allotments, at the initial public offering price less the underwriting discounts.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pay an underwriting discount of $0.0455 per Unit (or $0.0405 per Unit if the Underwriter’s option to purchase additional Units is exercised in full) to the Underwriter at the closing of the Proposed Offering. The underwriting discount is payable in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institutional accredited investors (none of which are affiliated with any member of management, the Sponsor or any other investor (the “non-managing investors”)) have committed to purchase an aggregate of (a) 2,964,203 Class B ordinary shares (of which up to 386,681 Class B ordinary shares would be subject to forfeiture depending on the extent to which the Underwriters’ over-allotment option is exercised during the Proposed Offering) (the “Private Investor Shares”) at a purchase price per Class B ordinary share of $0.023254, and (b) an aggregate of 242,475 Private Placement Units (or up to 262,425 Private Placement Units if the Underwriters’ over-allotment option is exercised in full) consisting of one Class A ordinary share and one right to receive one-fifth (1/5) of one Class A ordinary share upon consummation of the initial Business Combination at a price of $9.7374 per unit in a private placement that will occur simultaneously with the completion of the Proposed Offering (the “Private Placement Unit”) for an aggregate purchase price of $2,430,006 (or $2,624,266 if the Underwriters’ over-allotment option is exercised in full). The Private Investor Shares along with the Founder Shares will collectively represent 30% of the outstanding ordinary shares upon completion of the Proposed Offering,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 As of September 30, 2025, the Company had received $3,357,006 in proceeds for payment of these Private Investor Shares and Private Placement Units in anticipation of the closing of the Proposed Offering. If the Proposed Offering does not close these proceeds will be returned to the investors. As such, these amounts are included in subscription liability of the condensed balance sheet as of September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7, 2025,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Related Party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Founder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30, 2025 (date of inception), one Class B ordinary share that was allotted to Harneys Fiduciary (Cayman) Limited (“Harneys Fiduciary”) upon our formation was transferred by Harneys Fiduciary to the Founder and 8,099,613 Class B ordinary shares (the 8,099,614 Class B ordinary shares collectively are the “Founder Shares”) were issued to the Founder for an aggregate purchase price of $25,000. On July 18, 2025, the Founder surrendered 249,385 Class B ordinary shares to the Company (which were cancelled) for no consideration, with the resulting 7,850,229 Founder Shares paid for at a purchase price of $0.00318 per share. 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Founder intends, at the time of the consummation of the Proposed Offering, to sell 375,397 Founder Shares in the aggregate to four board nominees (“Insiders”) at an aggregate price of $9,244, or $0.02462 per share, and 1,416,665 Founder Shares to Lynrock Lake Master Fund LP (“Lynrock”) at an aggregate price of $13,130. Following this sale of Founder Shares, the Founder will hold 6,053,167 Founder Shares, and the price paid by the Founder for the 6,053,167 Founder Shares which it is retaining will be $2,626, or $0.000434 per share. The Founder Shares are identical to the Class A ordinary shares included in the Units being sold in the Proposed Offering except that the Founder Shares are subject to certain transfer restrictions, as described in more detail below. The Founder, Insiders and Lynrock agreed to forfeit up to 1,023,943 Founder Shares to the extent that the over-allotment option is not exercised in full by the Underwriter. The forfeiture will be adjusted to the extent that the over-allotment option is not exercised in full by the Underwriter so that the Class B ordinary shares owned by the Founder, Insider, Lynrock and non-managing investors will own 30% of the Company’s issued and outstanding Class A and Class B ordinary shares after the Proposed Offering, excluding the private placement shares that are an underlying security to the Private Placement Units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Private Placement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Founder, Insiders and Lynrock have agreed to purchase from the Company 95,200 Private Placement Units pursuant to a Unit Purchase Agreement. In addition, as discussed in Note 3, the non-managing investors will purchase 242,475 Private Placement Units (or up to 262,425 Private Placement Units if the Underwriters’ over-allotment option is exercised in full) at a price of $9.7374 per Private Placement Unit. Each five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Founder, Insiders, Lynrock and the non-managing investors have each agreed not to transfer, assign or sell any of their respective Founder Shares, Private Investor Shares, Private Placement Units or underlying securities to the Private Placement Units that they may hold from the date of the Proposed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Units (and its underlying securities), until 30 days after the completion of the Company’s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does not complete a Business Combination, then a portion of the proceeds from the sale of the Private Investor Shares and Private Placement Units will be part of the liquidating distribution to the public shareholders.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Founder, Insiders, Lynrock and the non-managing investors and their permitted transferees are entitled to registration rights pursuant to a registration rights agreement signed on the date of the prospectus for the Proposed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Related Party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 promissory note with the Sponsor with a principal amount of $100,000 (the “Promissory Note”), none of which remained outstanding as of September 30, 2025. The proceeds were used for the payment of expenses related to the Proposed Offering. In September 2025, the Promissory Note was settled in exchange for Private Placement Units totaling $97,374 and the remaining balance of $2,626 was repaid. The Promissory Note was non-interest bearing, unsecured and was due on the earlier of (i) December 31, 2025 or (ii) the date on which the Company consummates an initial public offering of its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Shareholders’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1,000,000 preferred shares with such designations, voting and other rights and preferences as may be determined from time to time by the board of directors. As of September 30, 2025, there were no preferred shares issued and outstanding.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A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200,000,000 Class A ordinary shares with a par value of $0.0001 per share. As of September 30, 2025, there were no Class A ordinary shares issued and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Class B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20,000,000 Class B ordinary shares with a par value of $0.0001 per share. As of September 30, 2025, there were 7,850,229 Class B ordinary shares issued and outstanding, of which 1,023,943 are subject to forfeiture if the over-allotment is not exercised in full or in part by the Underwriter.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evaluated subsequent events that occurred after the balance sheet date through November 6, 2025, the date that these financial statements were available to be issued. Based upon this review, the Company did not identify any subsequent events that would have required adjustment to or disclosure in the financial statements, except as disclosed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entered into an underwriting agreement with the Underwriter on October 3, 2025 to conduct the Offering of 22,000,000 Units in the amount of $220.0 million in gross proceeds, with a 45-day option provided to the Underwriter to purchase up to 3,300,000 additional Units solely to cover over-allotments, if any, in the amount of up to $33.0 million in additional gross proceeds.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7, 2025,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non-managing investors purchased an aggregate of (a) 2,964,203 Class B ordinary shares at a purchase price per Class B ordinary share of $0.023254, and (b) an aggregate of 262,425 Private Placement Units at a price of $9.7374 per unit for an aggregate purchase price of $2,624,266.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closing of the Offering, net proceeds in the amount of $253,000,000 from the sale of the Units in the Offering were placed in the Trust Account.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costs amounted to $1,788,054, consisting of $1,025,000 of underwriting fees and $763,054 of offering costs. The Company’s remaining cash after payment of the offering costs is held outside of the Trust Account for working capital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References in this report (the “Quarterly Report”) to “we,” “us,” “our” or the “Company” refer to GigCapital8 Corp. References to our “management” or our “management team” refer to our officers and directors, and references to the “Founder” refer to GigAcquisitions8 Corp. The following discussion and analysis of the Company’s financial condition and results of operations should be read in conjunction with the condensed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“may,” “might,” “plan,” “possible,” “potential,” “should, “would”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our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newly organized Private-to-Public Equity (PPE) company, also known as a blank check company or special purpose acquisition company (“SPAC”), incorporated in the Cayman Islands and formed by an affiliate of the serial SPAC issuer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effectuate our initial business combination using cash from the proceeds of our initial public offering (the “Offering”), the sale of 2,964,203 Class B ordinary shares (“Private Investor Shares”) and the sale of 357,625 private placement units consisting of one Class A ordinary shares and one right to receive one-fifth (1/5) of one Class A ordinary share upon consummation of the initial business combination (“Private Placement Units”) which closed on October 7, 2025, our common equity or any preferred equity that we may create in accordance with the terms of our charter documents, debt, or a combination of cash, common or preferred equity and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additional ordinary shares or the creation of one or more classes of preferred shares during our initial business combination: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significantly dilute the equity interest of investors in the Offering who would not have pre-emption rights in respect of any such issue;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subordinate the rights of holders of ordinary shares if the rights, preferences, designations and limitations attaching to the preference shares are senior to those afforded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have the effect of delaying or preventing a change of control of us by diluting the share ownership or voting rights of a person seeking to obtain control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adversely affect prevailing market prices for our public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if we issue debt securities or otherwise incur significant indebtedness, it could result 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and foreclosure on our assets if our operating revenues after our initial business combination are insufficient to repay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immediate payment of all principal and accrued interest, if any, if the debt is payable on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necessary additional financing if any document governing such debt contains covenants restricting our ability to obtain such financing while the debt security is outstanding;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pay dividends on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a substantial portion of our cash flow to pay principal and interest on our debt, which will reduce the funds available for dividends on our ordinary shares if declared, expenses, capital expenditures, acquisitions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flexibility in planning for and reacting to changes in our business and in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vulnerability to adverse changes in general economic, industry and competitive conditions and adverse changes in government regulation;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borrow additional amounts for expenses, capital expenditures, acquisitions, debt service requirements, execution of our strategy and other purposes and other disadvantages compared to our competitors who have less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incur significant costs in the pursuit of our acquisition plans. We cannot assure you that our plans to raise capital or to complete our initial business combination will be successful.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and Known Trends or Future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neither engaged in any operations nor generated any revenues to date. Our only activities since inception have been organizational activities, those necessary to prepare for the Offering and to identify a target business for the business combination. We do not expect to generate any operating revenues until after completion of our initial business combination. We generate non-operating income in the form of interest income on cash and marketable securities raised during the Offering, described below. We expect to incur increased expenses as a result of being a public company (for legal, financial reporting, accounting and auditing compliance), as well as for due diligence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September 30, 2025, we had a net loss of $81,610, which consisted of operating expenses of $81,620 offset by interest income on cash in our operating account of $10.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period from June 30, 2025 (inception) through September 30, 2025, we had a net loss of $86,973, which consisted of operating expenses of $86,983 offset by interest income on cash in our operating account of $10.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the consummation of the Offering, our only source of liquidity was the initial purchase of shares of Class B ordinary shares, par value $0.0001 per share, by the Sponsor and the loan from our Sponsor.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7, 2025, we consummated the Offering, including the over-allotment option, of 25,300,000 units at $10.00 per unit generating gross proceeds of $253,000,000. Simultaneously with the closing of the Offering, we consummated the sale of an aggregate of 2,964,203 Class B ordinary shares at a purchase price per Class B ordinary share of $0.023254, and an aggregate of 357,625 private placement units consisting of one Class A ordinary share and one right to receive one-fifth (1/5) of one Class A ordinary share upon consummation of the initial Business Combination at a price of $9.7374 per unit in a private placement for an aggregate purchase price of $3,551,266. These transactions resulted in proceeds of $256,551,266 of which $253,000,000 will be held in a Trust Account.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period from June 30, 2025 (inception) through September 30, 2025, cash provided by operating activities was $9, resulting from increases in accounts payable. This was partially offset by net loss of $86,973.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period from June 30, 2025 (inception) through September 30, 2025, cash provided by financing activities was $3,292,154, resulting from the sale of Class B ordinary shares to the Founder totaling $25,000, the sale of Private Placement Units totaling $3,259,632 and proceeds from a related party loan, net of repayments, of $97,374. This was partially offset by the payment of $89,852 in deferred offering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we had cash of $3,292,163. If our cash becomes insufficient to allow us to operate for at least the next 12 months, assuming that a business combination is not consummated during that time, we intend to manage our cash flow through the timing and payment of expenses or, if necessary, raise additional funds from the Sponsor to ensure our cash balance will be sufficient to allow us to operate for at least the next 12 months. In the event that additional financing is required from outside sources, the Company may not be able to raise it on terms acceptable to the Company or at all. Over this time period, we intend to use these funds primarily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have not entered into any off-balance sheet financing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we do not have any long-term debt, capital lease obligations, operating lease obligations or long-term liabilities, other than an agreement to pay GigManagement, LLC a monthly fee of $30,000 for office space, administrative services and secretarial support upon the consummation of our initial public offering and an agreement with our Chief Financial Officer to pay a monthly fee of $15,000 for accounting services.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standard is issued or revised and it has different application dates for public or private companies, we, as an emerging growth company, can adopt the new or revised accounting standard at the time private companies adopt the new or revised standard.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(Loss) Per Ordinary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per ordinary share is computed by dividing net loss by the weighted-average number of ordinary shares outstanding during the period (after deducting 1,023,943 ordinary shares subject to forfeiture in connection with the Offering). As of September 30, 2025, the Company did not have any dilutive securities and other contracts that could, potentially, be exercised or converted into ordinary shares and then share in the earnings of the Company. As a result, diluted net loss per ordinary share is the same as basic net loss per ordinary share for the periods presented.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we were not subject to any market or interest rate risk. </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Rules 13a-15 and 15d-15 under the Exchange Act, our Chief Executive Officer and Chief Financial Officer carried out an evaluation of the effectiveness of the design and operation of our disclosure controls and procedures as of September 30, 2025. Based upon their evaluation, our Chief Executive Officer and Chief Financial Officer concluded that our disclosure controls and procedures (as defined in Rules 13a-15(e) and 15d-15(e) under the Exchange Act) were effective.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most recently completed fiscal quarter, there has been no change in our internal control over financial reporting that has materially affected, or is reasonably likely to materially affect, our internal control over financial reporting.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subject to any material legal proceedings, nor, to our knowledge, is any material legal proceeding threatened against us or any of our officers or directors in their corporate capacity.</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that could cause our actual results to differ materially from those in this Quarterly Report are any of the risks described in our final prospectus for the Offering filed with the SEC on October 7, 2025.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final prospectus for the Offering filed with the SEC.</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Founder and Consulting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2025 (date of inception), one Class B ordinary share that was allotted to Harneys Fiduciary (Cayman) Limited (“Harneys Fiduciary”) upon the Company’s formation was transferred by Harneys Fiduciary to the Founder and 8,099,613 Class B ordinary shares (the 8,099,614 Class B ordinary shares collectively are the “Founder Shares”) were issued to the Founder for an aggregate purchase price of $25,000. On July 18, 2025, the Founder surrendered 249,385 Class B ordinary shares to the Company (which were cancelled) for no consideration, with the resulting 7,850,229 Founder Shares paid for at a purchase price of $0.00318 per share. 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consummation of the Offering the Founder sold 375,397 Founder Shares in the aggregate to four board nominees (“Insiders”) at an aggregate price of $9,244, or $0.02462 per share, and 1,416,665 Founder Shares to Lynrock Lake Master Fund LP (“Lynrock”) at an aggregate price of $13,130. Following this sale of Founders Shares, the Founder holds 6,053,167 Founder Shares, and the price paid by the Founder for the 6,053,167 Founder Shares which it is retaining was $2,626, or $0.000434 per share. The Class B ordinary shares owned by the Founder, Insiders, Lynrock and non-managing investors represent 30% of the Company’s issued and outstanding Class A and Class B ordinary shares after the Offering, excluding the private placement shares that are an underlying security to the Private Placement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issued to the Founder, Chief Financial Officer, Insiders and Lynrock were issued pursuant to the exemption from registration contained in Section 4(a)(2) of the Securities Act. Each holder of the Founder Shares is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Private Investor Shares and Private Placement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institutional accredited investors (none of which are affiliated with any member of management, the Sponsor or any other investor (the “non-managing investors”)) purchased an aggregate of (a) 2,964,203 Private Investor Shares at a purchase price per Class B ordinary share of $0.023254, and (b) an aggregate of 262,425 Private Placement Units at a price of $9.7374 per unit for an aggregate purchase price of $2,624,266.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Private Investor Shares and Private Placement Units were issued pursuant to the exemption from registration contained in Section 4(a)(2) of the Securities Act. The institutional investors are each an “accredited investor” as such term is defined in Rule 501(a) of Regulation D under the Securities Act.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30, 2025, the Registration Statement on Form S-1 (File No. 333-289479), as amended (the “Registration Statement”), relating to the Offering of the Company was declared effective by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an underwriting agreement with D. Boral Capital LLC (the “Underwriter”) on October 3, 2025 to conduct the Offering of 22,000,000 units (the “Units”) in the amount of $220.0 million in gross proceeds, with a 45-day option provided to the Underwriter to purchase up to3,300,000 additional Units solely to cover over-allotments, if any, in the amount of up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$33.0 million in additional gross proceeds. Each Unit consists of one share of the Company’s Class A ordinary shares, $0.0001 par value, and one right to receive one-fifth (1/5) of one Class A ordinary share upon the consummation of an initial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7, 2025,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we had cash of $3,292,163 for working capital purposes.</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1"/>
        <w:gridCol w:w="146"/>
        <w:gridCol w:w="9268"/>
      </w:tblGrid>
      <w:tr>
        <w:trPr/>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8" w:type="dxa"/>
            <w:tcBorders/>
            <w:vAlign w:val="center"/>
          </w:tcPr>
          <w:p>
            <w:pPr>
              <w:pStyle w:val="TableContents"/>
              <w:bidi w:val="0"/>
              <w:spacing w:before="0" w:after="283"/>
              <w:jc w:val="left"/>
              <w:rPr>
                <w:sz w:val="4"/>
                <w:szCs w:val="4"/>
              </w:rPr>
            </w:pPr>
            <w:r>
              <w:rPr>
                <w:sz w:val="4"/>
                <w:szCs w:val="4"/>
              </w:rPr>
            </w:r>
          </w:p>
        </w:tc>
      </w:tr>
      <w:tr>
        <w:trPr/>
        <w:tc>
          <w:tcPr>
            <w:tcW w:w="79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iwwu-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2101"/>
        <w:gridCol w:w="146"/>
        <w:gridCol w:w="406"/>
        <w:gridCol w:w="393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Name</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Chairman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giwwu-ex31_1.htm"/>
      <w:bookmarkStart w:id="22" w:name="ksgiwwu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Dr. Avi S. Katz,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GigCapital8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giwwu-ex31_2.htm"/>
      <w:bookmarkStart w:id="24" w:name="ksgiwwu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Christine M. Marshall,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GigCapital8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92" w:type="dxa"/>
        <w:jc w:val="left"/>
        <w:tblInd w:w="0" w:type="dxa"/>
        <w:tblLayout w:type="fixed"/>
        <w:tblCellMar>
          <w:top w:w="28" w:type="dxa"/>
          <w:left w:w="28" w:type="dxa"/>
          <w:bottom w:w="28" w:type="dxa"/>
          <w:right w:w="28" w:type="dxa"/>
        </w:tblCellMar>
      </w:tblPr>
      <w:tblGrid>
        <w:gridCol w:w="2101"/>
        <w:gridCol w:w="109"/>
        <w:gridCol w:w="406"/>
        <w:gridCol w:w="217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giwwu-ex32_1.htm"/>
      <w:bookmarkStart w:id="26" w:name="ksgiwwu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GigCapital8 Corp on Form 10-Q for the period ending September 30, 2025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Avi S. Katz</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 Avi S. Katz</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giwwu-ex32_2.htm"/>
      <w:bookmarkStart w:id="28" w:name="ksgiwwuex32_2"/>
      <w:bookmarkEnd w:id="27"/>
      <w:bookmarkEnd w:id="28"/>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GigCapital8 Corp. on Form 10-Q for the period ending September 30, 2025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92" w:type="dxa"/>
        <w:jc w:val="left"/>
        <w:tblInd w:w="0" w:type="dxa"/>
        <w:tblLayout w:type="fixed"/>
        <w:tblCellMar>
          <w:top w:w="28" w:type="dxa"/>
          <w:left w:w="28" w:type="dxa"/>
          <w:bottom w:w="28" w:type="dxa"/>
          <w:right w:w="28" w:type="dxa"/>
        </w:tblCellMar>
      </w:tblPr>
      <w:tblGrid>
        <w:gridCol w:w="2101"/>
        <w:gridCol w:w="109"/>
        <w:gridCol w:w="406"/>
        <w:gridCol w:w="217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M. Marshall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Christine M. Marshall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11668</Words>
  <Characters>63683</Characters>
  <CharactersWithSpaces>75221</CharactersWithSpaces>
  <Paragraphs>1209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