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1695d8k.htm"/>
      <w:bookmarkStart w:id="1" w:name="ksd7169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7,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GigCapital8 Corp.</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220" w:type="dxa"/>
        <w:jc w:val="left"/>
        <w:tblInd w:w="0" w:type="dxa"/>
        <w:tblLayout w:type="fixed"/>
        <w:tblCellMar>
          <w:top w:w="0" w:type="dxa"/>
          <w:left w:w="0" w:type="dxa"/>
          <w:bottom w:w="0" w:type="dxa"/>
          <w:right w:w="0" w:type="dxa"/>
        </w:tblCellMar>
      </w:tblPr>
      <w:tblGrid>
        <w:gridCol w:w="2345"/>
        <w:gridCol w:w="60"/>
        <w:gridCol w:w="1055"/>
        <w:gridCol w:w="60"/>
        <w:gridCol w:w="1700"/>
      </w:tblGrid>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center"/>
              <w:rPr>
                <w:b/>
              </w:rPr>
            </w:pPr>
            <w:r>
              <w:rPr>
                <w:b/>
              </w:rPr>
              <w:t>Cayman Islands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001-42893</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98-1868645</w:t>
            </w:r>
          </w:p>
        </w:tc>
      </w:tr>
      <w:tr>
        <w:trPr/>
        <w:tc>
          <w:tcPr>
            <w:tcW w:w="23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r>
        <w:trPr/>
        <w:tc>
          <w:tcPr>
            <w:tcW w:w="3460" w:type="dxa"/>
            <w:gridSpan w:val="3"/>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r>
      <w:tr>
        <w:trPr/>
        <w:tc>
          <w:tcPr>
            <w:tcW w:w="3460"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1731 Embarcadero Rd., Suite 200</w:t>
            </w:r>
          </w:p>
          <w:p>
            <w:pPr>
              <w:pStyle w:val="TableContents"/>
              <w:bidi w:val="0"/>
              <w:spacing w:before="0" w:after="0"/>
              <w:jc w:val="center"/>
              <w:rPr>
                <w:rFonts w:ascii="Times New Roman" w:hAnsi="Times New Roman"/>
                <w:b/>
                <w:sz w:val="20"/>
              </w:rPr>
            </w:pPr>
            <w:r>
              <w:rPr>
                <w:rFonts w:ascii="Times New Roman" w:hAnsi="Times New Roman"/>
                <w:b/>
                <w:sz w:val="20"/>
              </w:rPr>
              <w:t>Palo Alto, CA 94303</w:t>
            </w:r>
          </w:p>
          <w:p>
            <w:pPr>
              <w:pStyle w:val="TableContents"/>
              <w:bidi w:val="0"/>
              <w:spacing w:before="0" w:after="20"/>
              <w:jc w:val="center"/>
              <w:rPr>
                <w:rFonts w:ascii="Times New Roman" w:hAnsi="Times New Roman"/>
                <w:b/>
                <w:sz w:val="20"/>
              </w:rPr>
            </w:pPr>
            <w:r>
              <w:rPr>
                <w:rFonts w:ascii="Times New Roman" w:hAnsi="Times New Roman"/>
                <w:b/>
                <w:sz w:val="20"/>
              </w:rPr>
              <w:t>(650) 276-7040</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94303</w:t>
            </w:r>
          </w:p>
        </w:tc>
      </w:tr>
      <w:tr>
        <w:trPr/>
        <w:tc>
          <w:tcPr>
            <w:tcW w:w="3460" w:type="dxa"/>
            <w:gridSpan w:val="3"/>
            <w:tcBorders/>
            <w:vAlign w:val="center"/>
          </w:tcPr>
          <w:p>
            <w:pPr>
              <w:pStyle w:val="TableContents"/>
              <w:bidi w:val="0"/>
              <w:spacing w:before="0" w:after="283"/>
              <w:jc w:val="center"/>
              <w:rPr>
                <w:color w:val="FFFFFF"/>
                <w:sz w:val="2"/>
              </w:rPr>
            </w:pPr>
            <w:r>
              <w:rPr>
                <w:color w:val="FFFFFF"/>
                <w:sz w:val="2"/>
              </w:rPr>
              <w:t>(Address of principal executive offices)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(650) 276-7040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13"/>
        <w:gridCol w:w="60"/>
        <w:gridCol w:w="905"/>
        <w:gridCol w:w="60"/>
        <w:gridCol w:w="1567"/>
      </w:tblGrid>
      <w:tr>
        <w:trPr/>
        <w:tc>
          <w:tcPr>
            <w:tcW w:w="76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761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56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7613" w:type="dxa"/>
            <w:tcBorders/>
            <w:vAlign w:val="center"/>
          </w:tcPr>
          <w:p>
            <w:pPr>
              <w:pStyle w:val="TableContents"/>
              <w:bidi w:val="0"/>
              <w:spacing w:before="0" w:after="283"/>
              <w:jc w:val="center"/>
              <w:rPr/>
            </w:pPr>
            <w:r>
              <w:rPr/>
              <w:t>Units, each consisting of one Class A ordinary share, $0.0001 par value, and one right to receive one-fifth of one Class A ordinary share</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GIWWU</w:t>
            </w:r>
          </w:p>
        </w:tc>
        <w:tc>
          <w:tcPr>
            <w:tcW w:w="60" w:type="dxa"/>
            <w:tcBorders/>
            <w:vAlign w:val="center"/>
          </w:tcPr>
          <w:p>
            <w:pPr>
              <w:pStyle w:val="TableContents"/>
              <w:bidi w:val="0"/>
              <w:spacing w:before="0" w:after="283"/>
              <w:jc w:val="left"/>
              <w:rPr/>
            </w:pPr>
            <w:r>
              <w:rPr/>
              <w:t> </w:t>
            </w:r>
          </w:p>
        </w:tc>
        <w:tc>
          <w:tcPr>
            <w:tcW w:w="1567" w:type="dxa"/>
            <w:tcBorders/>
            <w:vAlign w:val="center"/>
          </w:tcPr>
          <w:p>
            <w:pPr>
              <w:pStyle w:val="TableContents"/>
              <w:bidi w:val="0"/>
              <w:spacing w:before="0" w:after="283"/>
              <w:jc w:val="center"/>
              <w:rPr/>
            </w:pPr>
            <w:r>
              <w:rPr/>
              <w:t>The Nasdaq Stock Market LLC</w:t>
            </w:r>
          </w:p>
        </w:tc>
      </w:tr>
      <w:tr>
        <w:trPr/>
        <w:tc>
          <w:tcPr>
            <w:tcW w:w="7613" w:type="dxa"/>
            <w:tcBorders/>
            <w:vAlign w:val="center"/>
          </w:tcPr>
          <w:p>
            <w:pPr>
              <w:pStyle w:val="TableContents"/>
              <w:bidi w:val="0"/>
              <w:spacing w:before="0" w:after="283"/>
              <w:jc w:val="center"/>
              <w:rPr/>
            </w:pPr>
            <w:r>
              <w:rPr/>
              <w:t>Class A ordinary shares, $0.0001 par value</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GIW</w:t>
            </w:r>
          </w:p>
        </w:tc>
        <w:tc>
          <w:tcPr>
            <w:tcW w:w="60" w:type="dxa"/>
            <w:tcBorders/>
            <w:vAlign w:val="center"/>
          </w:tcPr>
          <w:p>
            <w:pPr>
              <w:pStyle w:val="TableContents"/>
              <w:bidi w:val="0"/>
              <w:spacing w:before="0" w:after="283"/>
              <w:jc w:val="left"/>
              <w:rPr/>
            </w:pPr>
            <w:r>
              <w:rPr/>
              <w:t> </w:t>
            </w:r>
          </w:p>
        </w:tc>
        <w:tc>
          <w:tcPr>
            <w:tcW w:w="1567" w:type="dxa"/>
            <w:tcBorders/>
            <w:vAlign w:val="center"/>
          </w:tcPr>
          <w:p>
            <w:pPr>
              <w:pStyle w:val="TableContents"/>
              <w:bidi w:val="0"/>
              <w:spacing w:before="0" w:after="283"/>
              <w:jc w:val="center"/>
              <w:rPr/>
            </w:pPr>
            <w:r>
              <w:rPr/>
              <w:t>The Nasdaq Stock Market LLC</w:t>
            </w:r>
          </w:p>
        </w:tc>
      </w:tr>
      <w:tr>
        <w:trPr/>
        <w:tc>
          <w:tcPr>
            <w:tcW w:w="7613" w:type="dxa"/>
            <w:tcBorders/>
            <w:vAlign w:val="center"/>
          </w:tcPr>
          <w:p>
            <w:pPr>
              <w:pStyle w:val="TableContents"/>
              <w:bidi w:val="0"/>
              <w:spacing w:before="0" w:after="283"/>
              <w:jc w:val="center"/>
              <w:rPr/>
            </w:pPr>
            <w:r>
              <w:rPr/>
              <w:t xml:space="preserve">Rights, one right to receive one-fifth of one Class A ordinary share, each five rights entitling the holder thereof to receive one Class A ordinary share upon the consummation of a business combination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GIWWR</w:t>
            </w:r>
          </w:p>
        </w:tc>
        <w:tc>
          <w:tcPr>
            <w:tcW w:w="60" w:type="dxa"/>
            <w:tcBorders/>
            <w:vAlign w:val="center"/>
          </w:tcPr>
          <w:p>
            <w:pPr>
              <w:pStyle w:val="TableContents"/>
              <w:bidi w:val="0"/>
              <w:spacing w:before="0" w:after="283"/>
              <w:jc w:val="left"/>
              <w:rPr/>
            </w:pPr>
            <w:r>
              <w:rPr/>
              <w:t> </w:t>
            </w:r>
          </w:p>
        </w:tc>
        <w:tc>
          <w:tcPr>
            <w:tcW w:w="1567"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On October 9, 2025, the Board of Directors (the “</w:t>
      </w:r>
      <w:r>
        <w:rPr>
          <w:rFonts w:ascii="Times New Roman" w:hAnsi="Times New Roman"/>
          <w:b/>
          <w:i/>
          <w:sz w:val="20"/>
        </w:rPr>
        <w:t>Board</w:t>
      </w:r>
      <w:r>
        <w:rPr>
          <w:rFonts w:ascii="Times New Roman" w:hAnsi="Times New Roman"/>
          <w:sz w:val="20"/>
        </w:rPr>
        <w:t>”) of GigCapital8 Corp., a Cayman Islands exempted company (the “</w:t>
      </w:r>
      <w:r>
        <w:rPr>
          <w:rFonts w:ascii="Times New Roman" w:hAnsi="Times New Roman"/>
          <w:b/>
          <w:i/>
          <w:sz w:val="20"/>
        </w:rPr>
        <w:t>Company</w:t>
      </w:r>
      <w:r>
        <w:rPr>
          <w:rFonts w:ascii="Times New Roman" w:hAnsi="Times New Roman"/>
          <w:sz w:val="20"/>
        </w:rPr>
        <w:t xml:space="preserve">”) approved the payment by the Company of advisory fees in connection with certain activities on its behalf, such as identifying and investigating potential business targets and business combinations as well as pertaining to board committee service and administrative and analytical services. These advisory fees will be paid quarterly, and include payments to Dr. Avi S. Katz, the Chief Executive Officer. The quarterly amounts approved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5"/>
        <w:gridCol w:w="60"/>
        <w:gridCol w:w="4205"/>
        <w:gridCol w:w="60"/>
        <w:gridCol w:w="3275"/>
      </w:tblGrid>
      <w:tr>
        <w:trPr/>
        <w:tc>
          <w:tcPr>
            <w:tcW w:w="2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2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5" w:type="dxa"/>
            <w:tcBorders>
              <w:bottom w:val="single" w:sz="8" w:space="0" w:color="000000"/>
            </w:tcBorders>
            <w:tcMar>
              <w:bottom w:w="28" w:type="dxa"/>
            </w:tcMar>
            <w:vAlign w:val="center"/>
          </w:tcPr>
          <w:p>
            <w:pPr>
              <w:pStyle w:val="TableContents"/>
              <w:bidi w:val="0"/>
              <w:spacing w:before="0" w:after="283"/>
              <w:jc w:val="center"/>
              <w:rPr/>
            </w:pPr>
            <w:r>
              <w:rPr/>
              <w:t>Quarterly compensation prior to signing a</w:t>
              <w:br/>
              <w:t>definitive agreement with a defined business</w:t>
              <w:br/>
              <w:t>combination target</w:t>
            </w:r>
          </w:p>
        </w:tc>
        <w:tc>
          <w:tcPr>
            <w:tcW w:w="60" w:type="dxa"/>
            <w:tcBorders/>
            <w:vAlign w:val="center"/>
          </w:tcPr>
          <w:p>
            <w:pPr>
              <w:pStyle w:val="TableContents"/>
              <w:bidi w:val="0"/>
              <w:spacing w:before="0" w:after="283"/>
              <w:jc w:val="left"/>
              <w:rPr/>
            </w:pPr>
            <w:r>
              <w:rPr/>
              <w:t> </w:t>
            </w:r>
          </w:p>
        </w:tc>
        <w:tc>
          <w:tcPr>
            <w:tcW w:w="3275" w:type="dxa"/>
            <w:tcBorders>
              <w:bottom w:val="single" w:sz="8" w:space="0" w:color="000000"/>
            </w:tcBorders>
            <w:tcMar>
              <w:bottom w:w="28" w:type="dxa"/>
            </w:tcMar>
            <w:vAlign w:val="center"/>
          </w:tcPr>
          <w:p>
            <w:pPr>
              <w:pStyle w:val="TableContents"/>
              <w:bidi w:val="0"/>
              <w:spacing w:before="0" w:after="283"/>
              <w:jc w:val="center"/>
              <w:rPr/>
            </w:pPr>
            <w:r>
              <w:rPr/>
              <w:t>Quarterly compensation following</w:t>
              <w:br/>
              <w:t>the signing of a definitive</w:t>
              <w:br/>
              <w:t>agreement with a defined business</w:t>
              <w:br/>
              <w:t>combination target</w:t>
            </w:r>
          </w:p>
        </w:tc>
      </w:tr>
      <w:tr>
        <w:trPr/>
        <w:tc>
          <w:tcPr>
            <w:tcW w:w="26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Dr. Avi S. Katz</w:t>
            </w:r>
          </w:p>
        </w:tc>
        <w:tc>
          <w:tcPr>
            <w:tcW w:w="60" w:type="dxa"/>
            <w:tcBorders/>
            <w:shd w:fill="CCEEFF" w:val="clear"/>
            <w:vAlign w:val="center"/>
          </w:tcPr>
          <w:p>
            <w:pPr>
              <w:pStyle w:val="TableContents"/>
              <w:bidi w:val="0"/>
              <w:spacing w:before="0" w:after="283"/>
              <w:jc w:val="left"/>
              <w:rPr/>
            </w:pPr>
            <w:r>
              <w:rPr/>
              <w:t> </w:t>
            </w:r>
          </w:p>
        </w:tc>
        <w:tc>
          <w:tcPr>
            <w:tcW w:w="4205" w:type="dxa"/>
            <w:tcBorders/>
            <w:shd w:fill="CCEEFF" w:val="clear"/>
            <w:vAlign w:val="center"/>
          </w:tcPr>
          <w:p>
            <w:pPr>
              <w:pStyle w:val="TableContents"/>
              <w:bidi w:val="0"/>
              <w:spacing w:before="0" w:after="283"/>
              <w:jc w:val="center"/>
              <w:rPr/>
            </w:pPr>
            <w:r>
              <w:rPr/>
              <w:t>$4,000</w:t>
            </w:r>
          </w:p>
        </w:tc>
        <w:tc>
          <w:tcPr>
            <w:tcW w:w="60" w:type="dxa"/>
            <w:tcBorders/>
            <w:shd w:fill="CCEEFF" w:val="clear"/>
            <w:vAlign w:val="center"/>
          </w:tcPr>
          <w:p>
            <w:pPr>
              <w:pStyle w:val="TableContents"/>
              <w:bidi w:val="0"/>
              <w:spacing w:before="0" w:after="283"/>
              <w:jc w:val="left"/>
              <w:rPr/>
            </w:pPr>
            <w:r>
              <w:rPr/>
              <w:t> </w:t>
            </w:r>
          </w:p>
        </w:tc>
        <w:tc>
          <w:tcPr>
            <w:tcW w:w="3275" w:type="dxa"/>
            <w:tcBorders/>
            <w:shd w:fill="CCEEFF" w:val="clear"/>
            <w:vAlign w:val="center"/>
          </w:tcPr>
          <w:p>
            <w:pPr>
              <w:pStyle w:val="TableContents"/>
              <w:bidi w:val="0"/>
              <w:spacing w:before="0" w:after="283"/>
              <w:jc w:val="center"/>
              <w:rPr/>
            </w:pPr>
            <w:r>
              <w:rPr/>
              <w:t>$6,000</w:t>
            </w:r>
          </w:p>
        </w:tc>
      </w:tr>
      <w:tr>
        <w:trPr/>
        <w:tc>
          <w:tcPr>
            <w:tcW w:w="2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Dr. Raluca Dinu</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center"/>
              <w:rPr/>
            </w:pPr>
            <w:r>
              <w:rPr/>
              <w:t>$4,000</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center"/>
              <w:rPr/>
            </w:pPr>
            <w:r>
              <w:rPr/>
              <w:t>$6,000</w:t>
            </w:r>
          </w:p>
        </w:tc>
      </w:tr>
      <w:tr>
        <w:trPr/>
        <w:tc>
          <w:tcPr>
            <w:tcW w:w="26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Raanan I. Horowitz</w:t>
            </w:r>
          </w:p>
        </w:tc>
        <w:tc>
          <w:tcPr>
            <w:tcW w:w="60" w:type="dxa"/>
            <w:tcBorders/>
            <w:shd w:fill="CCEEFF" w:val="clear"/>
            <w:vAlign w:val="center"/>
          </w:tcPr>
          <w:p>
            <w:pPr>
              <w:pStyle w:val="TableContents"/>
              <w:bidi w:val="0"/>
              <w:spacing w:before="0" w:after="283"/>
              <w:jc w:val="left"/>
              <w:rPr/>
            </w:pPr>
            <w:r>
              <w:rPr/>
              <w:t> </w:t>
            </w:r>
          </w:p>
        </w:tc>
        <w:tc>
          <w:tcPr>
            <w:tcW w:w="4205" w:type="dxa"/>
            <w:tcBorders/>
            <w:shd w:fill="CCEEFF" w:val="clear"/>
            <w:vAlign w:val="center"/>
          </w:tcPr>
          <w:p>
            <w:pPr>
              <w:pStyle w:val="TableContents"/>
              <w:bidi w:val="0"/>
              <w:spacing w:before="0" w:after="283"/>
              <w:jc w:val="center"/>
              <w:rPr/>
            </w:pPr>
            <w:r>
              <w:rPr/>
              <w:t>$4,000</w:t>
            </w:r>
          </w:p>
        </w:tc>
        <w:tc>
          <w:tcPr>
            <w:tcW w:w="60" w:type="dxa"/>
            <w:tcBorders/>
            <w:shd w:fill="CCEEFF" w:val="clear"/>
            <w:vAlign w:val="center"/>
          </w:tcPr>
          <w:p>
            <w:pPr>
              <w:pStyle w:val="TableContents"/>
              <w:bidi w:val="0"/>
              <w:spacing w:before="0" w:after="283"/>
              <w:jc w:val="left"/>
              <w:rPr/>
            </w:pPr>
            <w:r>
              <w:rPr/>
              <w:t> </w:t>
            </w:r>
          </w:p>
        </w:tc>
        <w:tc>
          <w:tcPr>
            <w:tcW w:w="3275" w:type="dxa"/>
            <w:tcBorders/>
            <w:shd w:fill="CCEEFF" w:val="clear"/>
            <w:vAlign w:val="center"/>
          </w:tcPr>
          <w:p>
            <w:pPr>
              <w:pStyle w:val="TableContents"/>
              <w:bidi w:val="0"/>
              <w:spacing w:before="0" w:after="283"/>
              <w:jc w:val="center"/>
              <w:rPr/>
            </w:pPr>
            <w:r>
              <w:rPr/>
              <w:t>$6,000</w:t>
            </w:r>
          </w:p>
        </w:tc>
      </w:tr>
      <w:tr>
        <w:trPr/>
        <w:tc>
          <w:tcPr>
            <w:tcW w:w="2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Ambassador Adrian Zuckerman</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center"/>
              <w:rPr/>
            </w:pPr>
            <w:r>
              <w:rPr/>
              <w:t>$4,000</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center"/>
              <w:rPr/>
            </w:pPr>
            <w:r>
              <w:rPr/>
              <w:t>$6,000</w:t>
            </w:r>
          </w:p>
        </w:tc>
      </w:tr>
      <w:tr>
        <w:trPr/>
        <w:tc>
          <w:tcPr>
            <w:tcW w:w="26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Luis Machuca</w:t>
            </w:r>
          </w:p>
        </w:tc>
        <w:tc>
          <w:tcPr>
            <w:tcW w:w="60" w:type="dxa"/>
            <w:tcBorders/>
            <w:shd w:fill="CCEEFF" w:val="clear"/>
            <w:vAlign w:val="center"/>
          </w:tcPr>
          <w:p>
            <w:pPr>
              <w:pStyle w:val="TableContents"/>
              <w:bidi w:val="0"/>
              <w:spacing w:before="0" w:after="283"/>
              <w:jc w:val="left"/>
              <w:rPr/>
            </w:pPr>
            <w:r>
              <w:rPr/>
              <w:t> </w:t>
            </w:r>
          </w:p>
        </w:tc>
        <w:tc>
          <w:tcPr>
            <w:tcW w:w="4205" w:type="dxa"/>
            <w:tcBorders/>
            <w:shd w:fill="CCEEFF" w:val="clear"/>
            <w:vAlign w:val="center"/>
          </w:tcPr>
          <w:p>
            <w:pPr>
              <w:pStyle w:val="TableContents"/>
              <w:bidi w:val="0"/>
              <w:spacing w:before="0" w:after="283"/>
              <w:jc w:val="center"/>
              <w:rPr/>
            </w:pPr>
            <w:r>
              <w:rPr/>
              <w:t>$4,000</w:t>
            </w:r>
          </w:p>
        </w:tc>
        <w:tc>
          <w:tcPr>
            <w:tcW w:w="60" w:type="dxa"/>
            <w:tcBorders/>
            <w:shd w:fill="CCEEFF" w:val="clear"/>
            <w:vAlign w:val="center"/>
          </w:tcPr>
          <w:p>
            <w:pPr>
              <w:pStyle w:val="TableContents"/>
              <w:bidi w:val="0"/>
              <w:spacing w:before="0" w:after="283"/>
              <w:jc w:val="left"/>
              <w:rPr/>
            </w:pPr>
            <w:r>
              <w:rPr/>
              <w:t> </w:t>
            </w:r>
          </w:p>
        </w:tc>
        <w:tc>
          <w:tcPr>
            <w:tcW w:w="3275" w:type="dxa"/>
            <w:tcBorders/>
            <w:shd w:fill="CCEEFF" w:val="clear"/>
            <w:vAlign w:val="center"/>
          </w:tcPr>
          <w:p>
            <w:pPr>
              <w:pStyle w:val="TableContents"/>
              <w:bidi w:val="0"/>
              <w:spacing w:before="0" w:after="283"/>
              <w:jc w:val="center"/>
              <w:rPr/>
            </w:pPr>
            <w:r>
              <w:rPr/>
              <w:t>$6,000</w:t>
            </w:r>
          </w:p>
        </w:tc>
      </w:tr>
      <w:tr>
        <w:trPr/>
        <w:tc>
          <w:tcPr>
            <w:tcW w:w="2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Rear Admiral (Ret.) Omri Dagul</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center"/>
              <w:rPr/>
            </w:pPr>
            <w:r>
              <w:rPr/>
              <w:t>$4,000</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center"/>
              <w:rPr/>
            </w:pPr>
            <w:r>
              <w:rPr/>
              <w:t>$6,000</w:t>
            </w:r>
          </w:p>
        </w:tc>
      </w:tr>
      <w:tr>
        <w:trPr/>
        <w:tc>
          <w:tcPr>
            <w:tcW w:w="26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Bryan Timm</w:t>
            </w:r>
          </w:p>
        </w:tc>
        <w:tc>
          <w:tcPr>
            <w:tcW w:w="60" w:type="dxa"/>
            <w:tcBorders/>
            <w:shd w:fill="CCEEFF" w:val="clear"/>
            <w:vAlign w:val="center"/>
          </w:tcPr>
          <w:p>
            <w:pPr>
              <w:pStyle w:val="TableContents"/>
              <w:bidi w:val="0"/>
              <w:spacing w:before="0" w:after="283"/>
              <w:jc w:val="left"/>
              <w:rPr/>
            </w:pPr>
            <w:r>
              <w:rPr/>
              <w:t> </w:t>
            </w:r>
          </w:p>
        </w:tc>
        <w:tc>
          <w:tcPr>
            <w:tcW w:w="4205" w:type="dxa"/>
            <w:tcBorders/>
            <w:shd w:fill="CCEEFF" w:val="clear"/>
            <w:vAlign w:val="center"/>
          </w:tcPr>
          <w:p>
            <w:pPr>
              <w:pStyle w:val="TableContents"/>
              <w:bidi w:val="0"/>
              <w:spacing w:before="0" w:after="283"/>
              <w:jc w:val="center"/>
              <w:rPr/>
            </w:pPr>
            <w:r>
              <w:rPr/>
              <w:t>$4,000</w:t>
            </w:r>
          </w:p>
        </w:tc>
        <w:tc>
          <w:tcPr>
            <w:tcW w:w="60" w:type="dxa"/>
            <w:tcBorders/>
            <w:shd w:fill="CCEEFF" w:val="clear"/>
            <w:vAlign w:val="center"/>
          </w:tcPr>
          <w:p>
            <w:pPr>
              <w:pStyle w:val="TableContents"/>
              <w:bidi w:val="0"/>
              <w:spacing w:before="0" w:after="283"/>
              <w:jc w:val="left"/>
              <w:rPr/>
            </w:pPr>
            <w:r>
              <w:rPr/>
              <w:t> </w:t>
            </w:r>
          </w:p>
        </w:tc>
        <w:tc>
          <w:tcPr>
            <w:tcW w:w="3275" w:type="dxa"/>
            <w:tcBorders/>
            <w:shd w:fill="CCEEFF" w:val="clear"/>
            <w:vAlign w:val="center"/>
          </w:tcPr>
          <w:p>
            <w:pPr>
              <w:pStyle w:val="TableContents"/>
              <w:bidi w:val="0"/>
              <w:spacing w:before="0" w:after="283"/>
              <w:jc w:val="center"/>
              <w:rPr/>
            </w:pPr>
            <w:r>
              <w:rPr/>
              <w:t>$6,000</w:t>
            </w:r>
          </w:p>
        </w:tc>
      </w:tr>
      <w:tr>
        <w:trPr/>
        <w:tc>
          <w:tcPr>
            <w:tcW w:w="2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Admiral (Ret.) David Ben- Bashat</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center"/>
              <w:rPr/>
            </w:pPr>
            <w:r>
              <w:rPr/>
              <w:t>$4,000</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center"/>
              <w:rPr/>
            </w:pPr>
            <w:r>
              <w:rPr/>
              <w:t>$6,000</w:t>
            </w:r>
          </w:p>
        </w:tc>
      </w:tr>
      <w:tr>
        <w:trPr/>
        <w:tc>
          <w:tcPr>
            <w:tcW w:w="26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James Greene</w:t>
            </w:r>
          </w:p>
        </w:tc>
        <w:tc>
          <w:tcPr>
            <w:tcW w:w="60" w:type="dxa"/>
            <w:tcBorders/>
            <w:shd w:fill="CCEEFF" w:val="clear"/>
            <w:vAlign w:val="center"/>
          </w:tcPr>
          <w:p>
            <w:pPr>
              <w:pStyle w:val="TableContents"/>
              <w:bidi w:val="0"/>
              <w:spacing w:before="0" w:after="283"/>
              <w:jc w:val="left"/>
              <w:rPr/>
            </w:pPr>
            <w:r>
              <w:rPr/>
              <w:t> </w:t>
            </w:r>
          </w:p>
        </w:tc>
        <w:tc>
          <w:tcPr>
            <w:tcW w:w="4205" w:type="dxa"/>
            <w:tcBorders/>
            <w:shd w:fill="CCEEFF" w:val="clear"/>
            <w:vAlign w:val="center"/>
          </w:tcPr>
          <w:p>
            <w:pPr>
              <w:pStyle w:val="TableContents"/>
              <w:bidi w:val="0"/>
              <w:spacing w:before="0" w:after="283"/>
              <w:jc w:val="center"/>
              <w:rPr/>
            </w:pPr>
            <w:r>
              <w:rPr/>
              <w:t>$4,000</w:t>
            </w:r>
          </w:p>
        </w:tc>
        <w:tc>
          <w:tcPr>
            <w:tcW w:w="60" w:type="dxa"/>
            <w:tcBorders/>
            <w:shd w:fill="CCEEFF" w:val="clear"/>
            <w:vAlign w:val="center"/>
          </w:tcPr>
          <w:p>
            <w:pPr>
              <w:pStyle w:val="TableContents"/>
              <w:bidi w:val="0"/>
              <w:spacing w:before="0" w:after="283"/>
              <w:jc w:val="left"/>
              <w:rPr/>
            </w:pPr>
            <w:r>
              <w:rPr/>
              <w:t> </w:t>
            </w:r>
          </w:p>
        </w:tc>
        <w:tc>
          <w:tcPr>
            <w:tcW w:w="3275" w:type="dxa"/>
            <w:tcBorders/>
            <w:shd w:fill="CCEEFF" w:val="clear"/>
            <w:vAlign w:val="center"/>
          </w:tcPr>
          <w:p>
            <w:pPr>
              <w:pStyle w:val="TableContents"/>
              <w:bidi w:val="0"/>
              <w:spacing w:before="0" w:after="283"/>
              <w:jc w:val="center"/>
              <w:rPr/>
            </w:pPr>
            <w:r>
              <w:rPr/>
              <w:t>$6,000</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Reconfiguration of 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On October 9, 2025, the Board approved the reconfiguration of the Company’s Compensation Committee. Effective immediately, the Compensation Committee shall consist of Messrs. Greene, Zuckerman and Dagul, with Mr. Greene serving as the chair of the Compensation Committee.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As previously disclosed by the Company in its Current Report on Form 8-K, as filed with the U.S. Securities and Exchange Commission (the “</w:t>
      </w:r>
      <w:r>
        <w:rPr>
          <w:rFonts w:ascii="Times New Roman" w:hAnsi="Times New Roman"/>
          <w:b/>
          <w:i/>
          <w:sz w:val="20"/>
        </w:rPr>
        <w:t>SEC</w:t>
      </w:r>
      <w:r>
        <w:rPr>
          <w:rFonts w:ascii="Times New Roman" w:hAnsi="Times New Roman"/>
          <w:sz w:val="20"/>
        </w:rPr>
        <w:t>”) on October 9, 2025 (the “</w:t>
      </w:r>
      <w:r>
        <w:rPr>
          <w:rFonts w:ascii="Times New Roman" w:hAnsi="Times New Roman"/>
          <w:b/>
          <w:i/>
          <w:sz w:val="20"/>
        </w:rPr>
        <w:t>IPO Closing 8-K</w:t>
      </w:r>
      <w:r>
        <w:rPr>
          <w:rFonts w:ascii="Times New Roman" w:hAnsi="Times New Roman"/>
          <w:sz w:val="20"/>
        </w:rPr>
        <w:t>”), the Company consummated its initial public offering (the “</w:t>
      </w:r>
      <w:r>
        <w:rPr>
          <w:rFonts w:ascii="Times New Roman" w:hAnsi="Times New Roman"/>
          <w:b/>
          <w:i/>
          <w:sz w:val="20"/>
        </w:rPr>
        <w:t>IPO</w:t>
      </w:r>
      <w:r>
        <w:rPr>
          <w:rFonts w:ascii="Times New Roman" w:hAnsi="Times New Roman"/>
          <w:sz w:val="20"/>
        </w:rPr>
        <w:t>”) on August 30, 2025, resulting in the issuance of an aggregate of 25,300,000 units (the “</w:t>
      </w:r>
      <w:r>
        <w:rPr>
          <w:rFonts w:ascii="Times New Roman" w:hAnsi="Times New Roman"/>
          <w:b/>
          <w:i/>
          <w:sz w:val="20"/>
        </w:rPr>
        <w:t>Units</w:t>
      </w:r>
      <w:r>
        <w:rPr>
          <w:rFonts w:ascii="Times New Roman" w:hAnsi="Times New Roman"/>
          <w:sz w:val="20"/>
        </w:rPr>
        <w:t>”). Each Unit consists of one Class A ordinary share of the Company, par value $0.0001 per share (each an “</w:t>
      </w:r>
      <w:r>
        <w:rPr>
          <w:rFonts w:ascii="Times New Roman" w:hAnsi="Times New Roman"/>
          <w:b/>
          <w:i/>
          <w:sz w:val="20"/>
        </w:rPr>
        <w:t>Class</w:t>
      </w:r>
      <w:r>
        <w:rPr>
          <w:rFonts w:ascii="Times New Roman" w:hAnsi="Times New Roman"/>
          <w:sz w:val="20"/>
        </w:rPr>
        <w:t> </w:t>
      </w:r>
      <w:r>
        <w:rPr>
          <w:rFonts w:ascii="Times New Roman" w:hAnsi="Times New Roman"/>
          <w:b/>
          <w:i/>
          <w:sz w:val="20"/>
        </w:rPr>
        <w:t>A Ordinary Share</w:t>
      </w:r>
      <w:r>
        <w:rPr>
          <w:rFonts w:ascii="Times New Roman" w:hAnsi="Times New Roman"/>
          <w:sz w:val="20"/>
        </w:rPr>
        <w:t>”), and one right to receive one-fifth of a Class A Ordinary Share (a “</w:t>
      </w:r>
      <w:r>
        <w:rPr>
          <w:rFonts w:ascii="Times New Roman" w:hAnsi="Times New Roman"/>
          <w:b/>
          <w:i/>
          <w:sz w:val="20"/>
        </w:rPr>
        <w:t>Public Right</w:t>
      </w:r>
      <w:r>
        <w:rPr>
          <w:rFonts w:ascii="Times New Roman" w:hAnsi="Times New Roman"/>
          <w:sz w:val="20"/>
        </w:rPr>
        <w:t xml:space="preserve">”), with each five rights entitling the holder thereof to receive one Class A Ordinary Share upon the consummation of an initial business combination. The Units were sold at a price of $10.00 per Unit, and the IPO generated gross proceeds to the Company of $253,000,000. </w:t>
      </w:r>
    </w:p>
    <w:p>
      <w:pPr>
        <w:pStyle w:val="TextBody"/>
        <w:bidi w:val="0"/>
        <w:spacing w:before="240" w:after="0"/>
        <w:jc w:val="left"/>
        <w:rPr>
          <w:rFonts w:ascii="Times New Roman" w:hAnsi="Times New Roman"/>
          <w:sz w:val="20"/>
        </w:rPr>
      </w:pPr>
      <w:r>
        <w:rPr>
          <w:rFonts w:ascii="Times New Roman" w:hAnsi="Times New Roman"/>
          <w:sz w:val="20"/>
        </w:rPr>
        <w:t>Simultaneously with the closing of the IPO, the Company completed the private sale and issuance of an aggregate of 95,200 units (the “</w:t>
      </w:r>
      <w:r>
        <w:rPr>
          <w:rFonts w:ascii="Times New Roman" w:hAnsi="Times New Roman"/>
          <w:b/>
          <w:i/>
          <w:sz w:val="20"/>
        </w:rPr>
        <w:t>Private Placement Units”)</w:t>
      </w:r>
      <w:r>
        <w:rPr>
          <w:rFonts w:ascii="Times New Roman" w:hAnsi="Times New Roman"/>
          <w:sz w:val="20"/>
        </w:rPr>
        <w:t> to GigAcquisitions8 Corp. (the “</w:t>
      </w:r>
      <w:r>
        <w:rPr>
          <w:rFonts w:ascii="Times New Roman" w:hAnsi="Times New Roman"/>
          <w:b/>
          <w:i/>
          <w:sz w:val="20"/>
        </w:rPr>
        <w:t>Sponsor</w:t>
      </w:r>
      <w:r>
        <w:rPr>
          <w:rFonts w:ascii="Times New Roman" w:hAnsi="Times New Roman"/>
          <w:sz w:val="20"/>
        </w:rPr>
        <w:t xml:space="preserve">”), four of the Company’s directors and Lynrock Lake Master Fund LP at a price of $9.7374 per unit, generating gross proceeds to the Company of $927,000. Each Private Placement Unit consists of one Class A Ordinary Share and one right to receive one-fifth of a Class A Ordinary Share, with each five rights entitling the holder thereof to receive one Class A Ordinary Share upon the consummation of an initial business combination. Each such investor signed a unit purchase agreement with the Company, the material terms of which are set forth in the Registration Statements and incorporated by reference herein.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addition, simultaneously with the closing of the IPO, the Company completed the private sale and issuance to certain non-managing investors (none of which are affiliated with any member of the Company’s management, the Sponsor or any other investor) of (i) an aggregate of 2,964,203 Class B ordinary shares of the Company, par value of $0.0001 per share (“</w:t>
      </w:r>
      <w:r>
        <w:rPr>
          <w:rFonts w:ascii="Times New Roman" w:hAnsi="Times New Roman"/>
          <w:b/>
          <w:i/>
          <w:sz w:val="20"/>
        </w:rPr>
        <w:t>Class</w:t>
      </w:r>
      <w:r>
        <w:rPr>
          <w:rFonts w:ascii="Times New Roman" w:hAnsi="Times New Roman"/>
          <w:sz w:val="20"/>
        </w:rPr>
        <w:t> </w:t>
      </w:r>
      <w:r>
        <w:rPr>
          <w:rFonts w:ascii="Times New Roman" w:hAnsi="Times New Roman"/>
          <w:b/>
          <w:i/>
          <w:sz w:val="20"/>
        </w:rPr>
        <w:t>B Ordinary Shares</w:t>
      </w:r>
      <w:r>
        <w:rPr>
          <w:rFonts w:ascii="Times New Roman" w:hAnsi="Times New Roman"/>
          <w:sz w:val="20"/>
        </w:rPr>
        <w:t xml:space="preserve">”) at a price of $0.023254 per share and (ii) an aggregate of 262,425 Private Placement Units at a price of $9.7374 per unit, generating gross proceeds to the Company of $2,624,266. Each such investor signed a subscription agreement with the Company, the materials terms of which are set forth in the Registration Statements and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A total of $253,000,000, consisting of a portion of the proceeds received by the Company for the sale of the Private Placement Units and Class B Ordinary Shares, and the entirety of the proceeds received by the Company after deduction for commissions from the IPO, were placed in a U.S.-based trust account at JPMorgan Chase Bank, N.A. maintained by Continental Stock Transfer &amp; Trust Company, acting as trustee. Except with respect to interest earned on the funds held in the trust account that may be released to the Company to pay its taxes, the funds in the trust account will not be released from the trust account until the earliest to occur of: (i) the completion of the Company’s initial business combination, (ii) the redemption of any public shares properly submitted in connection with the implementation by the directors of, following a shareholder vote, an amendment to the Company’s amended and restated memorandum and articles of association (A) to modify the substance or timing of our obligation to provide for the redemption of our public shares in connection with an initial business combination or to redeem 100% of our public shares if the Company has not consummated its initial business combination within 24 months from the closing of the offering or (B) with respect to any other provisions relating to shareholders’ rights or pre-initial business combination activity, and (iii) the redemption of public shares absent an initial business combination within 24 months from the closing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An audited balance sheet as of October 7, 2025, reflecting receipt of the proceeds upon consummation of the IPO, the Private Placement Units and the sale of the Class B Ordinary Shares has been issued by the Company and is included as Exhibit 99.1 to this Current Report on Form 8-K.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60" w:type="dxa"/>
        <w:jc w:val="left"/>
        <w:tblInd w:w="0" w:type="dxa"/>
        <w:tblLayout w:type="fixed"/>
        <w:tblCellMar>
          <w:top w:w="0" w:type="dxa"/>
          <w:left w:w="0" w:type="dxa"/>
          <w:bottom w:w="0" w:type="dxa"/>
          <w:right w:w="0" w:type="dxa"/>
        </w:tblCellMar>
      </w:tblPr>
      <w:tblGrid>
        <w:gridCol w:w="305"/>
        <w:gridCol w:w="755"/>
      </w:tblGrid>
      <w:tr>
        <w:trPr/>
        <w:tc>
          <w:tcPr>
            <w:tcW w:w="305" w:type="dxa"/>
            <w:tcBorders/>
            <w:vAlign w:val="center"/>
          </w:tcPr>
          <w:p>
            <w:pPr>
              <w:pStyle w:val="TableContents"/>
              <w:bidi w:val="0"/>
              <w:spacing w:before="0" w:after="283"/>
              <w:jc w:val="left"/>
              <w:rPr>
                <w:i/>
              </w:rPr>
            </w:pPr>
            <w:r>
              <w:rPr>
                <w:i/>
              </w:rPr>
              <w:t>(d)</w:t>
            </w:r>
          </w:p>
        </w:tc>
        <w:tc>
          <w:tcPr>
            <w:tcW w:w="75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Exhibits</w:t>
            </w:r>
            <w:r>
              <w:rPr>
                <w:rFonts w:ascii="Times New Roman" w:hAnsi="Times New Roman"/>
                <w:sz w:val="20"/>
              </w:rPr>
              <w:t xml:space="preserve">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25"/>
        <w:gridCol w:w="120"/>
        <w:gridCol w:w="6515"/>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15" w:type="dxa"/>
            <w:tcBorders/>
            <w:vAlign w:val="center"/>
          </w:tcPr>
          <w:p>
            <w:pPr>
              <w:pStyle w:val="TableContents"/>
              <w:bidi w:val="0"/>
              <w:spacing w:before="0" w:after="283"/>
              <w:jc w:val="left"/>
              <w:rPr>
                <w:sz w:val="4"/>
                <w:szCs w:val="4"/>
              </w:rPr>
            </w:pPr>
            <w:r>
              <w:rPr>
                <w:sz w:val="4"/>
                <w:szCs w:val="4"/>
              </w:rPr>
            </w:r>
          </w:p>
        </w:tc>
      </w:tr>
      <w:tr>
        <w:trPr/>
        <w:tc>
          <w:tcPr>
            <w:tcW w:w="725" w:type="dxa"/>
            <w:tcBorders>
              <w:bottom w:val="single" w:sz="8" w:space="0" w:color="000000"/>
            </w:tcBorders>
            <w:tcMar>
              <w:bottom w:w="28" w:type="dxa"/>
            </w:tcMar>
            <w:vAlign w:val="center"/>
          </w:tcPr>
          <w:p>
            <w:pPr>
              <w:pStyle w:val="TableContents"/>
              <w:bidi w:val="0"/>
              <w:spacing w:before="0" w:after="283"/>
              <w:jc w:val="center"/>
              <w:rPr/>
            </w:pPr>
            <w:r>
              <w:rPr/>
              <w:t>Exhibit</w:t>
              <w:br/>
              <w:t>No.</w:t>
            </w:r>
          </w:p>
        </w:tc>
        <w:tc>
          <w:tcPr>
            <w:tcW w:w="120" w:type="dxa"/>
            <w:tcBorders/>
            <w:vAlign w:val="center"/>
          </w:tcPr>
          <w:p>
            <w:pPr>
              <w:pStyle w:val="TableContents"/>
              <w:bidi w:val="0"/>
              <w:spacing w:before="0" w:after="283"/>
              <w:jc w:val="left"/>
              <w:rPr/>
            </w:pPr>
            <w:r>
              <w:rPr/>
              <w:t>  </w:t>
            </w:r>
          </w:p>
        </w:tc>
        <w:tc>
          <w:tcPr>
            <w:tcW w:w="651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635"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283"/>
              <w:jc w:val="left"/>
              <w:rPr/>
            </w:pPr>
            <w:hyperlink w:anchor="d71695dex991.htm">
              <w:r>
                <w:rPr>
                  <w:rStyle w:val="InternetLink"/>
                </w:rPr>
                <w:t xml:space="preserve">Audited Balance Sheet of GigCapital8 Corp. as of October 7, 2025.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6635"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283"/>
              <w:jc w:val="left"/>
              <w:rPr/>
            </w:pPr>
            <w:r>
              <w:rPr/>
              <w:t>Cover Page Interactive Data File</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258"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2300"/>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b/>
              </w:rPr>
            </w:pPr>
            <w:r>
              <w:rPr>
                <w:b/>
              </w:rPr>
              <w:t>GIGCAPITAL8 CORP.</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Dated: October 14,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Dr. Avi S. Katz</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Dr. Avi S. Katz</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71695dex991.htm"/>
      <w:bookmarkStart w:id="3" w:name="ksd71695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GIGCAPITAL8 CORP. </w:t>
      </w:r>
    </w:p>
    <w:p>
      <w:pPr>
        <w:pStyle w:val="TextBody"/>
        <w:bidi w:val="0"/>
        <w:spacing w:before="240" w:after="0"/>
        <w:jc w:val="center"/>
        <w:rPr>
          <w:rFonts w:ascii="Times New Roman" w:hAnsi="Times New Roman"/>
          <w:b/>
          <w:sz w:val="20"/>
        </w:rPr>
      </w:pPr>
      <w:r>
        <w:rPr>
          <w:rFonts w:ascii="Times New Roman" w:hAnsi="Times New Roman"/>
          <w:b/>
          <w:sz w:val="20"/>
        </w:rPr>
        <w:t xml:space="preserve">Index to Balance Sheet and Notes to Balance Sheet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75"/>
        <w:gridCol w:w="151"/>
        <w:gridCol w:w="60"/>
        <w:gridCol w:w="356"/>
        <w:gridCol w:w="63"/>
      </w:tblGrid>
      <w:tr>
        <w:trPr/>
        <w:tc>
          <w:tcPr>
            <w:tcW w:w="957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Report of Independent Registered Public Accounting Firm (PCAOB ID: 207)</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F-2</w:t>
            </w:r>
          </w:p>
        </w:tc>
        <w:tc>
          <w:tcPr>
            <w:tcW w:w="63" w:type="dxa"/>
            <w:tcBorders/>
            <w:vAlign w:val="bottom"/>
          </w:tcPr>
          <w:p>
            <w:pPr>
              <w:pStyle w:val="TableContents"/>
              <w:bidi w:val="0"/>
              <w:spacing w:before="0" w:after="283"/>
              <w:jc w:val="left"/>
              <w:rPr/>
            </w:pPr>
            <w:r>
              <w:rPr/>
              <w:t> </w:t>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Balance Sheet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F-3</w:t>
            </w:r>
          </w:p>
        </w:tc>
        <w:tc>
          <w:tcPr>
            <w:tcW w:w="63" w:type="dxa"/>
            <w:tcBorders/>
            <w:vAlign w:val="bottom"/>
          </w:tcPr>
          <w:p>
            <w:pPr>
              <w:pStyle w:val="TableContents"/>
              <w:bidi w:val="0"/>
              <w:spacing w:before="0" w:after="283"/>
              <w:jc w:val="left"/>
              <w:rPr/>
            </w:pPr>
            <w:r>
              <w:rPr/>
              <w:t> </w:t>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Notes to Balance Sheet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F-4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and </w:t>
      </w:r>
    </w:p>
    <w:p>
      <w:pPr>
        <w:pStyle w:val="TextBody"/>
        <w:bidi w:val="0"/>
        <w:spacing w:before="0" w:after="0"/>
        <w:jc w:val="left"/>
        <w:rPr>
          <w:rFonts w:ascii="Times New Roman" w:hAnsi="Times New Roman"/>
          <w:sz w:val="20"/>
        </w:rPr>
      </w:pPr>
      <w:r>
        <w:rPr>
          <w:rFonts w:ascii="Times New Roman" w:hAnsi="Times New Roman"/>
          <w:sz w:val="20"/>
        </w:rPr>
        <w:t xml:space="preserve">Shareholders of GigCapital8 Corp.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balance sheet of GigCapital8 Corp. (a Cayman Islands exempted company) (the “Company”) as of October 7, 2025, and the related notes (collectively referred to as the “financial statement”). In our opinion, the financial statement presents fairly, in all material respects, the financial position of the Company as of October 7, 2025,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BPM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2025. </w:t>
      </w:r>
    </w:p>
    <w:p>
      <w:pPr>
        <w:pStyle w:val="TextBody"/>
        <w:bidi w:val="0"/>
        <w:spacing w:before="240" w:after="0"/>
        <w:jc w:val="left"/>
        <w:rPr>
          <w:rFonts w:ascii="Times New Roman" w:hAnsi="Times New Roman"/>
          <w:sz w:val="20"/>
        </w:rPr>
      </w:pPr>
      <w:r>
        <w:rPr>
          <w:rFonts w:ascii="Times New Roman" w:hAnsi="Times New Roman"/>
          <w:sz w:val="20"/>
        </w:rPr>
        <w:t xml:space="preserve">San Jose, California </w:t>
      </w:r>
    </w:p>
    <w:p>
      <w:pPr>
        <w:pStyle w:val="TextBody"/>
        <w:bidi w:val="0"/>
        <w:spacing w:before="0" w:after="0"/>
        <w:jc w:val="left"/>
        <w:rPr>
          <w:rFonts w:ascii="Times New Roman" w:hAnsi="Times New Roman"/>
          <w:sz w:val="20"/>
        </w:rPr>
      </w:pPr>
      <w:r>
        <w:rPr>
          <w:rFonts w:ascii="Times New Roman" w:hAnsi="Times New Roman"/>
          <w:sz w:val="20"/>
        </w:rPr>
        <w:t xml:space="preserve">October 14,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GigCapital8 Corp. </w:t>
      </w:r>
    </w:p>
    <w:p>
      <w:pPr>
        <w:pStyle w:val="TextBody"/>
        <w:bidi w:val="0"/>
        <w:spacing w:before="0" w:after="0"/>
        <w:jc w:val="center"/>
        <w:rPr>
          <w:rFonts w:ascii="Times New Roman" w:hAnsi="Times New Roman"/>
          <w:b/>
          <w:sz w:val="20"/>
        </w:rPr>
      </w:pPr>
      <w:r>
        <w:rPr>
          <w:rFonts w:ascii="Times New Roman" w:hAnsi="Times New Roman"/>
          <w:b/>
          <w:sz w:val="20"/>
        </w:rPr>
        <w:t xml:space="preserve">Balance Sheet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11"/>
        <w:gridCol w:w="141"/>
        <w:gridCol w:w="150"/>
        <w:gridCol w:w="1244"/>
        <w:gridCol w:w="159"/>
      </w:tblGrid>
      <w:tr>
        <w:trPr/>
        <w:tc>
          <w:tcPr>
            <w:tcW w:w="851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1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pPr>
            <w:r>
              <w:rPr>
                <w:b/>
              </w:rPr>
              <w:t>October7,</w:t>
            </w:r>
            <w:r>
              <w:rPr/>
              <w:br/>
            </w:r>
            <w:r>
              <w:rPr>
                <w:b/>
              </w:rPr>
              <w:t>2025</w:t>
            </w:r>
          </w:p>
        </w:tc>
        <w:tc>
          <w:tcPr>
            <w:tcW w:w="159" w:type="dxa"/>
            <w:tcBorders/>
            <w:vAlign w:val="bottom"/>
          </w:tcPr>
          <w:p>
            <w:pPr>
              <w:pStyle w:val="TableContents"/>
              <w:bidi w:val="0"/>
              <w:spacing w:before="0" w:after="283"/>
              <w:jc w:val="left"/>
              <w:rPr/>
            </w:pPr>
            <w:r>
              <w:rPr/>
              <w:t> </w:t>
            </w:r>
          </w:p>
        </w:tc>
      </w:tr>
      <w:tr>
        <w:trPr/>
        <w:tc>
          <w:tcPr>
            <w:tcW w:w="85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851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85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4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2,132,796</w:t>
            </w:r>
          </w:p>
        </w:tc>
        <w:tc>
          <w:tcPr>
            <w:tcW w:w="159" w:type="dxa"/>
            <w:tcBorders/>
            <w:shd w:fill="CCEEFF" w:val="clear"/>
            <w:vAlign w:val="bottom"/>
          </w:tcPr>
          <w:p>
            <w:pPr>
              <w:pStyle w:val="TableContents"/>
              <w:bidi w:val="0"/>
              <w:spacing w:before="0" w:after="283"/>
              <w:jc w:val="left"/>
              <w:rPr/>
            </w:pPr>
            <w:r>
              <w:rPr/>
              <w:t> </w:t>
            </w:r>
          </w:p>
        </w:tc>
      </w:tr>
      <w:tr>
        <w:trPr/>
        <w:tc>
          <w:tcPr>
            <w:tcW w:w="8511"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105,706</w:t>
            </w:r>
          </w:p>
        </w:tc>
        <w:tc>
          <w:tcPr>
            <w:tcW w:w="159" w:type="dxa"/>
            <w:tcBorders/>
            <w:vAlign w:val="bottom"/>
          </w:tcPr>
          <w:p>
            <w:pPr>
              <w:pStyle w:val="TableContents"/>
              <w:bidi w:val="0"/>
              <w:spacing w:before="0" w:after="283"/>
              <w:jc w:val="left"/>
              <w:rPr/>
            </w:pPr>
            <w:r>
              <w:rPr/>
              <w:t> </w:t>
            </w:r>
          </w:p>
        </w:tc>
      </w:tr>
      <w:tr>
        <w:trPr/>
        <w:tc>
          <w:tcPr>
            <w:tcW w:w="851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5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4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2,238,502</w:t>
            </w:r>
          </w:p>
        </w:tc>
        <w:tc>
          <w:tcPr>
            <w:tcW w:w="159" w:type="dxa"/>
            <w:tcBorders/>
            <w:shd w:fill="CCEEFF" w:val="clear"/>
            <w:vAlign w:val="bottom"/>
          </w:tcPr>
          <w:p>
            <w:pPr>
              <w:pStyle w:val="TableContents"/>
              <w:bidi w:val="0"/>
              <w:spacing w:before="0" w:after="283"/>
              <w:jc w:val="left"/>
              <w:rPr/>
            </w:pPr>
            <w:r>
              <w:rPr/>
              <w:t> </w:t>
            </w:r>
          </w:p>
        </w:tc>
      </w:tr>
      <w:tr>
        <w:trPr/>
        <w:tc>
          <w:tcPr>
            <w:tcW w:w="8511" w:type="dxa"/>
            <w:tcBorders/>
          </w:tcPr>
          <w:p>
            <w:pPr>
              <w:pStyle w:val="TableContents"/>
              <w:bidi w:val="0"/>
              <w:spacing w:before="0" w:after="0"/>
              <w:jc w:val="left"/>
              <w:rPr>
                <w:rFonts w:ascii="Times New Roman" w:hAnsi="Times New Roman"/>
                <w:sz w:val="20"/>
              </w:rPr>
            </w:pPr>
            <w:r>
              <w:rPr>
                <w:rFonts w:ascii="Times New Roman" w:hAnsi="Times New Roman"/>
                <w:sz w:val="20"/>
              </w:rPr>
              <w:t>Cash held in trust account</w:t>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253,000,000</w:t>
            </w:r>
          </w:p>
        </w:tc>
        <w:tc>
          <w:tcPr>
            <w:tcW w:w="159" w:type="dxa"/>
            <w:tcBorders/>
            <w:vAlign w:val="bottom"/>
          </w:tcPr>
          <w:p>
            <w:pPr>
              <w:pStyle w:val="TableContents"/>
              <w:bidi w:val="0"/>
              <w:spacing w:before="0" w:after="283"/>
              <w:jc w:val="left"/>
              <w:rPr/>
            </w:pPr>
            <w:r>
              <w:rPr/>
              <w:t> </w:t>
            </w:r>
          </w:p>
        </w:tc>
      </w:tr>
      <w:tr>
        <w:trPr/>
        <w:tc>
          <w:tcPr>
            <w:tcW w:w="8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4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70,481</w:t>
            </w:r>
          </w:p>
        </w:tc>
        <w:tc>
          <w:tcPr>
            <w:tcW w:w="159" w:type="dxa"/>
            <w:tcBorders/>
            <w:shd w:fill="CCEEFF" w:val="clear"/>
            <w:vAlign w:val="bottom"/>
          </w:tcPr>
          <w:p>
            <w:pPr>
              <w:pStyle w:val="TableContents"/>
              <w:bidi w:val="0"/>
              <w:spacing w:before="0" w:after="283"/>
              <w:jc w:val="left"/>
              <w:rPr/>
            </w:pPr>
            <w:r>
              <w:rPr/>
              <w:t> </w:t>
            </w:r>
          </w:p>
        </w:tc>
      </w:tr>
      <w:tr>
        <w:trPr/>
        <w:tc>
          <w:tcPr>
            <w:tcW w:w="851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51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255,308,983</w:t>
            </w:r>
          </w:p>
        </w:tc>
        <w:tc>
          <w:tcPr>
            <w:tcW w:w="159" w:type="dxa"/>
            <w:tcBorders/>
            <w:vAlign w:val="bottom"/>
          </w:tcPr>
          <w:p>
            <w:pPr>
              <w:pStyle w:val="TableContents"/>
              <w:bidi w:val="0"/>
              <w:spacing w:before="0" w:after="283"/>
              <w:jc w:val="left"/>
              <w:rPr/>
            </w:pPr>
            <w:r>
              <w:rPr/>
              <w:t> </w:t>
            </w:r>
          </w:p>
        </w:tc>
      </w:tr>
      <w:tr>
        <w:trPr/>
        <w:tc>
          <w:tcPr>
            <w:tcW w:w="851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5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REDEEMABLE ORDINARY SHARES AND SHAREHOLDERS’ EQUITY</w:t>
            </w:r>
          </w:p>
        </w:tc>
        <w:tc>
          <w:tcPr>
            <w:tcW w:w="14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851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85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183,627</w:t>
            </w:r>
          </w:p>
        </w:tc>
        <w:tc>
          <w:tcPr>
            <w:tcW w:w="159" w:type="dxa"/>
            <w:tcBorders/>
            <w:shd w:fill="CCEEFF" w:val="clear"/>
            <w:vAlign w:val="bottom"/>
          </w:tcPr>
          <w:p>
            <w:pPr>
              <w:pStyle w:val="TableContents"/>
              <w:bidi w:val="0"/>
              <w:spacing w:before="0" w:after="283"/>
              <w:jc w:val="left"/>
              <w:rPr/>
            </w:pPr>
            <w:r>
              <w:rPr/>
              <w:t> </w:t>
            </w:r>
          </w:p>
        </w:tc>
      </w:tr>
      <w:tr>
        <w:trPr/>
        <w:tc>
          <w:tcPr>
            <w:tcW w:w="8511"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429,551</w:t>
            </w:r>
          </w:p>
        </w:tc>
        <w:tc>
          <w:tcPr>
            <w:tcW w:w="159" w:type="dxa"/>
            <w:tcBorders/>
            <w:vAlign w:val="bottom"/>
          </w:tcPr>
          <w:p>
            <w:pPr>
              <w:pStyle w:val="TableContents"/>
              <w:bidi w:val="0"/>
              <w:spacing w:before="0" w:after="283"/>
              <w:jc w:val="left"/>
              <w:rPr/>
            </w:pPr>
            <w:r>
              <w:rPr/>
              <w:t> </w:t>
            </w:r>
          </w:p>
        </w:tc>
      </w:tr>
      <w:tr>
        <w:trPr/>
        <w:tc>
          <w:tcPr>
            <w:tcW w:w="851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5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4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613,178</w:t>
            </w:r>
          </w:p>
        </w:tc>
        <w:tc>
          <w:tcPr>
            <w:tcW w:w="159" w:type="dxa"/>
            <w:tcBorders/>
            <w:shd w:fill="CCEEFF" w:val="clear"/>
            <w:vAlign w:val="bottom"/>
          </w:tcPr>
          <w:p>
            <w:pPr>
              <w:pStyle w:val="TableContents"/>
              <w:bidi w:val="0"/>
              <w:spacing w:before="0" w:after="283"/>
              <w:jc w:val="left"/>
              <w:rPr/>
            </w:pPr>
            <w:r>
              <w:rPr/>
              <w:t> </w:t>
            </w:r>
          </w:p>
        </w:tc>
      </w:tr>
      <w:tr>
        <w:trPr/>
        <w:tc>
          <w:tcPr>
            <w:tcW w:w="851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511" w:type="dxa"/>
            <w:tcBorders/>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(Notes 3 and 4)</w:t>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85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 ordinary shares subject to possible redemption, par value of $0.0001 per share; 200,000,000 shares authorized; 25,300,000 shares at a redemption value of $10.00 per share</w:t>
            </w:r>
          </w:p>
        </w:tc>
        <w:tc>
          <w:tcPr>
            <w:tcW w:w="14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253,000,000</w:t>
            </w:r>
          </w:p>
        </w:tc>
        <w:tc>
          <w:tcPr>
            <w:tcW w:w="159" w:type="dxa"/>
            <w:tcBorders/>
            <w:shd w:fill="CCEEFF" w:val="clear"/>
            <w:vAlign w:val="bottom"/>
          </w:tcPr>
          <w:p>
            <w:pPr>
              <w:pStyle w:val="TableContents"/>
              <w:bidi w:val="0"/>
              <w:spacing w:before="0" w:after="283"/>
              <w:jc w:val="left"/>
              <w:rPr/>
            </w:pPr>
            <w:r>
              <w:rPr/>
              <w:t> </w:t>
            </w:r>
          </w:p>
        </w:tc>
      </w:tr>
      <w:tr>
        <w:trPr/>
        <w:tc>
          <w:tcPr>
            <w:tcW w:w="851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511"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8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shares, par value of $0.0001 per share; 1,000,000 shares authorized; none issue or outstanding</w:t>
            </w:r>
          </w:p>
        </w:tc>
        <w:tc>
          <w:tcPr>
            <w:tcW w:w="14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8511"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par value of $0.0001 per share; 200,000,000 shares authorized; 357,625 issued and outstanding (excludes 25,300,000 shares subject to possible redemption)</w:t>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36</w:t>
            </w:r>
          </w:p>
        </w:tc>
        <w:tc>
          <w:tcPr>
            <w:tcW w:w="159" w:type="dxa"/>
            <w:tcBorders/>
            <w:vAlign w:val="bottom"/>
          </w:tcPr>
          <w:p>
            <w:pPr>
              <w:pStyle w:val="TableContents"/>
              <w:bidi w:val="0"/>
              <w:spacing w:before="0" w:after="283"/>
              <w:jc w:val="left"/>
              <w:rPr/>
            </w:pPr>
            <w:r>
              <w:rPr/>
              <w:t> </w:t>
            </w:r>
          </w:p>
        </w:tc>
      </w:tr>
      <w:tr>
        <w:trPr/>
        <w:tc>
          <w:tcPr>
            <w:tcW w:w="8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ordinary shares, par value of $0.0001 per share; 20,000,000 shares authorized; 10,814,432 shares issued and outstanding</w:t>
            </w:r>
          </w:p>
        </w:tc>
        <w:tc>
          <w:tcPr>
            <w:tcW w:w="14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1,081</w:t>
            </w:r>
          </w:p>
        </w:tc>
        <w:tc>
          <w:tcPr>
            <w:tcW w:w="159" w:type="dxa"/>
            <w:tcBorders/>
            <w:shd w:fill="CCEEFF" w:val="clear"/>
            <w:vAlign w:val="bottom"/>
          </w:tcPr>
          <w:p>
            <w:pPr>
              <w:pStyle w:val="TableContents"/>
              <w:bidi w:val="0"/>
              <w:spacing w:before="0" w:after="283"/>
              <w:jc w:val="left"/>
              <w:rPr/>
            </w:pPr>
            <w:r>
              <w:rPr/>
              <w:t> </w:t>
            </w:r>
          </w:p>
        </w:tc>
      </w:tr>
      <w:tr>
        <w:trPr/>
        <w:tc>
          <w:tcPr>
            <w:tcW w:w="851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1,787,095</w:t>
            </w:r>
          </w:p>
        </w:tc>
        <w:tc>
          <w:tcPr>
            <w:tcW w:w="159" w:type="dxa"/>
            <w:tcBorders/>
            <w:vAlign w:val="bottom"/>
          </w:tcPr>
          <w:p>
            <w:pPr>
              <w:pStyle w:val="TableContents"/>
              <w:bidi w:val="0"/>
              <w:spacing w:before="0" w:after="283"/>
              <w:jc w:val="left"/>
              <w:rPr/>
            </w:pPr>
            <w:r>
              <w:rPr/>
              <w:t> </w:t>
            </w:r>
          </w:p>
        </w:tc>
      </w:tr>
      <w:tr>
        <w:trPr/>
        <w:tc>
          <w:tcPr>
            <w:tcW w:w="8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4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(92,407</w:t>
            </w:r>
          </w:p>
        </w:tc>
        <w:tc>
          <w:tcPr>
            <w:tcW w:w="159" w:type="dxa"/>
            <w:tcBorders/>
            <w:shd w:fill="CCEEFF" w:val="clear"/>
            <w:vAlign w:val="bottom"/>
          </w:tcPr>
          <w:p>
            <w:pPr>
              <w:pStyle w:val="TableContents"/>
              <w:bidi w:val="0"/>
              <w:spacing w:before="0" w:after="283"/>
              <w:jc w:val="left"/>
              <w:rPr/>
            </w:pPr>
            <w:r>
              <w:rPr/>
              <w:t>) </w:t>
            </w:r>
          </w:p>
        </w:tc>
      </w:tr>
      <w:tr>
        <w:trPr/>
        <w:tc>
          <w:tcPr>
            <w:tcW w:w="851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51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1,695,805</w:t>
            </w:r>
          </w:p>
        </w:tc>
        <w:tc>
          <w:tcPr>
            <w:tcW w:w="159" w:type="dxa"/>
            <w:tcBorders/>
            <w:vAlign w:val="bottom"/>
          </w:tcPr>
          <w:p>
            <w:pPr>
              <w:pStyle w:val="TableContents"/>
              <w:bidi w:val="0"/>
              <w:spacing w:before="0" w:after="283"/>
              <w:jc w:val="left"/>
              <w:rPr/>
            </w:pPr>
            <w:r>
              <w:rPr/>
              <w:t> </w:t>
            </w:r>
          </w:p>
        </w:tc>
      </w:tr>
      <w:tr>
        <w:trPr/>
        <w:tc>
          <w:tcPr>
            <w:tcW w:w="851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5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REDEEMABLE ORDINARY SHARES AND SHAREHOLDERS’ EQUITY</w:t>
            </w:r>
          </w:p>
        </w:tc>
        <w:tc>
          <w:tcPr>
            <w:tcW w:w="14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255,308,983</w:t>
            </w:r>
          </w:p>
        </w:tc>
        <w:tc>
          <w:tcPr>
            <w:tcW w:w="159" w:type="dxa"/>
            <w:tcBorders/>
            <w:shd w:fill="CCEEFF" w:val="clear"/>
            <w:vAlign w:val="bottom"/>
          </w:tcPr>
          <w:p>
            <w:pPr>
              <w:pStyle w:val="TableContents"/>
              <w:bidi w:val="0"/>
              <w:spacing w:before="0" w:after="283"/>
              <w:jc w:val="left"/>
              <w:rPr/>
            </w:pPr>
            <w:r>
              <w:rPr/>
              <w:t> </w:t>
            </w:r>
          </w:p>
        </w:tc>
      </w:tr>
      <w:tr>
        <w:trPr/>
        <w:tc>
          <w:tcPr>
            <w:tcW w:w="851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this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GIGCAPITAL8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BALANCE SHEET </w:t>
      </w:r>
    </w:p>
    <w:p>
      <w:pPr>
        <w:pStyle w:val="TextBody"/>
        <w:bidi w:val="0"/>
        <w:spacing w:before="360" w:after="0"/>
        <w:jc w:val="left"/>
        <w:rPr>
          <w:rFonts w:ascii="Times New Roman" w:hAnsi="Times New Roman"/>
          <w:b/>
          <w:sz w:val="20"/>
        </w:rPr>
      </w:pPr>
      <w:r>
        <w:rPr>
          <w:rFonts w:ascii="Times New Roman" w:hAnsi="Times New Roman"/>
          <w:b/>
          <w:sz w:val="20"/>
        </w:rPr>
        <w:t xml:space="preserve">1. DESCRIPTION OF ORGANIZATION AND BUSINESS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Organization and General </w:t>
      </w:r>
    </w:p>
    <w:p>
      <w:pPr>
        <w:pStyle w:val="TextBody"/>
        <w:bidi w:val="0"/>
        <w:spacing w:before="120" w:after="0"/>
        <w:jc w:val="left"/>
        <w:rPr>
          <w:rFonts w:ascii="Times New Roman" w:hAnsi="Times New Roman"/>
          <w:sz w:val="20"/>
        </w:rPr>
      </w:pPr>
      <w:r>
        <w:rPr>
          <w:rFonts w:ascii="Times New Roman" w:hAnsi="Times New Roman"/>
          <w:sz w:val="20"/>
        </w:rPr>
        <w:t xml:space="preserve">GigCapital8 Corp. (the “Company”) was incorporated as a Cayman Islands exempted company on June 30, 2025. The Company was formed for the purpose of effecting a merger, capital share exchange, asset acquisition, share purchase, reorganization or similar business combination with one or more businesses (the “Business Combination”). The Company will be an “emerging growth company,” as defined in Section 2(a) of the Securities Act of 1933, as amended (the “Securities Act”), as modified by the Jumpstart Our Business Startups Act of 2012 (the “JOBS Act”). The Company’s sponsor is GigAcquisitions8 Corp., a Cayman Island exempted company (the “Sponsor” and is sometimes referred to as the “Founder”). </w:t>
      </w:r>
    </w:p>
    <w:p>
      <w:pPr>
        <w:pStyle w:val="TextBody"/>
        <w:bidi w:val="0"/>
        <w:spacing w:before="240" w:after="0"/>
        <w:jc w:val="left"/>
        <w:rPr>
          <w:rFonts w:ascii="Times New Roman" w:hAnsi="Times New Roman"/>
          <w:sz w:val="20"/>
        </w:rPr>
      </w:pPr>
      <w:r>
        <w:rPr>
          <w:rFonts w:ascii="Times New Roman" w:hAnsi="Times New Roman"/>
          <w:sz w:val="20"/>
        </w:rPr>
        <w:t xml:space="preserve">As of October 7, 2025, the Company had not commenced any operations. All activity for the period from June 30, 2025 (date of inception) through October 7, 2025 relates to the Company’s formation and the initial public offering (the “Offering”) described below. The Company will not generate any operating revenues until after completion of the Business Combination, at the earliest. The Company will generate non-operating income in the form of interest income on cash and cash equivalents from the proceeds derived from the Offering. The Company has selected December 31 as its fiscal year end. </w:t>
      </w:r>
    </w:p>
    <w:p>
      <w:pPr>
        <w:pStyle w:val="TextBody"/>
        <w:bidi w:val="0"/>
        <w:spacing w:before="240" w:after="0"/>
        <w:jc w:val="left"/>
        <w:rPr>
          <w:rFonts w:ascii="Times New Roman" w:hAnsi="Times New Roman"/>
          <w:sz w:val="20"/>
        </w:rPr>
      </w:pPr>
      <w:r>
        <w:rPr>
          <w:rFonts w:ascii="Times New Roman" w:hAnsi="Times New Roman"/>
          <w:sz w:val="20"/>
        </w:rPr>
        <w:t xml:space="preserve">On September 30, 2025, the Registration Statement on Form S-1 (File No. 333-289479), as amended (the “Registration Statement”), relating to the Offering of the Company was declared effective by the Securities and Exchange Commission (the “SEC”).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entered into an underwriting agreement with D. Boral Capital LLC (the “Underwriter”) on October 3, 2025 to conduct the Offering of 22,000,000 units (the “Units”) in the amount of $220.0 million in gross proceeds, with a 45-day option provided to the Underwriter to purchase up to 3,300,000 additional Units solely to cover over-allotments, if any, in the amount of up to $33.0 million in additional gross proceeds. Each Unit consists of one share of the Company’s Class A ordinary shares, $0.0001 par value, and one right to receive one-fifth (1/5) of one Class A ordinary share upon the consummation of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2025, the Company consummated the Offering of 25,300,000 Units, including the issuance of 3,300,000 Units as a result of the Underwriter’s exercise in full of their over-allotment option. The Units were sold at a price of $10.00 per Unit, generating gross proceeds to the Company of $253,000,000. </w:t>
      </w:r>
    </w:p>
    <w:p>
      <w:pPr>
        <w:pStyle w:val="TextBody"/>
        <w:bidi w:val="0"/>
        <w:spacing w:before="240" w:after="0"/>
        <w:jc w:val="left"/>
        <w:rPr>
          <w:rFonts w:ascii="Times New Roman" w:hAnsi="Times New Roman"/>
          <w:sz w:val="20"/>
        </w:rPr>
      </w:pPr>
      <w:r>
        <w:rPr>
          <w:rFonts w:ascii="Times New Roman" w:hAnsi="Times New Roman"/>
          <w:sz w:val="20"/>
        </w:rPr>
        <w:t xml:space="preserve">Certain institutional accredited investors (none of which are affiliated with any member of management, the Sponsor or any other investor (the “non-managing investors”)) purchased an aggregate of (a) 2,964,203 Class B ordinary shares (the “Private Investor Shares”) at a purchase price per Class B ordinary share of $0.023254, and (b) an aggregate of 262,425 private placement units consisting of one Class A ordinary share and one right to receive one-fifth (1/5) of one Class A ordinary share upon consummation of the initial Business Combination at a price of $9.7374 per unit in a private placement that occurred simultaneously with the completion of the Offering (the “Private Placement Unit”) for an aggregate purchase price of $2,624,266. The Private Investor Shares along with the Founder Shares (as defined below - see Note 4) collectively represent 30% of the outstanding ordinary shares, excluding the private placement shares that are an underlying security to the Private Placement Units. The private placement proceeds will be used to pay for business, legal and accounting due diligence expenses on acquisition targets and continuing general and administration expenses.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Offering, net proceeds in the amount of $253,000,000 from the sale of the Units in the Offering were placed in a trust account (the “Trust Account”)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$1,788,054, consisting of $1,025,000 of underwriting fees and $763,054 of offering costs. The Company’s remaining cash after payment of the offering costs is held outside of the Trust Account for working capital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Trust Account </w:t>
      </w:r>
    </w:p>
    <w:p>
      <w:pPr>
        <w:pStyle w:val="TextBody"/>
        <w:bidi w:val="0"/>
        <w:spacing w:before="120" w:after="0"/>
        <w:jc w:val="left"/>
        <w:rPr>
          <w:rFonts w:ascii="Times New Roman" w:hAnsi="Times New Roman"/>
          <w:sz w:val="20"/>
        </w:rPr>
      </w:pPr>
      <w:r>
        <w:rPr>
          <w:rFonts w:ascii="Times New Roman" w:hAnsi="Times New Roman"/>
          <w:sz w:val="20"/>
        </w:rPr>
        <w:t xml:space="preserve">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an initial Business Combination or (ii) the distribution of the Trust Account as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Company’s memorandum and articles of association provides that, other than the withdrawal of interest to pay taxes none of the funds held in the Trust Account will be released until the earlier of: (1) the completion of an initial Business Combination; (2) the redemption of 100% of the outstanding public shares if the Company has not completed an initial Business Combination within 24 months from the closing of the Offering or (3) the redemption of any public shares properly tendered in connection with a shareholder vote to amend the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Offering, although substantially all of the net proceeds of the Offering are intended to be generally applied toward consummating a Business Combination with (or acquisition of) a Target Business. As used herein, “Target Business” must be with one or more target businesses that together have a fair market value equal to at least 80% of the balance in the Trust Account (less withdrawals to pay taxes, if any, and such withdrawals can only be made from interest and not from the principal held in the Trust Account) at the time the Company signs a definitive agreement in connection with the Business Combination. There is no assurance that the Company will be able to successfully effect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after signing a definitive agreement for a Business Combination, will either (i) seek shareholder approval of the Business Combination at a meeting called for such purpose in connection with which shareholders may seek to redeem their shares, regardless of whether they vote for or against the Business Combination, for cash equal to their pro rata share of the aggregate amount then on deposit in the Trust Account as of two business days prior to the consummation of the initial Business Combination, including interest but less taxes payable, or (ii) provide shareholders with the opportunity to have their shares redeemed by the Company by means of a tender offer (and thereby avoid the need for a shareholder vote) for an amount in cash equal to their pro rata share of the aggregate amount then on deposit in the Trust Account as of two business days prior to commencement of the tender offer, including interest but less taxes payable. The decision as to whether the Company will seek shareholder approval of the Business Combination or will allow shareholders to redeem their shares in a tender offer will be made by the Company, solely in its discretion, and will be based on a variety of factors such as the timing of the transaction and whether the terms of the transaction would otherwise require the Company to seek shareholder approval unless a vote is required by the Nasdaq Stock Market LLC (“Nasdaq”) rules. If the Company seeks shareholder approval, it will complete its Business Combination only if a majority of the outstanding shares are voted in favor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holds a shareholder vote or there is a tender offer for shares in connection with the Business Combination, a public shareholder will have the right to redeem its shares for an amount in cash equal to its pro rata share of the aggregate amount then on deposit in the Trust Account as of two business days prior to the consummation of the initial Business Combination, including interest but less taxes payable. As a result, such ordinary shares are recorded at redemption amount and classified as temporary equity. The amount in the Trust Account of $253,000,000 represents 25,300,000 public shares at $10.00 per public share.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24 months from the closing date of the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but less amounts withdrawn to pay taxes, if any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Sponsor and those certain institutional investors participating in the private placement each entered into agreements with the Company, pursuant to which they will agree: (1) to waive their redemption rights with respect to their Founder Shares, Private Investor Shares, private placement shares and any Class A ordinary shares issuable upon conversion thereof in connection with the consummation of the Company’s initial Business Combination or a tender offer conducted prior to a Business Combination or in connection with it; (2) to waive their rights to liquidating distributions from the Trust Account with respect to their Founder Shares, Private Investor Shares and private placement shares if the Company fails to complete an initial Business Combination within 24 months from the closing of the Offering, although they will be entitled to liquidating distributions from the Trust Account with respect to any public shares they hold if the Company fails to complete an initial Business Combination within the prescribed time frame; and (3) to waive their redemption rights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their Founder Shares,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an initial Business Combination or with respect to any other provision relating to shareholders’ rights or pre-business combination activity.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such distribution, it is possible that the per share value of the residual assets remaining available for distribution (including Trust Account assets) will be less than the initial public offering price per unit in the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the Offering, the Company lacked the liquidity it needed to sustain operations for a reasonable period of time, which is considered to be one year from the issuance date of the financial statement. The Company has since completed its Offering at which time capital in excess of the funds deposited in the Trust Account and/or used to fund Offering expenses was released to the Company for general working capital purposes. Accordingly, management has since re-evaluated the Company’s liquidity and financial condition and determined that sufficient capital exists to sustain operations for at least one year from the date that the financial statement was issued, and therefore the substantial doubt has been alleviated.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financial statement of the Company has been prepared in conformity with accounting principles generally accepted in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of a cash account and the Trust Account in financial institutions, which at times, may exceed federally insured limits. The Company has not experienced losses on these accounts and management believes the Company is not exposed to significant risks on such accounts.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a maturity of three months or less when purchased to be cash equivalents. The Company did not have any cash equivalents as of October 7,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Marketable Securities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As of October 7, 2025, the assets held in the Trust Account consisted of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Accounting Standards Codification (“ASC”) 340-10-S99-1 and SEC Staff Accounting Bulletin (“SAB”) Topic 5A – “Expenses of Offering.” Offering costs in the amount of $1,788,054 consist principally of professional and registration fees incurred through the balance sheet date that are related to the Offering. Offering costs were allocated to the separable financial instruments issued in the Offering based on a relative fair value basis, compared to total proceeds received. Offering costs allocated to the public shares were charged to temporary equity and Offering costs allocated to public rights (as defined in Note 3) were charged to shareholders’ equity upon the completion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Class A Ordinary Shares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(deficit). The Company’s Class A ordinary shares feature certain redemption rights that are considered to be outside of the Company’s control and subject to occurrence of uncertain future events. Accordingly, as of October 7, 2025, Class A ordinary shares subject to possible redemption are presented at redemption value as temporary equity, outside of the shareholders’ equity section of the Company’s balance sheet. Immediately upon the closing of the Offering, the Company recognized the accretion from initial book value to redemption value. The change in the carrying value of redeemable ordinary shares resulted in charges against additional paid-in capital. As of October 7, 2025, 25,300,000 shares of Class A ordinary shares were issued and outstanding and subject to possible redemption. </w:t>
      </w:r>
    </w:p>
    <w:p>
      <w:pPr>
        <w:pStyle w:val="TextBody"/>
        <w:bidi w:val="0"/>
        <w:spacing w:before="240" w:after="0"/>
        <w:jc w:val="left"/>
        <w:rPr>
          <w:rFonts w:ascii="Times New Roman" w:hAnsi="Times New Roman"/>
          <w:sz w:val="20"/>
        </w:rPr>
      </w:pPr>
      <w:r>
        <w:rPr>
          <w:rFonts w:ascii="Times New Roman" w:hAnsi="Times New Roman"/>
          <w:sz w:val="20"/>
        </w:rPr>
        <w:t xml:space="preserve">As of October 7, 2025, the Class A ordinary shares subject to possible redemption reflected on the balance sheet are reconciled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41"/>
        <w:gridCol w:w="433"/>
        <w:gridCol w:w="227"/>
        <w:gridCol w:w="2081"/>
        <w:gridCol w:w="157"/>
      </w:tblGrid>
      <w:tr>
        <w:trPr/>
        <w:tc>
          <w:tcPr>
            <w:tcW w:w="4041"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23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October 7, 2025</w:t>
            </w:r>
          </w:p>
        </w:tc>
        <w:tc>
          <w:tcPr>
            <w:tcW w:w="157" w:type="dxa"/>
            <w:tcBorders/>
            <w:vAlign w:val="bottom"/>
          </w:tcPr>
          <w:p>
            <w:pPr>
              <w:pStyle w:val="TableContents"/>
              <w:bidi w:val="0"/>
              <w:spacing w:before="0" w:after="283"/>
              <w:jc w:val="left"/>
              <w:rPr/>
            </w:pPr>
            <w:r>
              <w:rPr/>
              <w:t> </w:t>
            </w:r>
          </w:p>
        </w:tc>
      </w:tr>
      <w:tr>
        <w:trPr/>
        <w:tc>
          <w:tcPr>
            <w:tcW w:w="40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43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2081" w:type="dxa"/>
            <w:tcBorders/>
            <w:shd w:fill="CCEEFF" w:val="clear"/>
            <w:vAlign w:val="bottom"/>
          </w:tcPr>
          <w:p>
            <w:pPr>
              <w:pStyle w:val="TableContents"/>
              <w:bidi w:val="0"/>
              <w:spacing w:before="0" w:after="283"/>
              <w:jc w:val="right"/>
              <w:rPr/>
            </w:pPr>
            <w:r>
              <w:rPr/>
              <w:t>253,000,000</w:t>
            </w:r>
          </w:p>
        </w:tc>
        <w:tc>
          <w:tcPr>
            <w:tcW w:w="157" w:type="dxa"/>
            <w:tcBorders/>
            <w:shd w:fill="CCEEFF" w:val="clear"/>
            <w:vAlign w:val="bottom"/>
          </w:tcPr>
          <w:p>
            <w:pPr>
              <w:pStyle w:val="TableContents"/>
              <w:bidi w:val="0"/>
              <w:spacing w:before="0" w:after="283"/>
              <w:jc w:val="left"/>
              <w:rPr/>
            </w:pPr>
            <w:r>
              <w:rPr/>
              <w:t> </w:t>
            </w:r>
          </w:p>
        </w:tc>
      </w:tr>
      <w:tr>
        <w:trPr/>
        <w:tc>
          <w:tcPr>
            <w:tcW w:w="4041"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43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sz w:val="4"/>
                <w:szCs w:val="4"/>
              </w:rPr>
            </w:pPr>
            <w:r>
              <w:rPr>
                <w:sz w:val="4"/>
                <w:szCs w:val="4"/>
              </w:rPr>
            </w:r>
          </w:p>
        </w:tc>
        <w:tc>
          <w:tcPr>
            <w:tcW w:w="208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40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allocated to public rights</w:t>
            </w:r>
          </w:p>
        </w:tc>
        <w:tc>
          <w:tcPr>
            <w:tcW w:w="43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2081" w:type="dxa"/>
            <w:tcBorders/>
            <w:shd w:fill="CCEEFF" w:val="clear"/>
            <w:vAlign w:val="bottom"/>
          </w:tcPr>
          <w:p>
            <w:pPr>
              <w:pStyle w:val="TableContents"/>
              <w:bidi w:val="0"/>
              <w:spacing w:before="0" w:after="283"/>
              <w:jc w:val="right"/>
              <w:rPr/>
            </w:pPr>
            <w:r>
              <w:rPr/>
              <w:t>(10,626,000</w:t>
            </w:r>
          </w:p>
        </w:tc>
        <w:tc>
          <w:tcPr>
            <w:tcW w:w="157" w:type="dxa"/>
            <w:tcBorders/>
            <w:shd w:fill="CCEEFF" w:val="clear"/>
            <w:vAlign w:val="bottom"/>
          </w:tcPr>
          <w:p>
            <w:pPr>
              <w:pStyle w:val="TableContents"/>
              <w:bidi w:val="0"/>
              <w:spacing w:before="0" w:after="283"/>
              <w:jc w:val="left"/>
              <w:rPr/>
            </w:pPr>
            <w:r>
              <w:rPr/>
              <w:t>) </w:t>
            </w:r>
          </w:p>
        </w:tc>
      </w:tr>
      <w:tr>
        <w:trPr/>
        <w:tc>
          <w:tcPr>
            <w:tcW w:w="4041"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 issuance costs</w:t>
            </w:r>
          </w:p>
        </w:tc>
        <w:tc>
          <w:tcPr>
            <w:tcW w:w="43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081" w:type="dxa"/>
            <w:tcBorders/>
            <w:vAlign w:val="bottom"/>
          </w:tcPr>
          <w:p>
            <w:pPr>
              <w:pStyle w:val="TableContents"/>
              <w:bidi w:val="0"/>
              <w:spacing w:before="0" w:after="283"/>
              <w:jc w:val="right"/>
              <w:rPr/>
            </w:pPr>
            <w:r>
              <w:rPr/>
              <w:t>(1,712,956</w:t>
            </w:r>
          </w:p>
        </w:tc>
        <w:tc>
          <w:tcPr>
            <w:tcW w:w="157" w:type="dxa"/>
            <w:tcBorders/>
            <w:vAlign w:val="bottom"/>
          </w:tcPr>
          <w:p>
            <w:pPr>
              <w:pStyle w:val="TableContents"/>
              <w:bidi w:val="0"/>
              <w:spacing w:before="0" w:after="283"/>
              <w:jc w:val="left"/>
              <w:rPr/>
            </w:pPr>
            <w:r>
              <w:rPr/>
              <w:t>) </w:t>
            </w:r>
          </w:p>
        </w:tc>
      </w:tr>
      <w:tr>
        <w:trPr/>
        <w:tc>
          <w:tcPr>
            <w:tcW w:w="40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3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208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4041"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43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081" w:type="dxa"/>
            <w:tcBorders/>
            <w:vAlign w:val="bottom"/>
          </w:tcPr>
          <w:p>
            <w:pPr>
              <w:pStyle w:val="TableContents"/>
              <w:bidi w:val="0"/>
              <w:spacing w:before="0" w:after="283"/>
              <w:jc w:val="right"/>
              <w:rPr/>
            </w:pPr>
            <w:r>
              <w:rPr/>
              <w:t>12,338,956</w:t>
            </w:r>
          </w:p>
        </w:tc>
        <w:tc>
          <w:tcPr>
            <w:tcW w:w="157" w:type="dxa"/>
            <w:tcBorders/>
            <w:vAlign w:val="bottom"/>
          </w:tcPr>
          <w:p>
            <w:pPr>
              <w:pStyle w:val="TableContents"/>
              <w:bidi w:val="0"/>
              <w:spacing w:before="0" w:after="283"/>
              <w:jc w:val="left"/>
              <w:rPr/>
            </w:pPr>
            <w:r>
              <w:rPr/>
              <w:t> </w:t>
            </w:r>
          </w:p>
        </w:tc>
      </w:tr>
      <w:tr>
        <w:trPr/>
        <w:tc>
          <w:tcPr>
            <w:tcW w:w="4041"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208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0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w:t>
            </w:r>
          </w:p>
        </w:tc>
        <w:tc>
          <w:tcPr>
            <w:tcW w:w="43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2081" w:type="dxa"/>
            <w:tcBorders/>
            <w:shd w:fill="CCEEFF" w:val="clear"/>
            <w:vAlign w:val="bottom"/>
          </w:tcPr>
          <w:p>
            <w:pPr>
              <w:pStyle w:val="TableContents"/>
              <w:bidi w:val="0"/>
              <w:spacing w:before="0" w:after="283"/>
              <w:jc w:val="right"/>
              <w:rPr/>
            </w:pPr>
            <w:r>
              <w:rPr/>
              <w:t>253,000,000</w:t>
            </w:r>
          </w:p>
        </w:tc>
        <w:tc>
          <w:tcPr>
            <w:tcW w:w="157" w:type="dxa"/>
            <w:tcBorders/>
            <w:shd w:fill="CCEEFF" w:val="clear"/>
            <w:vAlign w:val="bottom"/>
          </w:tcPr>
          <w:p>
            <w:pPr>
              <w:pStyle w:val="TableContents"/>
              <w:bidi w:val="0"/>
              <w:spacing w:before="0" w:after="283"/>
              <w:jc w:val="left"/>
              <w:rPr/>
            </w:pPr>
            <w:r>
              <w:rPr/>
              <w:t> </w:t>
            </w:r>
          </w:p>
        </w:tc>
      </w:tr>
      <w:tr>
        <w:trPr/>
        <w:tc>
          <w:tcPr>
            <w:tcW w:w="4041"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208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approximates the carrying amounts represented in the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accounting principles generally accepted in the United States of America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assesses performance for the single segment and decides how to allocate resources based on net income or loss that also is reported on the statement of operations and comprehensive loss as net income or loss. The key measures of segment profit or loss reviewed by the CODM are general and administrative expenses. General and administrative expenses are reviewed and monitored by the CODM to manage and forecast cash to ensure enough capital is available to complete a Business Combination within the business combination period. The CODM also reviews general and administrative expenses to manage, maintain and enforce all contractual agreements to ensure costs are aligned with all agreements and budget.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The Company follows the asset and liability method of accounting for income taxes under ASC 740, “</w:t>
      </w:r>
      <w:r>
        <w:rPr>
          <w:rFonts w:ascii="Times New Roman" w:hAnsi="Times New Roman"/>
          <w:i/>
          <w:sz w:val="20"/>
        </w:rPr>
        <w:t>Income Taxes</w:t>
      </w:r>
      <w:r>
        <w:rPr>
          <w:rFonts w:ascii="Times New Roman" w:hAnsi="Times New Roman"/>
          <w:sz w:val="20"/>
        </w:rPr>
        <w:t xml:space="preserve">” (“ASC 740”).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October 7, 2025.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 As such, the Company’s tax provision was zero for the period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accounted for the public and private placement rights issued in connection with the Offering and the private placement in accordance with the guidance contained in ASC Topic 815, “Derivatives and Hedging”. Accordingly, the Company evaluated and classified the rights under equity treatment at their assigned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believe that any recently issued, but not yet effective, accounting pronouncements, if currently adopted, would have a material effect on the Company’s balance sheet. </w:t>
      </w:r>
    </w:p>
    <w:p>
      <w:pPr>
        <w:pStyle w:val="TextBody"/>
        <w:bidi w:val="0"/>
        <w:spacing w:before="360" w:after="0"/>
        <w:jc w:val="left"/>
        <w:rPr>
          <w:rFonts w:ascii="Times New Roman" w:hAnsi="Times New Roman"/>
          <w:b/>
          <w:sz w:val="20"/>
        </w:rPr>
      </w:pPr>
      <w:r>
        <w:rPr>
          <w:rFonts w:ascii="Times New Roman" w:hAnsi="Times New Roman"/>
          <w:b/>
          <w:sz w:val="20"/>
        </w:rPr>
        <w:t xml:space="preserve">3. OFFERING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2025 the Company completed the Offering whereby the Company sold 25,300,000 Units at a price of $10.00 per Unit. Each Unit consists of one share of the Company’s Class A ordinary shares, $0.0001 par value and one right to receive one-fifth (1/5) of one Class A ordinary share upon consummation of the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 rights upon closing of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paid an underwriting discount of $0.0405 per Unit to the Underwriter at the closing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non-managing investors purchased an aggregate of (a) 2,964,203 Class B ordinary shares at a purchase price per Class B ordinary share of $0.023254, and (b) an aggregate of 262,425 Private Placement Units consisting of one Class A ordinary share and one right to receive one-fifth (1/5) of one Class A ordinary share upon consummation of the initial Business Combination at a price of $9.7374 per unit in a private placement that occurred simultaneously with the completion of the Offering for an aggregate purchase price of $2,624,266. The Private Investor Shares along with the Founder Shares collectively represent 30% of the outstanding ordinary shares, excluding the private placement shares that are an underlying security to the Private Placement Units. The private placement proceeds will be used to pay for business, legal and accounting due diligence expenses on acquisition targets and continuing general and administration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4.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June 30, 2025 (date of inception), one Class B ordinary share that was allotted to Harneys Fiduciary (Cayman) Limited (“Harneys Fiduciary”) upon the Company’s formation was transferred by Harneys Fiduciary to the Founder and 8,099,613 Class B ordinary shares (the 8,099,614 Class B ordinary shares collectively are the “Founder Shares”) were issued to the Founder for an aggregate purchase price of $25,000. On July 18, 2025, the Founder surrendered 249,385 Class B ordinary shares to the Company (which were cancelled) for no consideration, with the resulting 7,850,229 Founder Shares paid for at a purchase price of $0.00318 per share. On October 3, 2025, the Sponsor transferred 5,000 Founder Shares to its Chief Financial Officer, solely in consideration of future services. The 5,000 Founder Shares granted to the Chief Financial Officer are subject to forfeiture back to the Sponsor in the event the Chief Financial Officer resigns or is removed for cause prior to consummation of an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the consummation of the Offering the Founder sold 375,397 Founder Shares in the aggregate to four board nominees (“Insiders”) at an aggregate price of $9,244, or $0.02462 per share, and 1,416,665 Founder Shares to Lynrock Lake Master Fund LP (“Lynrock”) at an aggregate price of $13,130. Following this sale of Founders Shares, the Founder holds 6,053,167 Founder Shares, and the price paid by the Founder for the 6,053,167 Founder Shares which it is retaining will be $2,626, or $0.000434 per share. The Class B ordinary shares owned by the Founder, Insiders, Lynrock and non-managing investors represents 30% of the Company’s issued and outstanding Class A and Class B ordinary shares after the Offering, excluding the private placement shares that are an underlying security to the Private Placement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Units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Offering, the Founder, Insiders and Lynrock purchased from the Company 95,200 Private Placement Units pursuant to a Unit Purchase Agreement. In addition, as discussed in Note 3, the non-managing investors purchased 262,425 Private Placement Units at a price of $9.7374 per Private Placement Unit. Each five rights included in the Private Placement Units entitle the holder thereof to receive one Class A ordinary share upon the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their rights upon closing of an initial Business Combination. If the Company is unable to complete an initial Business Combination within the required time period and, as a result, the Company redeems the public shares for the funds held in the trust account, holders of rights will not receive any of such funds for their rights and the rights will expire worthless. </w:t>
      </w:r>
    </w:p>
    <w:p>
      <w:pPr>
        <w:pStyle w:val="TextBody"/>
        <w:bidi w:val="0"/>
        <w:spacing w:before="240" w:after="0"/>
        <w:jc w:val="left"/>
        <w:rPr>
          <w:rFonts w:ascii="Times New Roman" w:hAnsi="Times New Roman"/>
          <w:sz w:val="20"/>
        </w:rPr>
      </w:pPr>
      <w:r>
        <w:rPr>
          <w:rFonts w:ascii="Times New Roman" w:hAnsi="Times New Roman"/>
          <w:sz w:val="20"/>
        </w:rPr>
        <w:t xml:space="preserve">The Company’s Founder, Insiders, Lynrock and the non-managing investors have each agreed not to transfer, assign or sell any of their respective Founder Shares, Private Investor Shares, Private Placement Units or underlying securities to the Private Placement Units that they may hold from the date of the Offering until the date that is (i) in the case of the Founder Shares and the Private Investor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Units (and its underlying securities), until 30 days after the completion of the Company’s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does not complete a Business Combination, then a portion of the proceeds from the sale of the Private Investor Shares and Private Placement Units will be part of the liquidating distribution to the public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Founder, Insiders, Lynrock and the non-managing investors and their permitted transferees are entitled to registration rights pursuant to a registration rights agreement signed on the date of the Offering with respect to their respective Founder Shares, Private Investor Shares, Private Placement Units or the underlying securities to the Private Placement Units. These holders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Party Loan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a promissory note with the Sponsor with a principal amount of $100,000 (the “Promissory Note”), of which none remained outstanding as of October 7, 2025. The proceeds were used for the payment of expenses related to the Offering. The Promissory Note was non-interest bearing, unsecured and was due on the earlier of (i) December 31, 2025 or (ii) the date on which the Company consummates an initial public offering of its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Administrative Services Agreement and Other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pay $30,000 a month for office space, administrative services and secretarial support to an affiliate of the Founder, GigManagement, LLC. Services commenced on October 6, 2025, the date the securities were first listed on Nasdaq, and will terminate upon the earlier of the consummation by the Company of a Business Combination or the liquidation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5. SHAREHOLDERS’ EQUITY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1,000,000 shares of preferred shares with such designations, voting and other rights and preferences as may be determined from time to time by the board of directors. As of October 7, 2025, there were no preferred shares issued and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A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200,000,000 Class A ordinary shares with a par value of $0.0001 per share. As of October 7, 2025, there were 25,657,625 Class A ordinary shares issued and outstanding, of which 25,300,000 Class A ordinary shares are subject to possible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B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20,000,000 Class B ordinary shares with a par value of $0.0001 per share. As of October 7, 2025, there were 10,814,432 Class B ordinary shares issued and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w:t>
      </w:r>
    </w:p>
    <w:p>
      <w:pPr>
        <w:pStyle w:val="TextBody"/>
        <w:bidi w:val="0"/>
        <w:spacing w:before="120" w:after="0"/>
        <w:jc w:val="left"/>
        <w:rPr>
          <w:rFonts w:ascii="Times New Roman" w:hAnsi="Times New Roman"/>
          <w:sz w:val="20"/>
        </w:rPr>
      </w:pPr>
      <w:r>
        <w:rPr>
          <w:rFonts w:ascii="Times New Roman" w:hAnsi="Times New Roman"/>
          <w:sz w:val="20"/>
        </w:rPr>
        <w:t xml:space="preserve">Except in cases where the Company is not the surviving company in an initial Business Combination, each holder of a right will automatically receive one-fifth (1/5) of one Class A ordinary share upon consummation of an initial Business Combination. In the event the Company is not the surviving company upon completion of an initial Business Combination, each holder of a right will be required to affirmatively convert his, her or its rights in order to receive the one-fifth (1/5) of a Class A ordinary share of the new entity underlying each right upon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each holder must hold rights in multiples of five in order to receive shares for all of the rights upon closing of an initial Business Combination. If the Company is unable to complete an initial Business Combination within the required time period and redeems the public shares for the funds held in the Trust Account, holders of rights will not receive any of such funds for their rights and the rights will expire worthless.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Included in the outstanding Class B ordinary shares are 5,000 Founder Shares issued to Ms. Marshall, the Company’s Chief Financial Officer solely in consideration of future services pursuant to the Grant of Insider Shares Agreement dated September 26, 2025, between the Company and Ms. Marshall. The 5,000 Founder Shares issued to Ms. Marshall are subject to forfeiture as described in Note 4. If an initial Business Combination occurs and the 5,000 Founder Shares have not been previously forfeited, the fair value of the Class B ordinary shares on the date the shares vest will be recognized as stock-based compensation in the Company’s statement of operations and comprehensive loss when the completion of the Business Combination becomes probable. </w:t>
      </w:r>
    </w:p>
    <w:p>
      <w:pPr>
        <w:pStyle w:val="TextBody"/>
        <w:bidi w:val="0"/>
        <w:spacing w:before="360" w:after="0"/>
        <w:jc w:val="left"/>
        <w:rPr>
          <w:rFonts w:ascii="Times New Roman" w:hAnsi="Times New Roman"/>
          <w:b/>
          <w:sz w:val="20"/>
        </w:rPr>
      </w:pPr>
      <w:r>
        <w:rPr>
          <w:rFonts w:ascii="Times New Roman" w:hAnsi="Times New Roman"/>
          <w:b/>
          <w:sz w:val="20"/>
        </w:rPr>
        <w:t xml:space="preserve">6.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Level 1: Quoted prices in active markets for identical assets or liabilities. An active market for an asset or liability is a market in which transactions for the asset or liability occur with sufficient frequency and volume to provide pricing information on an ongoing basis. </w:t>
      </w:r>
    </w:p>
    <w:p>
      <w:pPr>
        <w:pStyle w:val="TextBody"/>
        <w:bidi w:val="0"/>
        <w:spacing w:before="240" w:after="0"/>
        <w:jc w:val="left"/>
        <w:rPr>
          <w:rFonts w:ascii="Times New Roman" w:hAnsi="Times New Roman"/>
          <w:sz w:val="20"/>
        </w:rPr>
      </w:pPr>
      <w:r>
        <w:rPr>
          <w:rFonts w:ascii="Times New Roman" w:hAnsi="Times New Roman"/>
          <w:sz w:val="20"/>
        </w:rPr>
        <w:t xml:space="preserve">Level 2: Observable inputs other than Level 1 inputs. Examples of Level 2 inputs include quoted prices in active markets for similar assets or liabilities and quoted prices for identical assets or liabilities in markets that are not active. </w:t>
      </w:r>
    </w:p>
    <w:p>
      <w:pPr>
        <w:pStyle w:val="TextBody"/>
        <w:bidi w:val="0"/>
        <w:spacing w:before="240" w:after="0"/>
        <w:jc w:val="left"/>
        <w:rPr>
          <w:rFonts w:ascii="Times New Roman" w:hAnsi="Times New Roman"/>
          <w:sz w:val="20"/>
        </w:rPr>
      </w:pPr>
      <w:r>
        <w:rPr>
          <w:rFonts w:ascii="Times New Roman" w:hAnsi="Times New Roman"/>
          <w:sz w:val="20"/>
        </w:rPr>
        <w:t xml:space="preserve">Level 3: Unobservable inputs which are supported by little or no market activity and which are significant to the fair value of the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public rights have been classified within shareholders’ equity and will not require remeasurement after issuance. The public rights were classified as Level 3 of the fair value hierarchy at the measurement dates due to the use of unobservable inputs inherent in assumptions related to the market adjustments as noted below. The following table presents the quantitative information regarding market assumptions used in the valuation of the public rights: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676"/>
        <w:gridCol w:w="759"/>
        <w:gridCol w:w="442"/>
        <w:gridCol w:w="1785"/>
        <w:gridCol w:w="277"/>
      </w:tblGrid>
      <w:tr>
        <w:trPr/>
        <w:tc>
          <w:tcPr>
            <w:tcW w:w="3676" w:type="dxa"/>
            <w:tcBorders/>
            <w:vAlign w:val="center"/>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  </w:t>
            </w:r>
          </w:p>
        </w:tc>
        <w:tc>
          <w:tcPr>
            <w:tcW w:w="22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October 7, 2025</w:t>
            </w:r>
          </w:p>
        </w:tc>
        <w:tc>
          <w:tcPr>
            <w:tcW w:w="277" w:type="dxa"/>
            <w:tcBorders/>
            <w:vAlign w:val="bottom"/>
          </w:tcPr>
          <w:p>
            <w:pPr>
              <w:pStyle w:val="TableContents"/>
              <w:bidi w:val="0"/>
              <w:spacing w:before="0" w:after="283"/>
              <w:jc w:val="left"/>
              <w:rPr/>
            </w:pPr>
            <w:r>
              <w:rPr/>
              <w:t> </w:t>
            </w:r>
          </w:p>
        </w:tc>
      </w:tr>
      <w:tr>
        <w:trPr/>
        <w:tc>
          <w:tcPr>
            <w:tcW w:w="3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price of Unit</w:t>
            </w:r>
          </w:p>
        </w:tc>
        <w:tc>
          <w:tcPr>
            <w:tcW w:w="759"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w:t>
            </w:r>
          </w:p>
        </w:tc>
        <w:tc>
          <w:tcPr>
            <w:tcW w:w="1785" w:type="dxa"/>
            <w:tcBorders/>
            <w:shd w:fill="CCEEFF" w:val="clear"/>
            <w:vAlign w:val="bottom"/>
          </w:tcPr>
          <w:p>
            <w:pPr>
              <w:pStyle w:val="TableContents"/>
              <w:bidi w:val="0"/>
              <w:spacing w:before="0" w:after="283"/>
              <w:jc w:val="right"/>
              <w:rPr/>
            </w:pPr>
            <w:r>
              <w:rPr/>
              <w:t>10.00</w:t>
            </w:r>
          </w:p>
        </w:tc>
        <w:tc>
          <w:tcPr>
            <w:tcW w:w="277" w:type="dxa"/>
            <w:tcBorders/>
            <w:shd w:fill="CCEEFF" w:val="clear"/>
            <w:vAlign w:val="bottom"/>
          </w:tcPr>
          <w:p>
            <w:pPr>
              <w:pStyle w:val="TableContents"/>
              <w:bidi w:val="0"/>
              <w:spacing w:before="0" w:after="283"/>
              <w:jc w:val="left"/>
              <w:rPr/>
            </w:pPr>
            <w:r>
              <w:rPr/>
              <w:t> </w:t>
            </w:r>
          </w:p>
        </w:tc>
      </w:tr>
      <w:tr>
        <w:trPr/>
        <w:tc>
          <w:tcPr>
            <w:tcW w:w="3676" w:type="dxa"/>
            <w:tcBorders/>
          </w:tcPr>
          <w:p>
            <w:pPr>
              <w:pStyle w:val="TableContents"/>
              <w:bidi w:val="0"/>
              <w:spacing w:before="0" w:after="0"/>
              <w:jc w:val="left"/>
              <w:rPr>
                <w:rFonts w:ascii="Times New Roman" w:hAnsi="Times New Roman"/>
                <w:sz w:val="20"/>
              </w:rPr>
            </w:pPr>
            <w:r>
              <w:rPr>
                <w:rFonts w:ascii="Times New Roman" w:hAnsi="Times New Roman"/>
                <w:sz w:val="20"/>
              </w:rPr>
              <w:t>Share price</w:t>
            </w:r>
          </w:p>
        </w:tc>
        <w:tc>
          <w:tcPr>
            <w:tcW w:w="759"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w:t>
            </w:r>
          </w:p>
        </w:tc>
        <w:tc>
          <w:tcPr>
            <w:tcW w:w="1785" w:type="dxa"/>
            <w:tcBorders/>
            <w:vAlign w:val="bottom"/>
          </w:tcPr>
          <w:p>
            <w:pPr>
              <w:pStyle w:val="TableContents"/>
              <w:bidi w:val="0"/>
              <w:spacing w:before="0" w:after="283"/>
              <w:jc w:val="right"/>
              <w:rPr/>
            </w:pPr>
            <w:r>
              <w:rPr/>
              <w:t>9.58</w:t>
            </w:r>
          </w:p>
        </w:tc>
        <w:tc>
          <w:tcPr>
            <w:tcW w:w="277" w:type="dxa"/>
            <w:tcBorders/>
            <w:vAlign w:val="bottom"/>
          </w:tcPr>
          <w:p>
            <w:pPr>
              <w:pStyle w:val="TableContents"/>
              <w:bidi w:val="0"/>
              <w:spacing w:before="0" w:after="283"/>
              <w:jc w:val="left"/>
              <w:rPr/>
            </w:pPr>
            <w:r>
              <w:rPr/>
              <w:t> </w:t>
            </w:r>
          </w:p>
        </w:tc>
      </w:tr>
      <w:tr>
        <w:trPr/>
        <w:tc>
          <w:tcPr>
            <w:tcW w:w="3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 adjustment (1)</w:t>
            </w:r>
          </w:p>
        </w:tc>
        <w:tc>
          <w:tcPr>
            <w:tcW w:w="759"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1785" w:type="dxa"/>
            <w:tcBorders/>
            <w:shd w:fill="CCEEFF" w:val="clear"/>
            <w:vAlign w:val="bottom"/>
          </w:tcPr>
          <w:p>
            <w:pPr>
              <w:pStyle w:val="TableContents"/>
              <w:bidi w:val="0"/>
              <w:spacing w:before="0" w:after="283"/>
              <w:jc w:val="right"/>
              <w:rPr/>
            </w:pPr>
            <w:r>
              <w:rPr/>
              <w:t>4.2</w:t>
            </w:r>
          </w:p>
        </w:tc>
        <w:tc>
          <w:tcPr>
            <w:tcW w:w="277" w:type="dxa"/>
            <w:tcBorders/>
            <w:shd w:fill="CCEEFF" w:val="clear"/>
            <w:vAlign w:val="bottom"/>
          </w:tcPr>
          <w:p>
            <w:pPr>
              <w:pStyle w:val="TableContents"/>
              <w:bidi w:val="0"/>
              <w:spacing w:before="0" w:after="283"/>
              <w:jc w:val="left"/>
              <w:rPr/>
            </w:pPr>
            <w:r>
              <w:rPr/>
              <w:t>% </w:t>
            </w:r>
          </w:p>
        </w:tc>
      </w:tr>
      <w:tr>
        <w:trPr/>
        <w:tc>
          <w:tcPr>
            <w:tcW w:w="3676" w:type="dxa"/>
            <w:tcBorders/>
          </w:tcPr>
          <w:p>
            <w:pPr>
              <w:pStyle w:val="TableContents"/>
              <w:bidi w:val="0"/>
              <w:spacing w:before="0" w:after="0"/>
              <w:jc w:val="left"/>
              <w:rPr>
                <w:rFonts w:ascii="Times New Roman" w:hAnsi="Times New Roman"/>
                <w:sz w:val="20"/>
              </w:rPr>
            </w:pPr>
            <w:r>
              <w:rPr>
                <w:rFonts w:ascii="Times New Roman" w:hAnsi="Times New Roman"/>
                <w:sz w:val="20"/>
              </w:rPr>
              <w:t>Fair value per right</w:t>
            </w:r>
          </w:p>
        </w:tc>
        <w:tc>
          <w:tcPr>
            <w:tcW w:w="759"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w:t>
            </w:r>
          </w:p>
        </w:tc>
        <w:tc>
          <w:tcPr>
            <w:tcW w:w="1785" w:type="dxa"/>
            <w:tcBorders/>
            <w:vAlign w:val="bottom"/>
          </w:tcPr>
          <w:p>
            <w:pPr>
              <w:pStyle w:val="TableContents"/>
              <w:bidi w:val="0"/>
              <w:spacing w:before="0" w:after="283"/>
              <w:jc w:val="right"/>
              <w:rPr/>
            </w:pPr>
            <w:r>
              <w:rPr/>
              <w:t>0.42</w:t>
            </w:r>
          </w:p>
        </w:tc>
        <w:tc>
          <w:tcPr>
            <w:tcW w:w="27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adjustment reflects additional factors not fully captured by low volatility selection, which may include likelihood of the Business Combination occurring, market perception of lack of available or suitable targets, or possible post-acquisition decline of share price. The adjustment is determined by comparing traded right prices to simulated model outputs.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financial assets or liabilities measured on a recurring basis as of October 7, 2025. </w:t>
      </w:r>
    </w:p>
    <w:p>
      <w:pPr>
        <w:pStyle w:val="TextBody"/>
        <w:bidi w:val="0"/>
        <w:spacing w:before="360" w:after="0"/>
        <w:jc w:val="left"/>
        <w:rPr>
          <w:rFonts w:ascii="Times New Roman" w:hAnsi="Times New Roman"/>
          <w:b/>
          <w:sz w:val="20"/>
        </w:rPr>
      </w:pPr>
      <w:r>
        <w:rPr>
          <w:rFonts w:ascii="Times New Roman" w:hAnsi="Times New Roman"/>
          <w:b/>
          <w:sz w:val="20"/>
        </w:rPr>
        <w:t xml:space="preserve">7.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that occurred after the balance sheet date through October 14, 2025, the date that the financial statement was available to be issued. Based upon this review, the Company did not identify any subsequent events that would have required adjustment to or disclosure in the financial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7573</Words>
  <Characters>40928</Characters>
  <CharactersWithSpaces>48607</CharactersWithSpaces>
  <Paragraphs>550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