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56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001-42893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98-1868645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568"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568"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1731 Embarcadero Rd., Suite 200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94303</w:t>
      </w:r>
    </w:p>
    <w:p>
      <w:pPr>
        <w:spacing w:after="0" w:line="42" w:lineRule="exact"/>
        <w:rPr>
          <w:sz w:val="24"/>
          <w:szCs w:val="24"/>
          <w:color w:val="auto"/>
        </w:rPr>
      </w:pPr>
    </w:p>
    <w:p>
      <w:pPr>
        <w:sectPr>
          <w:pgSz w:w="11900" w:h="16838" w:orient="portrait"/>
          <w:cols w:equalWidth="0" w:num="2">
            <w:col w:w="7404" w:space="720"/>
            <w:col w:w="2900"/>
          </w:cols>
          <w:pgMar w:left="436" w:top="443" w:right="439" w:bottom="568" w:gutter="0" w:footer="0" w:header="0"/>
          <w:type w:val="continuous"/>
        </w:sectPr>
      </w:pPr>
    </w:p>
    <w:p>
      <w:pPr>
        <w:ind w:left="8004"/>
        <w:spacing w:after="0"/>
        <w:rPr>
          <w:sz w:val="20"/>
          <w:szCs w:val="20"/>
          <w:color w:val="auto"/>
        </w:rPr>
      </w:pPr>
      <w:r>
        <w:rPr>
          <w:rFonts w:ascii="Times New Roman" w:cs="Times New Roman" w:eastAsia="Times New Roman" w:hAnsi="Times New Roman"/>
          <w:sz w:val="14"/>
          <w:szCs w:val="14"/>
          <w:b w:val="1"/>
          <w:bCs w:val="1"/>
          <w:color w:val="auto"/>
        </w:rPr>
        <w:t>(Zip Code)</w:t>
      </w:r>
    </w:p>
    <w:p>
      <w:pPr>
        <w:sectPr>
          <w:pgSz w:w="11900" w:h="16838" w:orient="portrait"/>
          <w:cols w:equalWidth="0" w:num="1">
            <w:col w:w="11024"/>
          </w:cols>
          <w:pgMar w:left="436" w:top="443" w:right="439" w:bottom="568" w:gutter="0" w:footer="0" w:header="0"/>
          <w:type w:val="continuous"/>
        </w:sectPr>
      </w:pP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GIWWU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share, $0.0001 par value, and one right to receive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one-fifth of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$0.0001 par value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Rights, one right to receive one-fifth of one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GIWWR</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ordinary share, each five rights entitling the holder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thereof to receive one Class A ordinary share upon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 consummation of a business combination</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568"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Material Definitive Agreement.</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On September 30, 2025, the registration statement on Form S-1 (File No. 333-289479), as amended (the “</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relating to the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GigCapital8 Corp., a Cayman Island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was declared effective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October 6, 2025, the Company filed a subsequent registration statement on Form S-1 (File No. 333-290724) pursuant to Section 462(b) of the Securities Act of 1933, as amended, and also in connection with the Company’s IPO (together with the Initial Registration Statement,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which subsequent reregistration statement became automatically effective upon its filing.</w:t>
      </w:r>
    </w:p>
    <w:p>
      <w:pPr>
        <w:spacing w:after="0" w:line="18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On October 7, 2025, the Company consummated the IPO of up to 25,300,000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including 3,300,000 Units as a result of the underwriters’ exercise in full of their over-allotment option. Each Unit consists of one Class A ordinary share of the Company, par value $0.0001 per share (each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and one right to receive one-fifth of an Ordinary Share (a “</w:t>
      </w:r>
      <w:r>
        <w:rPr>
          <w:rFonts w:ascii="Times New Roman" w:cs="Times New Roman" w:eastAsia="Times New Roman" w:hAnsi="Times New Roman"/>
          <w:sz w:val="18"/>
          <w:szCs w:val="18"/>
          <w:b w:val="1"/>
          <w:bCs w:val="1"/>
          <w:i w:val="1"/>
          <w:iCs w:val="1"/>
          <w:color w:val="auto"/>
        </w:rPr>
        <w:t>Public Right</w:t>
      </w:r>
      <w:r>
        <w:rPr>
          <w:rFonts w:ascii="Times New Roman" w:cs="Times New Roman" w:eastAsia="Times New Roman" w:hAnsi="Times New Roman"/>
          <w:sz w:val="18"/>
          <w:szCs w:val="18"/>
          <w:color w:val="auto"/>
        </w:rPr>
        <w:t>”), with each five rights entitling the holder thereof to receive one Ordinary Share upon the consummation of an initial business combination. The Units were sold at a price of $10.00 per Unit, generating gross proceeds to the Company of $253,000,000.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IPO, the Company entered into the following agreements previously filed as exhibits to the Company’s Registration Statements:</w:t>
      </w:r>
    </w:p>
    <w:p>
      <w:pPr>
        <w:spacing w:after="0" w:line="127" w:lineRule="exact"/>
        <w:rPr>
          <w:sz w:val="20"/>
          <w:szCs w:val="20"/>
          <w:color w:val="auto"/>
        </w:rPr>
      </w:pPr>
    </w:p>
    <w:p>
      <w:pPr>
        <w:ind w:left="960" w:right="36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October 3, 2025, by and between the Company and D. Boral Capital LLC (“</w:t>
      </w:r>
      <w:r>
        <w:rPr>
          <w:rFonts w:ascii="Times New Roman" w:cs="Times New Roman" w:eastAsia="Times New Roman" w:hAnsi="Times New Roman"/>
          <w:sz w:val="18"/>
          <w:szCs w:val="18"/>
          <w:b w:val="1"/>
          <w:bCs w:val="1"/>
          <w:i w:val="1"/>
          <w:iCs w:val="1"/>
          <w:color w:val="auto"/>
        </w:rPr>
        <w:t>DBC</w:t>
      </w:r>
      <w:r>
        <w:rPr>
          <w:rFonts w:ascii="Times New Roman" w:cs="Times New Roman" w:eastAsia="Times New Roman" w:hAnsi="Times New Roman"/>
          <w:sz w:val="18"/>
          <w:szCs w:val="18"/>
          <w:color w:val="auto"/>
        </w:rPr>
        <w:t>”), acting as representative of the underwriters named therein, which contains customary representations and warranties and indemnification of the underwriters by the Company and is attached as Exhibit 1.1 hereto and incorporated herein by reference;</w:t>
      </w:r>
    </w:p>
    <w:p>
      <w:pPr>
        <w:spacing w:after="0" w:line="8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Agreement, dated October 3, 2025, by and between the Company and Continental Stock Transfer &amp; Trust Company, as rights agent, a copy of which is attached as Exhibit 4.1 hereto and incorporated herein by reference;</w:t>
      </w:r>
    </w:p>
    <w:p>
      <w:pPr>
        <w:spacing w:after="0" w:line="63" w:lineRule="exact"/>
        <w:rPr>
          <w:rFonts w:ascii="Times New Roman" w:cs="Times New Roman" w:eastAsia="Times New Roman" w:hAnsi="Times New Roman"/>
          <w:sz w:val="18"/>
          <w:szCs w:val="18"/>
          <w:color w:val="auto"/>
        </w:rPr>
      </w:pPr>
    </w:p>
    <w:p>
      <w:pPr>
        <w:ind w:left="960" w:right="4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Insider Letter Agreement, dated October 3, 2025, by and between the Company and GigAcquitions8 Corp.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each of its officers and directors, DBC, and certain other security holders named therein, a copy of which is attached as Exhibit 10.1 hereto and incorporated herein by reference (the “</w:t>
      </w:r>
      <w:r>
        <w:rPr>
          <w:rFonts w:ascii="Times New Roman" w:cs="Times New Roman" w:eastAsia="Times New Roman" w:hAnsi="Times New Roman"/>
          <w:sz w:val="18"/>
          <w:szCs w:val="18"/>
          <w:b w:val="1"/>
          <w:bCs w:val="1"/>
          <w:i w:val="1"/>
          <w:iCs w:val="1"/>
          <w:color w:val="auto"/>
        </w:rPr>
        <w:t>Insider Letter Agreement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dated October 3, 2025, by and among the Company, the Sponsor and certain other security holders named therein, a copy of which is attached as Exhibit 10.2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Management Trust Agreement, dated October 3, 2025, by and between the Company and Continental Stock Transfer &amp; Trust Company, as trustee, a copy of which is attached as Exhibit 10.3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Services Agreement, dated October 3, 2025, by and between the Company and GigManagement, LLC, a Delaware limited liability company, a copy of which is attached as Exhibit 10.4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3, 2025, by and between the Company and Dr. Avi S. Katz, the Chief Executive Officer of the Company, a copy of which is attached as Exhibit 10.5 hereto and incorporated herein by reference;</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3, 2025, by and between the Company and Dr. Raluca Dinu, a director of the Company, a copy of which is attached as Exhibit 10.6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9, 2025, by and between the Company and Admiral (Ret.) David Ben-Bashat, a director of the Company, a copy of which is attached as Exhibit 10.7 hereto and incorporated herein by reference;</w:t>
      </w:r>
    </w:p>
    <w:p>
      <w:pPr>
        <w:sectPr>
          <w:pgSz w:w="11900" w:h="16838" w:orient="portrait"/>
          <w:cols w:equalWidth="0" w:num="1">
            <w:col w:w="10980"/>
          </w:cols>
          <w:pgMar w:left="440" w:top="293" w:right="479" w:bottom="1440" w:gutter="0" w:footer="0" w:header="0"/>
        </w:sectPr>
      </w:pPr>
    </w:p>
    <w:bookmarkStart w:id="2" w:name="page3"/>
    <w:bookmarkEnd w:id="2"/>
    <w:p>
      <w:pPr>
        <w:ind w:left="960" w:right="2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 Indemnity Agreement, dated October 7, 2025, by and between the Company and Rear Admiral (Ret.) Omri Dagul, a director of the Company, a copy of which is attached as Exhibit 10.8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7, 2025, by and between the Company and Raanan I. Horowitz, a director of the Company, a copy of which is attached as Exhibit 10.9 hereto and incorporated herein by reference; and</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8, 2025, by and between the Company and Ambassador Adrian Zuckerman, a director of the Company, a copy of which is attached as Exhibit 10.10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7, 2025, by and between the Company and Luis Machuca, a director of the Company, a copy of which is attached as Exhibit 10.11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7, 2025, by and between the Company and Bryan Timm, a director of the Company, a copy of which is attached as Exhibit 10.12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7, 2025, by and between the Company and James Greene, a director of the Company, a copy of which is attached as Exhibit 10.13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Agreement, dated October 3, 2025, by and between the Company and Christine Marshall, the Chief Financial Officer of the Company, a copy of which is attached as Exhibit 10.14 hereto and incorporated herein by reference;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material terms of each of the foregoing agreements are described in the prospectus that forms a part of the Registration Statement, and the descriptions of such terms are incorporated herein by reference. Each of the foregoing agreements, are attached hereto as exhibits to this Current Report on Form 8-K, as enumerated below in the table set forth in response to Item 9.01.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Simultaneously with the closing of the IPO, the Company completed the private sale and issuance of an aggregate of 95,200 units (the “</w:t>
      </w:r>
      <w:r>
        <w:rPr>
          <w:rFonts w:ascii="Times New Roman" w:cs="Times New Roman" w:eastAsia="Times New Roman" w:hAnsi="Times New Roman"/>
          <w:sz w:val="18"/>
          <w:szCs w:val="18"/>
          <w:b w:val="1"/>
          <w:bCs w:val="1"/>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Placement Units”) </w:t>
      </w:r>
      <w:r>
        <w:rPr>
          <w:rFonts w:ascii="Times New Roman" w:cs="Times New Roman" w:eastAsia="Times New Roman" w:hAnsi="Times New Roman"/>
          <w:sz w:val="18"/>
          <w:szCs w:val="18"/>
          <w:color w:val="auto"/>
        </w:rPr>
        <w:t>to the Sponsor, four of the Company’s directors and Lynrock Lake Master Fund LP at a price of $9.7374 per unit, generating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to the Company of $927,000. Each Private Placement Unit consisted of one Ordinary Share and one right to receive one-fifth of an Ordinary Share, with each five rights entitling the holder thereof to receive one Ordinary Share upon the consummation of an initial business combination. Each such investor signed a unit purchase agreement with the Company, the material terms of which are set forth in the Registration Statements and incorporated by reference herein.</w:t>
      </w:r>
    </w:p>
    <w:p>
      <w:pPr>
        <w:spacing w:after="0" w:line="1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Simultaneously with the closing of the IPO, the Company completed the private sale and issuance to certain non-managing investors (none of which are affiliated with any member of the Company’s management, the Sponsor or any other investor) of (i) an aggregate of 2,964,203 Class B ordinary shares of the Company, par value of $0.0001 per share (“</w:t>
      </w:r>
      <w:r>
        <w:rPr>
          <w:rFonts w:ascii="Times New Roman" w:cs="Times New Roman" w:eastAsia="Times New Roman" w:hAnsi="Times New Roman"/>
          <w:sz w:val="17"/>
          <w:szCs w:val="17"/>
          <w:b w:val="1"/>
          <w:bCs w:val="1"/>
          <w:i w:val="1"/>
          <w:iCs w:val="1"/>
          <w:color w:val="auto"/>
        </w:rPr>
        <w:t>Class B Ordinary Shares</w:t>
      </w:r>
      <w:r>
        <w:rPr>
          <w:rFonts w:ascii="Times New Roman" w:cs="Times New Roman" w:eastAsia="Times New Roman" w:hAnsi="Times New Roman"/>
          <w:sz w:val="17"/>
          <w:szCs w:val="17"/>
          <w:color w:val="auto"/>
        </w:rPr>
        <w:t>”) at a price of $0.023254 per share and (ii) an aggregate of 262,457 Private Placement Units at a price of $9.7374 per unit, generating gross proceeds to the Company of $2,624,266. Each such investor signed a subscription agreement with the Company, the materials terms of which are set forth in the Registration Statements and incorporated by reference herein.</w:t>
      </w:r>
    </w:p>
    <w:p>
      <w:pPr>
        <w:sectPr>
          <w:pgSz w:w="11900" w:h="16838" w:orient="portrait"/>
          <w:cols w:equalWidth="0" w:num="1">
            <w:col w:w="10940"/>
          </w:cols>
          <w:pgMar w:left="440" w:top="297"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IPO, on October 3, 2025, each of Dr. Avi S. Katz, the Chief Executive Officer of the Company, Dr. Raluca Dinu, a director of the Company, and Christine Marshall, the Chief Financial Officer of the Company, entered into an indemnity agreement with the Company. When the election of Messrs. Ben-Bashat, Dagul, Horowitz, Zuckerman, Machuca, Timm and Greene as directors of the Company became effective on October 7, 2025, each of them entered into an indemnity agreement with the Company. On October 3, 2025, all directors, director nominees and officers of the Company along with the Sponsor and certain other security holders named therein, entered into the Insider Letter Agreement.</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than the foregoing, none of the directors or officers of the Company is party to any arrangement or understanding with any person pursuant to which they were appointed as directors, nor are they party to any transactions required to be disclosed under Item 404(a) of Regulation S-K involving the Company.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Copies of the Insider Letter Agreement and indemnity agreements are attached as Exhibits 10.1 and 10.6 through 10.15 hereto, respectively, and are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3, 2025, in connection with the IPO, the Company adopted its First Amended and Restated Memorandum and Articles of Association (the “</w:t>
      </w:r>
      <w:r>
        <w:rPr>
          <w:rFonts w:ascii="Times New Roman" w:cs="Times New Roman" w:eastAsia="Times New Roman" w:hAnsi="Times New Roman"/>
          <w:sz w:val="18"/>
          <w:szCs w:val="18"/>
          <w:b w:val="1"/>
          <w:bCs w:val="1"/>
          <w:i w:val="1"/>
          <w:iCs w:val="1"/>
          <w:color w:val="auto"/>
        </w:rPr>
        <w:t>Amended and Restated Articles</w:t>
      </w:r>
      <w:r>
        <w:rPr>
          <w:rFonts w:ascii="Times New Roman" w:cs="Times New Roman" w:eastAsia="Times New Roman" w:hAnsi="Times New Roman"/>
          <w:sz w:val="18"/>
          <w:szCs w:val="18"/>
          <w:color w:val="auto"/>
        </w:rPr>
        <w:t>”), effective the same day. The terms of the Amended and Restated Articles are set forth in the Registration Statements and are incorporated herein by reference. A copy of the Amended and Restated Articles is attached as Exhibit 3.1 hereto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IPO, Messrs. Horowitz, Machuca and Timm were appointed to the Audit Committee of the Company’s board of directors, with Mr. Timm serving as chair of the Audit Committee; Messrs. Horowitz, Dagul and Greene were appointed to the Compensation Committee of the Company’s board of directors, with Mr. Greene serving as chair of the Compensation Committee; and Messrs. Ben-Bashat, Greene and Machuca were appointed to the Nominating and Corporate Governance Committee of the Company’s board of directors, with Mr. Machuca serving as chair of the Nominating and Corporate Governance Committee.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total of $253,000,000, consisting of the entirety of the proceeds received by the Company after deduction for commissions from the IPO, were placed in a U.S.-based trust account at JPMorgan Chase Bank, N.A. maintained by Continental Stock Transfer &amp; Trust Company, acting as trustee. Except with respect to interest earned on the funds held in the trust account that may be released to the Company to pay its taxes, the funds in the trust account will not be released from the trust account until the earliest to occur of: (i) the completion of the Company’s initial business combination, (ii) the redemption of any public shares properly submitted in connection with the implementation by the directors of, following a shareholder vote, an amendment to the Company’s amended and restated memorandum and articles of association (A) to modify the substance or timing of our obligation to provide for the redemption of our public shares in connection with an initial business combination or to redeem 100% of our public shares if the Company has not consummated its initial business combination within 24 months from the closing of the offering or (B) with respect to any other provisions relating to shareholders’ rights or pre-initial business combination activity, and (iii) the redemption of public shares absent an initial business combination within 24 months from the closing of the offering.</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3, 2025, the Company issued a press release, a copy of which is attached as Exhibit 99.1 to this Current Report on Form 8-K, announcing the pricing of the IPO.</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7, 2025, the Company issued a press release, a copy of which is attached as Exhibit 99.2 to this Current Report on Form 8-K, announcing the closing of the IPO.</w:t>
      </w:r>
    </w:p>
    <w:p>
      <w:pPr>
        <w:sectPr>
          <w:pgSz w:w="11900" w:h="16838" w:orient="portrait"/>
          <w:cols w:equalWidth="0" w:num="1">
            <w:col w:w="10960"/>
          </w:cols>
          <w:pgMar w:left="440" w:top="293" w:right="499" w:bottom="1440" w:gutter="0" w:footer="0" w:header="0"/>
          <w:type w:val="continuous"/>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10904"/>
          </w:cols>
          <w:pgMar w:left="436" w:top="293" w:right="559" w:bottom="1440" w:gutter="0" w:footer="0" w:header="0"/>
        </w:sectPr>
      </w:pPr>
    </w:p>
    <w:p>
      <w:pPr>
        <w:spacing w:after="0" w:line="250" w:lineRule="exact"/>
        <w:rPr>
          <w:sz w:val="20"/>
          <w:szCs w:val="20"/>
          <w:color w:val="auto"/>
        </w:rPr>
      </w:pPr>
    </w:p>
    <w:p>
      <w:pPr>
        <w:jc w:val="center"/>
        <w:ind w:right="437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4376"/>
        <w:spacing w:after="0"/>
        <w:rPr>
          <w:sz w:val="20"/>
          <w:szCs w:val="20"/>
          <w:color w:val="auto"/>
        </w:rPr>
      </w:pPr>
      <w:r>
        <w:rPr>
          <w:rFonts w:ascii="Times New Roman" w:cs="Times New Roman" w:eastAsia="Times New Roman" w:hAnsi="Times New Roman"/>
          <w:sz w:val="14"/>
          <w:szCs w:val="14"/>
          <w:u w:val="single" w:color="auto"/>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4660"/>
        <w:spacing w:after="0"/>
        <w:rPr>
          <w:sz w:val="20"/>
          <w:szCs w:val="20"/>
          <w:color w:val="auto"/>
        </w:rPr>
      </w:pP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sectPr>
          <w:pgSz w:w="11900" w:h="16838" w:orient="portrait"/>
          <w:cols w:equalWidth="0" w:num="2">
            <w:col w:w="4844" w:space="720"/>
            <w:col w:w="5340"/>
          </w:cols>
          <w:pgMar w:left="436" w:top="293" w:right="559" w:bottom="1440" w:gutter="0" w:footer="0" w:header="0"/>
          <w:type w:val="continuous"/>
        </w:sectPr>
      </w:pPr>
    </w:p>
    <w:p>
      <w:pPr>
        <w:ind w:left="784" w:right="720" w:hanging="784"/>
        <w:spacing w:after="0" w:line="282" w:lineRule="auto"/>
        <w:tabs>
          <w:tab w:leader="none" w:pos="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October 3, 2025, by and between the Company and D. Boral Capital LLC, as representative of the underwriters named therein</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Amended and Restated Memorandum and Articles of Association</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Rights Agreement, dated October 3, 2025, by and between the Company and Continental Stock Transfer &amp; Trust Company</w:t>
      </w:r>
    </w:p>
    <w:p>
      <w:pPr>
        <w:spacing w:after="0" w:line="129" w:lineRule="exact"/>
        <w:rPr>
          <w:sz w:val="20"/>
          <w:szCs w:val="20"/>
          <w:color w:val="auto"/>
        </w:rPr>
      </w:pPr>
    </w:p>
    <w:p>
      <w:pPr>
        <w:ind w:left="784"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Insider Letter Agreement, dated October 3, 2025, by and between the Company and GigAcquitions8 Corp., each of its officers and directors, D. Boral Capital LLC, and certain other security holders named therein</w:t>
      </w:r>
    </w:p>
    <w:p>
      <w:pPr>
        <w:spacing w:after="0" w:line="54" w:lineRule="exact"/>
        <w:rPr>
          <w:sz w:val="20"/>
          <w:szCs w:val="20"/>
          <w:color w:val="auto"/>
        </w:rPr>
      </w:pPr>
    </w:p>
    <w:p>
      <w:pPr>
        <w:ind w:left="784" w:right="180"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October 3, 2025, by and among the Company, the Sponsor and certain other security holders named therein</w:t>
      </w:r>
    </w:p>
    <w:p>
      <w:pPr>
        <w:spacing w:after="0" w:line="54" w:lineRule="exact"/>
        <w:rPr>
          <w:sz w:val="20"/>
          <w:szCs w:val="20"/>
          <w:color w:val="auto"/>
        </w:rPr>
      </w:pPr>
    </w:p>
    <w:p>
      <w:pPr>
        <w:ind w:left="784" w:right="260"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Investment Management Trust Agreement, dated October 3, 2025, by and between the Company and Continental Stock Transfer &amp; Trust Company</w:t>
      </w:r>
    </w:p>
    <w:p>
      <w:pPr>
        <w:spacing w:after="0" w:line="54"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Administrative Services Agreement, dated October 3, 2025, by and between the Company and GigManagement, LLC</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EE"/>
        </w:rPr>
        <w:t>Indemnity Agreement, dated October 3, 2025, by and between the Company and Dr. Avi S. Katz</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0000EE"/>
        </w:rPr>
        <w:t>Indemnity Agreement, dated October 3, 2025, by and between the Company and Dr. Raluca Dinu</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u w:val="single" w:color="auto"/>
          <w:color w:val="0000EE"/>
        </w:rPr>
        <w:t>Indemnity Agreement, dated October 9, 2025, by and between the Company and Admiral (Ret.) David Ben-Bashat</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u w:val="single" w:color="auto"/>
          <w:color w:val="0000EE"/>
        </w:rPr>
        <w:t>Indemnity Agreement, dated October 7, 2025, by and between the Company and Rear Admiral (Ret.) Omri Dagul</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u w:val="single" w:color="auto"/>
          <w:color w:val="0000EE"/>
        </w:rPr>
        <w:t>Indemnity Agreement, dated October 7, 2025, by and between the Company and Raanan I. Horowitz</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u w:val="single" w:color="auto"/>
          <w:color w:val="0000EE"/>
        </w:rPr>
        <w:t>Indemnity Agreement, dated October 8, 2025, by and between the Company and Ambassador Adrian Zuckerman</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0000EE"/>
        </w:rPr>
        <w:t>Indemnity Agreement, dated October 7, 2025, by and between the Company and Luis Machuca</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EE"/>
        </w:rPr>
        <w:t>Indemnity Agreement, dated October 7, 2025, by and between the Company and Bryan Timm</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u w:val="single" w:color="auto"/>
          <w:color w:val="0000EE"/>
        </w:rPr>
        <w:t>Indemnity Agreement, dated October 7, 2025, by and between the Company and James Greene</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0000EE"/>
        </w:rPr>
        <w:t>Indemnity Agreement, dated October 3, 2025, by and between the Company and Christine Marshall</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3, 2025</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Press Release, dated October 7, 2025</w:t>
      </w:r>
    </w:p>
    <w:p>
      <w:pPr>
        <w:sectPr>
          <w:pgSz w:w="11900" w:h="16838" w:orient="portrait"/>
          <w:cols w:equalWidth="0" w:num="1">
            <w:col w:w="10904"/>
          </w:cols>
          <w:pgMar w:left="436" w:top="293" w:right="559" w:bottom="1440" w:gutter="0" w:footer="0" w:header="0"/>
          <w:type w:val="continuous"/>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October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Dr. Avi Katz</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320"/>
          </w:cols>
          <w:pgMar w:left="440" w:top="293" w:right="11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34"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October 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181"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Ladies and Gentlemen:</w:t>
      </w:r>
    </w:p>
    <w:p>
      <w:pPr>
        <w:spacing w:after="0" w:line="9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GigCapital8 Corp.,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D. Boral Capital LLC (hereinafter referred to as “you” (including its correlatives) acting as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of the several underwriters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or, each underwriter individually, an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Purchase of Units</w:t>
      </w:r>
      <w:r>
        <w:rPr>
          <w:rFonts w:ascii="Times New Roman" w:cs="Times New Roman" w:eastAsia="Times New Roman" w:hAnsi="Times New Roman"/>
          <w:sz w:val="18"/>
          <w:szCs w:val="18"/>
          <w:color w:val="auto"/>
        </w:rPr>
        <w:t>. On the basis of the representations and warranties herein contained, but subject to the terms and conditions herein set forth, the Company agrees to issue and sell to the Underwriters, an aggregate of 22,000,000 units of the Company (the “</w:t>
      </w:r>
      <w:r>
        <w:rPr>
          <w:rFonts w:ascii="Times New Roman" w:cs="Times New Roman" w:eastAsia="Times New Roman" w:hAnsi="Times New Roman"/>
          <w:sz w:val="18"/>
          <w:szCs w:val="18"/>
          <w:u w:val="single" w:color="auto"/>
          <w:color w:val="auto"/>
        </w:rPr>
        <w:t>Firm Units</w:t>
      </w:r>
      <w:r>
        <w:rPr>
          <w:rFonts w:ascii="Times New Roman" w:cs="Times New Roman" w:eastAsia="Times New Roman" w:hAnsi="Times New Roman"/>
          <w:sz w:val="18"/>
          <w:szCs w:val="18"/>
          <w:color w:val="auto"/>
        </w:rPr>
        <w:t>”) at a purchase price (net of discounts and commissions) of approximately $9.9545 per Firm Unit ($219,000,000 in total for all of the Firm Units). Each Firm Unit consists of one Class A ordinary share of the Company, par value $0.0001 per share (individually, a “</w:t>
      </w:r>
      <w:r>
        <w:rPr>
          <w:rFonts w:ascii="Times New Roman" w:cs="Times New Roman" w:eastAsia="Times New Roman" w:hAnsi="Times New Roman"/>
          <w:sz w:val="18"/>
          <w:szCs w:val="18"/>
          <w:u w:val="single" w:color="auto"/>
          <w:color w:val="auto"/>
        </w:rPr>
        <w:t>Class A Ordinary 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Public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such Class A Ordinary Shares together with Class B ordinary shares, collectively,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one right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entitling the holder to receive one-fifth (1/5) of one Class A Ordinary Share upon the consummation by the Company of the initial Business Combination (as defined below). The Public Shares and Rights included in the Firm Units will not be separately tradable until 52 days after the date hereof unless the Representative informs the Company of its decision to allow earlier separate trading, subject to the Company filing a Current Report on Form 8-K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containing an audited</w:t>
      </w:r>
    </w:p>
    <w:p>
      <w:pPr>
        <w:sectPr>
          <w:pgSz w:w="11900" w:h="16838" w:orient="portrait"/>
          <w:cols w:equalWidth="0" w:num="1">
            <w:col w:w="11020"/>
          </w:cols>
          <w:pgMar w:left="440" w:top="117" w:right="4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balance sheet reflecting the Company’s receipt of the gross proceeds of the Offering (defined below) and the completion of the Private Placements (defined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and issuing a press release announcing when such separate trading will begin. The Underwriters, severally and not jointly, agree to purchase from the Company the number of Firm Units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Underwriters shall offer the Firm Units to the public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at the offering price of $10.00 per Firm Unit.</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Units shall be made at 10:00 A.M., New York time, on the second (2nd) Business Day (as defined below) following the commencement of trading of the Firm Units at the offices of D. Boral Capital LLC, or at such earlier time and/or such other place as agreed upon by the Representative and the Company. The closing of the Offering is referred to herein as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hour and date of delivery and payment for the Firm Units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Payment for the Firm Units shall be made on the Closing Date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by wire transfer in Federal (same day) funds. On the Closing Date, an aggregate of $220,000,000 of the net proceeds from the sale of the Firm Units and Private Placement Securities (as defined below) shall be deposited into the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established by the Company for the benefit of the Public Shareholders (as defined below), as described in the Registration Statement (as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below) and pursuant to the terms of an Investment Management Trust Agreement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the Company and Continental Stock Transfer &amp; Trust Company (“</w:t>
      </w:r>
      <w:r>
        <w:rPr>
          <w:rFonts w:ascii="Times New Roman" w:cs="Times New Roman" w:eastAsia="Times New Roman" w:hAnsi="Times New Roman"/>
          <w:sz w:val="18"/>
          <w:szCs w:val="18"/>
          <w:u w:val="single" w:color="auto"/>
          <w:color w:val="auto"/>
        </w:rPr>
        <w:t>CST</w:t>
      </w:r>
      <w:r>
        <w:rPr>
          <w:rFonts w:ascii="Times New Roman" w:cs="Times New Roman" w:eastAsia="Times New Roman" w:hAnsi="Times New Roman"/>
          <w:sz w:val="18"/>
          <w:szCs w:val="18"/>
          <w:color w:val="auto"/>
        </w:rPr>
        <w:t>”), substantially in the form annexed as an exhibit to the Registration Statement. The remaining proceeds (less actual expenses and fees payable pursuant to this Agreement) shall be paid to the order of the Company on the Closing Date upon delivery of certificates representing the Firm Units (in form and substance reasonably satisfactory to the Representative) or through the facilities of DTC for the account of the Underwriters. The Firm Units shall be registered in such name or names and in such authorized denominations as the Representative may request in writing at least one (1) Business Day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 As used herein,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day on which national banks in New York, New York are not open for business, and the term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means the holders of the Class A Ordinary Shares sold in the Offering or acquired in the aftermarket, including any of the Respondents (as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below) to the extent they acquire such Class A Ordinary Shares in the Offering or in the aftermarket (and solely with respect to such shares).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Representative shall have the option (the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 to purchase, on behalf of the several Underwriters, all or less than all of an additional 3,300,000 units of the Company (the “</w:t>
      </w:r>
      <w:r>
        <w:rPr>
          <w:rFonts w:ascii="Times New Roman" w:cs="Times New Roman" w:eastAsia="Times New Roman" w:hAnsi="Times New Roman"/>
          <w:sz w:val="18"/>
          <w:szCs w:val="18"/>
          <w:u w:val="single" w:color="auto"/>
          <w:color w:val="auto"/>
        </w:rPr>
        <w:t>Option Units</w:t>
      </w:r>
      <w:r>
        <w:rPr>
          <w:rFonts w:ascii="Times New Roman" w:cs="Times New Roman" w:eastAsia="Times New Roman" w:hAnsi="Times New Roman"/>
          <w:sz w:val="18"/>
          <w:szCs w:val="18"/>
          <w:color w:val="auto"/>
        </w:rPr>
        <w:t xml:space="preserve">”) solely for the purposes of covering any over-allotments in connection with the distribution and sale of the Firm Units. Such Option Units shall, at the Representative’s election, be purchased for each account of the several Underwriters in the same proportion as the number of Firm Units set forth opposite such Underwriter’s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(subject to adjustment by the Representative to</w:t>
      </w:r>
    </w:p>
    <w:p>
      <w:pPr>
        <w:sectPr>
          <w:pgSz w:w="11900" w:h="16838" w:orient="portrait"/>
          <w:cols w:equalWidth="0" w:num="1">
            <w:col w:w="11000"/>
          </w:cols>
          <w:pgMar w:left="440" w:top="270" w:right="45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eliminate fractions). Such Option Units shall be identical in all respects to the Firm Units. The Firm Units and the Option Units are hereinafter collectively referred to as the “</w:t>
      </w:r>
      <w:r>
        <w:rPr>
          <w:rFonts w:ascii="Times New Roman" w:cs="Times New Roman" w:eastAsia="Times New Roman" w:hAnsi="Times New Roman"/>
          <w:sz w:val="18"/>
          <w:szCs w:val="18"/>
          <w:u w:val="single" w:color="auto"/>
          <w:color w:val="auto"/>
        </w:rPr>
        <w:t>Public Securities</w:t>
      </w:r>
      <w:r>
        <w:rPr>
          <w:rFonts w:ascii="Times New Roman" w:cs="Times New Roman" w:eastAsia="Times New Roman" w:hAnsi="Times New Roman"/>
          <w:sz w:val="18"/>
          <w:szCs w:val="18"/>
          <w:color w:val="auto"/>
        </w:rPr>
        <w:t>.” No Option Units shall be sold or delivered unless the Firm Units previously have been, or simultaneously are, sold and delivered. The right to purchase the Option Units, or any portion thereof, may be exercised from time to time and to the extent not previously exercised may be surrendered and terminated at any time upon notice by the Representative to the Company. The purchase price to be paid for each Option Unit (net of discounts and commissions) will be approximately $9.9924 per Option Unit ($32,975,000 in total for all of the Option Units, if the Over-Allotment Option is exercised in full).</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The Over-Allotment Option may be exercised by the Representative, on behalf of the several Underwriters, as to all or any part of the Option Units at any time and from time to time within forty-five (45) days after the Effective Date (as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below). The Representative will not be under any obligation to purchase any Option Units prior to the exercise of the Over-Allotment Option. The Over-Allotment Option may be exercised by oral notice from the Representative to the Company, which must be confirmed in accordance with the notice provisions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herein, setting forth the number of Option Units to be purchased and the date and time for delivery of and payment for the Option Units, if other than the Closing Date, which date shall not be earlier than the Closing Date or later than ten (10) full Business Days after the date of the notice (the “</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xml:space="preserve">”), at the offices of D. Boral Capital LLC, or at such other time and place as shall be agreed upon by the Company and the Representative. Upon exercise of the Over-Allotment Option, the Company will become obligated to convey to the several Underwriters, and, subject to the terms and conditions set forth herein, the several Underwriters will become obligated to purchase, the number of Option Units specified in such notice in the same proportion as the number of Firm Units set forth opposite each Underwriter’s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Option Units shall be made on the Option Closing Date at the Representative’s election by wire transfer in Federal (same day) funds or by certified or bank cashier’s check(s) in New York Clearing House funds, payable as follows: $10.00 per Option Unit shall be deposited in the Trust Account pursuant to the Trust Agreement upon delivery of certificates representing the Option Units (in form and substance satisfactory to the Representative), or through the facilities of DTC for the account of the Underwriters. The Option Units shall be registered in such names and in such authorized denominations as the Representative may request in writing at least one (1) Business Day prior to the Closing Date or the Option Closing Date, as the case may be. The Company will permit the Representative to examine and package the Option Units for delivery at least one (1) full Business Day prior to the Closing Date or the Option Closing Date, as the case may be.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1.4.1 In June 2025, upon the Company’s formation, one Class B ordinary share (the “</w:t>
      </w:r>
      <w:r>
        <w:rPr>
          <w:rFonts w:ascii="Times New Roman" w:cs="Times New Roman" w:eastAsia="Times New Roman" w:hAnsi="Times New Roman"/>
          <w:sz w:val="18"/>
          <w:szCs w:val="18"/>
          <w:u w:val="single" w:color="auto"/>
          <w:color w:val="auto"/>
        </w:rPr>
        <w:t>Original Share</w:t>
      </w:r>
      <w:r>
        <w:rPr>
          <w:rFonts w:ascii="Times New Roman" w:cs="Times New Roman" w:eastAsia="Times New Roman" w:hAnsi="Times New Roman"/>
          <w:sz w:val="18"/>
          <w:szCs w:val="18"/>
          <w:color w:val="auto"/>
        </w:rPr>
        <w:t>” and all Class B ordinary shares,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was allotted to Harneys Fiduciary (Cayman) Limited (“</w:t>
      </w:r>
      <w:r>
        <w:rPr>
          <w:rFonts w:ascii="Times New Roman" w:cs="Times New Roman" w:eastAsia="Times New Roman" w:hAnsi="Times New Roman"/>
          <w:sz w:val="18"/>
          <w:szCs w:val="18"/>
          <w:u w:val="single" w:color="auto"/>
          <w:color w:val="auto"/>
        </w:rPr>
        <w:t>Harneys Fiduciary</w:t>
      </w:r>
      <w:r>
        <w:rPr>
          <w:rFonts w:ascii="Times New Roman" w:cs="Times New Roman" w:eastAsia="Times New Roman" w:hAnsi="Times New Roman"/>
          <w:sz w:val="18"/>
          <w:szCs w:val="18"/>
          <w:color w:val="auto"/>
        </w:rPr>
        <w:t>”). On June 30, 2025, Harneys Fiduciary transferred the Original Share to GigAcquisitions8 Corp., a Cayman Islands exempted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the Sponsor purchased an additional 8,099,613 Class B Ordinary Shares (such Class B Ordinary Shares together with the Original Share, the “</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9" w:name="page10"/>
    <w:bookmarkEnd w:id="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Company for a purchase price of $0.0035 per share, for an aggregate purchase price of $25,000 in a private placement intended to be exempt from registration under Section 4(a)(2) of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July 18, 2025, the Sponsor surrendered 249,385 Founder Shares to the Company for no consideration, resulting in 7,850,229 Founder Shares outstanding. No underwriting discounts, commissions or placement fees have been or will be payable in connection with the sale of the Founder Shares. In connection with the Offering, the Sponsor will sell 375,397 Founder Shares to certain of its independent directors (the “</w:t>
      </w:r>
      <w:r>
        <w:rPr>
          <w:rFonts w:ascii="Times New Roman" w:cs="Times New Roman" w:eastAsia="Times New Roman" w:hAnsi="Times New Roman"/>
          <w:sz w:val="18"/>
          <w:szCs w:val="18"/>
          <w:u w:val="single" w:color="auto"/>
          <w:color w:val="auto"/>
        </w:rPr>
        <w:t>Specified Independent Directors</w:t>
      </w:r>
      <w:r>
        <w:rPr>
          <w:rFonts w:ascii="Times New Roman" w:cs="Times New Roman" w:eastAsia="Times New Roman" w:hAnsi="Times New Roman"/>
          <w:sz w:val="18"/>
          <w:szCs w:val="18"/>
          <w:color w:val="auto"/>
        </w:rPr>
        <w:t>”), for an aggregate purchase price of $9,244, and 1,416,665 Founder Shares to Lynrock Lake Master Fund, L.P. (“Lynrock”) for an aggregate purchase price of $13,130, reducing the number of Founder Shares held by the Sponsor to 6,058,167, and the amount paid by the Sponsor for each such Founder Share to $0.000433. Separately, prior to the consummation of the Offering, the Sponsor will transfer 5,000 Founder Shares to the Chief Financial Officer of the Company solely in consideration of future services. In addition, in connection with the Offering, the Company will sell 2,964,203 Class B Ordinary Shares (the “</w:t>
      </w:r>
      <w:r>
        <w:rPr>
          <w:rFonts w:ascii="Times New Roman" w:cs="Times New Roman" w:eastAsia="Times New Roman" w:hAnsi="Times New Roman"/>
          <w:sz w:val="18"/>
          <w:szCs w:val="18"/>
          <w:u w:val="single" w:color="auto"/>
          <w:color w:val="auto"/>
        </w:rPr>
        <w:t>Private Investor Shares</w:t>
      </w:r>
      <w:r>
        <w:rPr>
          <w:rFonts w:ascii="Times New Roman" w:cs="Times New Roman" w:eastAsia="Times New Roman" w:hAnsi="Times New Roman"/>
          <w:sz w:val="18"/>
          <w:szCs w:val="18"/>
          <w:color w:val="auto"/>
        </w:rPr>
        <w:t>”) to eight groups of institutional investors (the “</w:t>
      </w:r>
      <w:r>
        <w:rPr>
          <w:rFonts w:ascii="Times New Roman" w:cs="Times New Roman" w:eastAsia="Times New Roman" w:hAnsi="Times New Roman"/>
          <w:sz w:val="18"/>
          <w:szCs w:val="18"/>
          <w:u w:val="single" w:color="auto"/>
          <w:color w:val="auto"/>
        </w:rPr>
        <w:t>Non-Managing Investors</w:t>
      </w:r>
      <w:r>
        <w:rPr>
          <w:rFonts w:ascii="Times New Roman" w:cs="Times New Roman" w:eastAsia="Times New Roman" w:hAnsi="Times New Roman"/>
          <w:sz w:val="18"/>
          <w:szCs w:val="18"/>
          <w:color w:val="auto"/>
        </w:rPr>
        <w:t>”) at a price of $0.023254 per Private Investor Share in a private placement intended to be exempt from registration under the Act (the “</w:t>
      </w:r>
      <w:r>
        <w:rPr>
          <w:rFonts w:ascii="Times New Roman" w:cs="Times New Roman" w:eastAsia="Times New Roman" w:hAnsi="Times New Roman"/>
          <w:sz w:val="18"/>
          <w:szCs w:val="18"/>
          <w:u w:val="single" w:color="auto"/>
          <w:color w:val="auto"/>
        </w:rPr>
        <w:t>Private Investor Shares Private Placement</w:t>
      </w:r>
      <w:r>
        <w:rPr>
          <w:rFonts w:ascii="Times New Roman" w:cs="Times New Roman" w:eastAsia="Times New Roman" w:hAnsi="Times New Roman"/>
          <w:sz w:val="18"/>
          <w:szCs w:val="18"/>
          <w:color w:val="auto"/>
        </w:rPr>
        <w:t>”). The Founder Shares and the Private Investor Shares shall be subject to restrictions on transfer as set forth in the Registration Statement. Holders of the Founder Shares and the Private Investor Shares shall have no right to any liquidation distributions with respect to any portion of the Founder Shares in the event the Company fails to consummate any proposed initial merger, amalgamation, share exchange, asset acquisition, share purchase, reorganization or similar business combination with one or more businesses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within the required time period except with respect to any funds held outside of the Trust Account remaining after payment of all fees and expenses. Holders of the Founder Shares and the Private Investor Shares shall not have redemption rights with respect to the Founder Shares or the Private Investor Shares nor shall they be entitled to sell such Founder Shares or Private Investor Shares to the Company in any tender offer in connection with a proposed Business Combination. Up to 1,023,943 Founder Shares and 386,681 Private Investor Shares are subject to forfeiture depending on the extent to which the Over-Allotment Option is exercised.</w:t>
      </w:r>
    </w:p>
    <w:p>
      <w:pPr>
        <w:spacing w:after="0" w:line="19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1.4.2 Simultaneously with the closing of the Offering, the Sponsor, the Specified Independent Directors and Lynrock will purchase from the Company, pursuant to the </w:t>
      </w:r>
      <w:r>
        <w:rPr>
          <w:rFonts w:ascii="Times New Roman" w:cs="Times New Roman" w:eastAsia="Times New Roman" w:hAnsi="Times New Roman"/>
          <w:sz w:val="18"/>
          <w:szCs w:val="18"/>
          <w:u w:val="single" w:color="auto"/>
          <w:color w:val="auto"/>
        </w:rPr>
        <w:t>Sponsor Private Placement Securities Purchase Agreement</w:t>
      </w:r>
      <w:r>
        <w:rPr>
          <w:rFonts w:ascii="Times New Roman" w:cs="Times New Roman" w:eastAsia="Times New Roman" w:hAnsi="Times New Roman"/>
          <w:sz w:val="18"/>
          <w:szCs w:val="18"/>
          <w:color w:val="auto"/>
        </w:rPr>
        <w:t xml:space="preserve"> (as defined in Section 2.24.2 below), in a private placement (the “</w:t>
      </w:r>
      <w:r>
        <w:rPr>
          <w:rFonts w:ascii="Times New Roman" w:cs="Times New Roman" w:eastAsia="Times New Roman" w:hAnsi="Times New Roman"/>
          <w:sz w:val="18"/>
          <w:szCs w:val="18"/>
          <w:u w:val="single" w:color="auto"/>
          <w:color w:val="auto"/>
        </w:rPr>
        <w:t>Sponsor Private Placement</w:t>
      </w:r>
      <w:r>
        <w:rPr>
          <w:rFonts w:ascii="Times New Roman" w:cs="Times New Roman" w:eastAsia="Times New Roman" w:hAnsi="Times New Roman"/>
          <w:sz w:val="18"/>
          <w:szCs w:val="18"/>
          <w:color w:val="auto"/>
        </w:rPr>
        <w:t>”) intended to be exempt from registration under the Act, at an aggregate purchase price equal to $927,000, a total of 95,200 private placement units of the Company (the “</w:t>
      </w:r>
      <w:r>
        <w:rPr>
          <w:rFonts w:ascii="Times New Roman" w:cs="Times New Roman" w:eastAsia="Times New Roman" w:hAnsi="Times New Roman"/>
          <w:sz w:val="18"/>
          <w:szCs w:val="18"/>
          <w:u w:val="single" w:color="auto"/>
          <w:color w:val="auto"/>
        </w:rPr>
        <w:t>Private Placement Units</w:t>
      </w:r>
      <w:r>
        <w:rPr>
          <w:rFonts w:ascii="Times New Roman" w:cs="Times New Roman" w:eastAsia="Times New Roman" w:hAnsi="Times New Roman"/>
          <w:sz w:val="18"/>
          <w:szCs w:val="18"/>
          <w:color w:val="auto"/>
        </w:rPr>
        <w:t>”), at a price equal to $9.7374 per Private Placement Unit. Each Private Placement Unit consists of (a) one Class A Ordinary Share (the “</w:t>
      </w:r>
      <w:r>
        <w:rPr>
          <w:rFonts w:ascii="Times New Roman" w:cs="Times New Roman" w:eastAsia="Times New Roman" w:hAnsi="Times New Roman"/>
          <w:sz w:val="18"/>
          <w:szCs w:val="18"/>
          <w:u w:val="single" w:color="auto"/>
          <w:color w:val="auto"/>
        </w:rPr>
        <w:t>Private Placement Shares</w:t>
      </w:r>
      <w:r>
        <w:rPr>
          <w:rFonts w:ascii="Times New Roman" w:cs="Times New Roman" w:eastAsia="Times New Roman" w:hAnsi="Times New Roman"/>
          <w:sz w:val="18"/>
          <w:szCs w:val="18"/>
          <w:color w:val="auto"/>
        </w:rPr>
        <w:t>”), and (b) one right (the “</w:t>
      </w:r>
      <w:r>
        <w:rPr>
          <w:rFonts w:ascii="Times New Roman" w:cs="Times New Roman" w:eastAsia="Times New Roman" w:hAnsi="Times New Roman"/>
          <w:sz w:val="18"/>
          <w:szCs w:val="18"/>
          <w:u w:val="single" w:color="auto"/>
          <w:color w:val="auto"/>
        </w:rPr>
        <w:t>Private Placement Rights</w:t>
      </w:r>
      <w:r>
        <w:rPr>
          <w:rFonts w:ascii="Times New Roman" w:cs="Times New Roman" w:eastAsia="Times New Roman" w:hAnsi="Times New Roman"/>
          <w:sz w:val="18"/>
          <w:szCs w:val="18"/>
          <w:color w:val="auto"/>
        </w:rPr>
        <w:t>”), entitling the holder to receive one-fifth (1/5) of one Class A Ordinary Share upon the consummation of the initial Business Combination. Simultaneously with the closing of the Offering, the Non-Managing Investors shall purchase from the Company in a private placement intended to be exempt from registration under the Act (the “</w:t>
      </w:r>
      <w:r>
        <w:rPr>
          <w:rFonts w:ascii="Times New Roman" w:cs="Times New Roman" w:eastAsia="Times New Roman" w:hAnsi="Times New Roman"/>
          <w:sz w:val="18"/>
          <w:szCs w:val="18"/>
          <w:u w:val="single" w:color="auto"/>
          <w:color w:val="auto"/>
        </w:rPr>
        <w:t>Private Investors Private Placement Units Placement</w:t>
      </w:r>
      <w:r>
        <w:rPr>
          <w:rFonts w:ascii="Times New Roman" w:cs="Times New Roman" w:eastAsia="Times New Roman" w:hAnsi="Times New Roman"/>
          <w:sz w:val="18"/>
          <w:szCs w:val="18"/>
          <w:color w:val="auto"/>
        </w:rPr>
        <w:t>” and, together with the Sponsor Private Placement and the Private Investor Shares Private Placement, the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 242,475 Private Placement Units, at a price of $9.7374 per Private Placement Unit. No underwriting discounts, commissions or placement fees have been or will be payable in connection with the Private Placements. The Company shall cause to be deposited an amount of additional proceeds from the sale of the Private Placement Units into the Trust Account such that the amount of funds in the Trust Account shall be $10.00 per Public Share sold in the Offering.</w:t>
      </w:r>
    </w:p>
    <w:p>
      <w:pPr>
        <w:sectPr>
          <w:pgSz w:w="11900" w:h="16838" w:orient="portrait"/>
          <w:cols w:equalWidth="0" w:num="1">
            <w:col w:w="11000"/>
          </w:cols>
          <w:pgMar w:left="440" w:top="270" w:right="459" w:bottom="1440" w:gutter="0" w:footer="0" w:header="0"/>
        </w:sectPr>
      </w:pPr>
    </w:p>
    <w:bookmarkStart w:id="10" w:name="page11"/>
    <w:bookmarkEnd w:id="10"/>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1.4.3 The amount of the proceeds of the sale of the Private Placement Securities, together with the proceeds of the Offering, shall be used to maintain the amount in trust at $10.00 per Firm Unit sold in the Offering. Additionally, the Sponsor agrees that if the Over-Allotment Option is exercised, all of the proceeds of such Over-Allotment Option will be deposited into the Trust Account such that the amount in trust shall be equal to $10.00 per Class A Ordinary Share sold to the public in the Offering, including as a result of the exercise of the Over-Allotment Option.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Upon consummation of the Offering, approximately $1,400,000 ($1,507,000 if the Over-Allotment Option is exercised in full) of the net proceeds from the sale of the Private Placement Securities shall be released to the Company, which together with $25,000 paid to the Company by the Sponsor for the purchase of Founder Shares, shall result in a total of $1,425,000 ($1,532,000 if the Over-Allotment Option is exercised in full) to fund the working capital requirements of the Company.</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 Interest income on funds held in the Trust Account may be released to the Company from the Trust Account in accordance with the terms of the Trust Agreement to pay any taxes incurred by the Company, all as more fully described in the Prospectus (as defined below).</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the Underwriters as of the date hereof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Act</w:t>
      </w:r>
      <w:r>
        <w:rPr>
          <w:rFonts w:ascii="Times New Roman" w:cs="Times New Roman" w:eastAsia="Times New Roman" w:hAnsi="Times New Roman"/>
          <w:sz w:val="18"/>
          <w:szCs w:val="18"/>
          <w:color w:val="auto"/>
        </w:rPr>
        <w:t>. The Company has filed with the Commission a registration statement and any amendments thereto, on Form S-1 (File No. 333-289479), including any related preliminary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including any prospectus that is included in the registration statement immediately prior to the effectiveness of the registration statement, for the registration of the Public Securities under the Act, which registration statement and amendment or amendments have been prepared by the Company in conformity with the requirements of the Act, and the rules and regulations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of the Commission under the Act. Except as the context may otherwise require, such registration statement, as amended, on file with the Commission and effective as of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financial statements, schedules, exhibits, and all other documents filed as a part thereof or incorporated therein and all information deemed to be a part thereof as of such time pursuant to Rule 430A of the Regulations, together with the registration statement filed by the Company pursuant to Rule 462(b) under the Act, if any, registering additional Public Securities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is hereinafter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provided, that any references herein to the Registration Statement at any given time shall mean such registration statement, as amended, on file with the Commission at such time, including the prospectus, financial statements, schedules, exhibits, and all other documents filed as a part thereof or incorporated therein and all information deemed to be a part thereof as of such time pursuant to Rule 430A of the Regulations, and the form of the final prospectus dated the Effective Date</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included in the Registration Statement (or, if applicable, the form of final prospectus containing information permitted to be omitted at the time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by Rule 430A of the Regulations filed with the Commission pursuant to Rule 424 of the Regulations), is hereinafter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Time of Sale</w:t>
      </w:r>
      <w:r>
        <w:rPr>
          <w:rFonts w:ascii="Times New Roman" w:cs="Times New Roman" w:eastAsia="Times New Roman" w:hAnsi="Times New Roman"/>
          <w:sz w:val="17"/>
          <w:szCs w:val="17"/>
          <w:color w:val="auto"/>
        </w:rPr>
        <w:t>,” as used in the Act, means 4:35 p.m., New York time, on the date of this Agreement.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Time of Sale, the Company prepared a preliminary prospectus, dated September 30, 2025, for distribution by the Underwriters (the “</w:t>
      </w:r>
      <w:r>
        <w:rPr>
          <w:rFonts w:ascii="Times New Roman" w:cs="Times New Roman" w:eastAsia="Times New Roman" w:hAnsi="Times New Roman"/>
          <w:sz w:val="18"/>
          <w:szCs w:val="18"/>
          <w:u w:val="single" w:color="auto"/>
          <w:color w:val="auto"/>
        </w:rPr>
        <w:t>Statutory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and, together with the information included on Schedule B hereto,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Other than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together with any correspondence letters between the Company and/or counsel for the Company and the Commission, no other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Registration Statement has been filed under the Act with the Commission. All of the Public Securities have been or will be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Act pursuant to the Registration Statement. The Registration Statement has been declared effective by the Commission at 4:30 p.m.,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September 30, 2025. If, subsequent to the date of this Agreement, the Company or the Representative determines that at the Time of Sale,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Disclosure Package included an untrue statement of a material fact or omitted a statement of material fact necessary to make the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in light of the circumstances under which they were made, not misleading and agrees to provide an opportunity to purchasers of the Firm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terminate their old purchase contracts and enter into new purchase contracts, then the General Disclosure Package will be deemed to include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available to purchasers at the time of entry into the first such new purchase contract.</w:t>
      </w:r>
    </w:p>
    <w:p>
      <w:pPr>
        <w:spacing w:after="0" w:line="20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Registration Statement on Form 8-A, as amended (File Number 001-[ • ]), providing for the registration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the Public Securities, Public Shares, and Rights. The registration of the Public Securities, Public Shares, and Rights under the Exchange Act has been declared effective by the Commission on or prior to the date hereof.</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to the Company’s knowledge, any foreign or state regulatory authority has issued any order or threatened to issue any order preventing or suspending the use of any Statutory Prospectus or the Prospectus or has instituted or, to the best of the Company’s knowledge, threatened to institute any proceedings with respect to such an order.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10b-5 Representation</w:t>
      </w:r>
      <w:r>
        <w:rPr>
          <w:rFonts w:ascii="Times New Roman" w:cs="Times New Roman" w:eastAsia="Times New Roman" w:hAnsi="Times New Roman"/>
          <w:sz w:val="18"/>
          <w:szCs w:val="18"/>
          <w:color w:val="auto"/>
        </w:rPr>
        <w:t>. At the Effective Date (or at the effective time of any post-effective amendment to the Registration Statement subsequent to the Effective Date) and at all times subsequent thereto up to the Closing Date, the Registration Statement,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At the Effective Date and at the Time of Sale, the Registration Statement did not, and on the Closing Date it will not, contain any untrue statement of a material fact or omit to state a material fact required to be stated therein or necessary in order to make the statements therein not misleading;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w:t>
      </w:r>
    </w:p>
    <w:p>
      <w:pPr>
        <w:sectPr>
          <w:pgSz w:w="11900" w:h="16838" w:orient="portrait"/>
          <w:cols w:equalWidth="0" w:num="1">
            <w:col w:w="11000"/>
          </w:cols>
          <w:pgMar w:left="440" w:top="270" w:right="459" w:bottom="1440" w:gutter="0" w:footer="0" w:header="0"/>
        </w:sectPr>
      </w:pPr>
    </w:p>
    <w:bookmarkStart w:id="12" w:name="page13"/>
    <w:bookmarkEnd w:id="12"/>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circumstances under which they were made, not misleading; and at the Time of Sale, the General Disclosure Package does not include any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the representation and warranty made in this </w:t>
      </w:r>
      <w:r>
        <w:rPr>
          <w:rFonts w:ascii="Times New Roman" w:cs="Times New Roman" w:eastAsia="Times New Roman" w:hAnsi="Times New Roman"/>
          <w:sz w:val="17"/>
          <w:szCs w:val="17"/>
          <w:u w:val="single" w:color="auto"/>
          <w:color w:val="auto"/>
        </w:rPr>
        <w:t>Section 2.3.1</w:t>
      </w:r>
      <w:r>
        <w:rPr>
          <w:rFonts w:ascii="Times New Roman" w:cs="Times New Roman" w:eastAsia="Times New Roman" w:hAnsi="Times New Roman"/>
          <w:sz w:val="17"/>
          <w:szCs w:val="17"/>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the General Disclosure Package, or Prospectus, or any amendment thereof or supplement thereto, which information, it is agreed, shall consist solely of the following (the “</w:t>
      </w:r>
      <w:r>
        <w:rPr>
          <w:rFonts w:ascii="Times New Roman" w:cs="Times New Roman" w:eastAsia="Times New Roman" w:hAnsi="Times New Roman"/>
          <w:sz w:val="17"/>
          <w:szCs w:val="17"/>
          <w:u w:val="single" w:color="auto"/>
          <w:color w:val="auto"/>
        </w:rPr>
        <w:t>Underwriter Information</w:t>
      </w:r>
      <w:r>
        <w:rPr>
          <w:rFonts w:ascii="Times New Roman" w:cs="Times New Roman" w:eastAsia="Times New Roman" w:hAnsi="Times New Roman"/>
          <w:sz w:val="17"/>
          <w:szCs w:val="17"/>
          <w:color w:val="auto"/>
        </w:rPr>
        <w:t>”): the names of the Underwriters and the information with respect to short positions and stabilizing transactions contained in the 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paragraph in the section captioned “Underwriting”.</w:t>
      </w:r>
    </w:p>
    <w:p>
      <w:pPr>
        <w:spacing w:after="0" w:line="4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General Disclosure Package, and the Prospectus conform in all material respects to the descriptions thereof contained therein and there are no agreements or other documents required to be described in the Registration Statement, the General Disclosure Package,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that is referred to in the Registration Statement or attached as an exhibit thereto or that is material to the Company’s business, has been duly and validly executed by the Company, is in full force and effect in all material respects, and is enforceable against the Company and, to the Company’s knowledge, the other parties thereto, in all material respects in accordance with its terms, except (a) as such enforceability may be limited by bankruptcy, insolvency, reorganization or similar laws affecting creditors’ rights generally, (b) as enforceability of any indemnification or contribution provision may be limited under the foreign, federal, and state securities laws, and (c)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9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 the General Disclosure Package, and the Prospectus.</w:t>
      </w:r>
    </w:p>
    <w:p>
      <w:pPr>
        <w:sectPr>
          <w:pgSz w:w="11900" w:h="16838" w:orient="portrait"/>
          <w:cols w:equalWidth="0" w:num="1">
            <w:col w:w="11000"/>
          </w:cols>
          <w:pgMar w:left="440" w:top="270" w:right="459" w:bottom="1440" w:gutter="0" w:footer="0" w:header="0"/>
        </w:sectPr>
      </w:pPr>
    </w:p>
    <w:bookmarkStart w:id="13" w:name="page14"/>
    <w:bookmarkEnd w:id="13"/>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General Disclosure Package, and the Prospectus concerning the effects of foreign, federal, state and local regulation on the Company’s business as currently contemplated are correct in all material respects and do not omit to state a material fact necessary to make the statements therein, in the light of the circumstances in which they were made, not misleading.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end of the period covered by the latest audited financial statements included in the Registration Statement, the General Disclosure Package, and the Prospectus, except as otherwise specifically stated therein: (i) no event has occurred that could reasonably be expected to have a Material Adverse Effect (as defined below) on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the General Disclosure Package, and the Prospectus.</w:t>
      </w:r>
    </w:p>
    <w:p>
      <w:pPr>
        <w:spacing w:after="0" w:line="19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Since the end of the period covered by the latest audited financial statements included in the Registration Statement, the General Disclosure Package, and the Prospectus, and except as may otherwise be indicated or contemplated herein or therein, the Company has not: (i) issued any securities or incurred any material liability or obligation, direct or contingent, for borrowed money other than in the ordinary course of business; or (ii) declared or paid any dividend or made any other distribution on or in respect to its capital stock.</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Independent Registered Public Accounting Firm</w:t>
      </w:r>
      <w:r>
        <w:rPr>
          <w:rFonts w:ascii="Times New Roman" w:cs="Times New Roman" w:eastAsia="Times New Roman" w:hAnsi="Times New Roman"/>
          <w:sz w:val="18"/>
          <w:szCs w:val="18"/>
          <w:color w:val="auto"/>
        </w:rPr>
        <w:t>. BPM LLP (“</w:t>
      </w:r>
      <w:r>
        <w:rPr>
          <w:rFonts w:ascii="Times New Roman" w:cs="Times New Roman" w:eastAsia="Times New Roman" w:hAnsi="Times New Roman"/>
          <w:sz w:val="18"/>
          <w:szCs w:val="18"/>
          <w:u w:val="single" w:color="auto"/>
          <w:color w:val="auto"/>
        </w:rPr>
        <w:t>BPM</w:t>
      </w:r>
      <w:r>
        <w:rPr>
          <w:rFonts w:ascii="Times New Roman" w:cs="Times New Roman" w:eastAsia="Times New Roman" w:hAnsi="Times New Roman"/>
          <w:sz w:val="18"/>
          <w:szCs w:val="18"/>
          <w:color w:val="auto"/>
        </w:rPr>
        <w:t>”), whose report is filed with the Commission as part of the Registration Statement and included in the Registration Statement, the General Disclosure Package, and the Prospectus, is an independent registered public accounting firm as required by the Act, the Regulations, and the Public Company Accounting Oversight Board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including the rules and regulations promulgated by such entity. To the Company’s knowledge, BPM is duly registered and in good standing with the PCAOB. BPM has not, during the periods covered by the financial statements included in the Registration Statement, the General Disclosure Package, and the Prospectus, provided to the Company any non-audit services, as such term is used in Section 10A(g) of the Exchange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Financial Statements; Statistical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the notes thereto and supporting schedules included in the Registration Statement, the General Disclosure Package,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except as disclosed therein; and the supporting schedules included in the Registration Statement</w:t>
      </w:r>
    </w:p>
    <w:p>
      <w:pPr>
        <w:sectPr>
          <w:pgSz w:w="11900" w:h="16838" w:orient="portrait"/>
          <w:cols w:equalWidth="0" w:num="1">
            <w:col w:w="10980"/>
          </w:cols>
          <w:pgMar w:left="440" w:top="270" w:right="47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present fairly in all material respects the information required to be stated therein in conformity with the Regulations. No other financial statements or supporting schedules are required to be included or incorporated by reference in the Registration Statement, the General Disclosure Package, or the Prospectus. The Registration Statement, the General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There are no pro forma or as adjusted financial statements which are required to be included in the Registration Statement, the General Disclosure Package, or the Prospectus in accordance with Regulation S-X of the Regulations which have not been included as so required.</w:t>
      </w:r>
    </w:p>
    <w:p>
      <w:pPr>
        <w:spacing w:after="0" w:line="19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Statistical Data</w:t>
      </w:r>
      <w:r>
        <w:rPr>
          <w:rFonts w:ascii="Times New Roman" w:cs="Times New Roman" w:eastAsia="Times New Roman" w:hAnsi="Times New Roman"/>
          <w:sz w:val="18"/>
          <w:szCs w:val="18"/>
          <w:color w:val="auto"/>
        </w:rPr>
        <w:t>. The statistical, industry-related and market-related data included in the Registration Statement, the General Disclosure Package, and/or the Prospectus are based on or derived from sources which the Company reasonably and in good faith believes are reliable and accurate, and such data agree with the sources from which they are derived.</w:t>
      </w:r>
    </w:p>
    <w:p>
      <w:pPr>
        <w:spacing w:after="0" w:line="176" w:lineRule="exact"/>
        <w:rPr>
          <w:sz w:val="20"/>
          <w:szCs w:val="20"/>
          <w:color w:val="auto"/>
        </w:rPr>
      </w:pPr>
    </w:p>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Authorized Capital; Options</w:t>
      </w:r>
      <w:r>
        <w:rPr>
          <w:rFonts w:ascii="Times New Roman" w:cs="Times New Roman" w:eastAsia="Times New Roman" w:hAnsi="Times New Roman"/>
          <w:sz w:val="17"/>
          <w:szCs w:val="17"/>
          <w:color w:val="auto"/>
        </w:rPr>
        <w:t>. etc. The Company had at the date or dates indicated in each of the Registration Statement, the General Disclosure Package, and the Prospectus, as the case may be, duly authorized, issued, and outstanding capitalization as set forth in the Registration Statement, the General Disclosure Package, and the Prospectus. Based on the assumptions stated in the Registration Statement, the General Disclosure Package, and the Prospectus, the Company will have on the Closing Date the adjusted stock capitalization set forth therein. Except as set forth in, or contemplated by, the Registration Statement, the General Disclosure Package and the Prospectus, on the Effective Date and on the Closing Date, there will be no options, warrants, or other rights to purchase or otherwise acquire any authorized, but unissued Ordinary Shares or any security convertible into Ordinary Shares, or any contracts or commitments to issue or sell Ordinary Shares or any such options, warrants, rights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-864870</wp:posOffset>
            </wp:positionV>
            <wp:extent cx="1619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Valid Issuance of Securities,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Offering and Private Placements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outstanding securities of the Company issued prior to the Offering and Private Placements conform to the descriptions thereof contained in the Registration Statement, the General Disclosure Package, and the Prospectus. All offers, sales, and any transfers of the outstanding securities of the Company issued prior to the transactions contemplated by this Agreement were at all relevant times either registered under the Act and the applicable state securities or Blue Sky laws or exempt from such registration requirements (based in part on the representations and warranties of the purchasers of the securities of the Company issued prior to the Offering and Private Placements).</w:t>
      </w:r>
    </w:p>
    <w:p>
      <w:pPr>
        <w:sectPr>
          <w:pgSz w:w="11900" w:h="16838" w:orient="portrait"/>
          <w:cols w:equalWidth="0" w:num="1">
            <w:col w:w="10960"/>
          </w:cols>
          <w:pgMar w:left="440" w:top="270" w:right="499" w:bottom="1440" w:gutter="0" w:footer="0" w:header="0"/>
        </w:sectPr>
      </w:pPr>
    </w:p>
    <w:bookmarkStart w:id="15" w:name="page16"/>
    <w:bookmarkEnd w:id="15"/>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2.8.2 </w:t>
      </w:r>
      <w:r>
        <w:rPr>
          <w:rFonts w:ascii="Times New Roman" w:cs="Times New Roman" w:eastAsia="Times New Roman" w:hAnsi="Times New Roman"/>
          <w:sz w:val="18"/>
          <w:szCs w:val="18"/>
          <w:u w:val="single" w:color="auto"/>
          <w:color w:val="auto"/>
        </w:rPr>
        <w:t>Public Securities</w:t>
      </w:r>
      <w:r>
        <w:rPr>
          <w:rFonts w:ascii="Times New Roman" w:cs="Times New Roman" w:eastAsia="Times New Roman" w:hAnsi="Times New Roman"/>
          <w:sz w:val="18"/>
          <w:szCs w:val="18"/>
          <w:color w:val="auto"/>
        </w:rPr>
        <w:t>. The Public Securities, the Public Shares, the Rights, and the Class A Ordinary Shares underlying the Rights,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the Public Shares, the Rights, and the Class A Ordinary Shares underlying the Rights, are not and will not be subject to the preemptive rights of any holders of any security of the Company or similar contractual rights granted by the Company; and all corporate action required to be taken for the authorization, issuance and sale of the Public Securities, the Public Shares, the Rights, and the Class A Ordinary Shares underlying the Rights, has been duly and validly taken. The Public Securities, the Public Shares, the Rights, and the Class A Ordinary Shares underlying the Rights conform in all material respects to the descriptions thereof contained in the Registration Statement, the General Disclosure Package, and the Prospectus, as the case may be.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2.8.4 </w:t>
      </w:r>
      <w:r>
        <w:rPr>
          <w:rFonts w:ascii="Times New Roman" w:cs="Times New Roman" w:eastAsia="Times New Roman" w:hAnsi="Times New Roman"/>
          <w:sz w:val="18"/>
          <w:szCs w:val="18"/>
          <w:u w:val="single" w:color="auto"/>
          <w:color w:val="auto"/>
        </w:rPr>
        <w:t>Private Placement Securities</w:t>
      </w:r>
      <w:r>
        <w:rPr>
          <w:rFonts w:ascii="Times New Roman" w:cs="Times New Roman" w:eastAsia="Times New Roman" w:hAnsi="Times New Roman"/>
          <w:sz w:val="18"/>
          <w:szCs w:val="18"/>
          <w:color w:val="auto"/>
        </w:rPr>
        <w:t>. The Private Placement Units, the Private Placement Shares, the Private Placement Rights, and the Class A Ordinary Shares underlying the Private Placement Rights have been duly authorized and reserved for issuance and when issued and paid for in accordance with each of the Sponsor Private Placement Securities Purchase Agreement and Investor Private Placement Securities Purchase Agreement will be validly issued, fully paid and non-assessable; the holders thereof are not and will not be subject to personal liability by reason of being such holders; the Private Placement Units, the Private Placement Shares, the Private Placement Rights, and the Class A Ordinary Shares underlying the Private Placement Rights, are not and will not be subject to the preemptive rights of any holders of any security of the Company or similar contractual rights granted by the Company; and all corporate action required to be taken for the authorization, issuance and sale of the Private Placement Units, the Private Placement Shares, the Private Placement Rights, and the Class A Ordinary Shares underlying the Private Placement Rights has been duly and validly taken. The Private Placement Units, the Private Placement Shares, the Private Placement Rights, and the Class A Ordinary Shares underlying the Private Placement Rights conform in all material respects to the descriptions thereof contained in the Registration Statement, the General Disclosure Package, and the Prospectus, as the case may be.</w:t>
      </w:r>
    </w:p>
    <w:p>
      <w:pPr>
        <w:spacing w:after="0" w:line="19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2.8.5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Company nor any of its affiliates has, prior to the date hereof, made any offer or sale of any securities which are required to be “integrated” pursuant to the Act or the Regulations with the offer and sale of the Public Securities, the Public Shares, and the Rights pursuant to the Registration Statement, or the Private Placement Securities in the Private Placements.</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General Disclosure Package,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ectPr>
          <w:pgSz w:w="11900" w:h="16838" w:orient="portrait"/>
          <w:cols w:equalWidth="0" w:num="1">
            <w:col w:w="10960"/>
          </w:cols>
          <w:pgMar w:left="440" w:top="270" w:right="499" w:bottom="1440" w:gutter="0" w:footer="0" w:header="0"/>
        </w:sectPr>
      </w:pPr>
    </w:p>
    <w:bookmarkStart w:id="16" w:name="page17"/>
    <w:bookmarkEnd w:id="16"/>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xml:space="preserve">. This Agreement, the Insider Letter (as defined in </w:t>
      </w:r>
      <w:r>
        <w:rPr>
          <w:rFonts w:ascii="Times New Roman" w:cs="Times New Roman" w:eastAsia="Times New Roman" w:hAnsi="Times New Roman"/>
          <w:sz w:val="18"/>
          <w:szCs w:val="18"/>
          <w:u w:val="single" w:color="auto"/>
          <w:color w:val="auto"/>
        </w:rPr>
        <w:t>Section 2.24.1</w:t>
      </w:r>
      <w:r>
        <w:rPr>
          <w:rFonts w:ascii="Times New Roman" w:cs="Times New Roman" w:eastAsia="Times New Roman" w:hAnsi="Times New Roman"/>
          <w:sz w:val="18"/>
          <w:szCs w:val="18"/>
          <w:color w:val="auto"/>
        </w:rPr>
        <w:t xml:space="preserve"> below), the Trust Agreement, the Sponsor Private Placement Securities Purchase Agreement (as defined in </w:t>
      </w:r>
      <w:r>
        <w:rPr>
          <w:rFonts w:ascii="Times New Roman" w:cs="Times New Roman" w:eastAsia="Times New Roman" w:hAnsi="Times New Roman"/>
          <w:sz w:val="18"/>
          <w:szCs w:val="18"/>
          <w:u w:val="single" w:color="auto"/>
          <w:color w:val="auto"/>
        </w:rPr>
        <w:t>Section 2.24.2(a))</w:t>
      </w:r>
      <w:r>
        <w:rPr>
          <w:rFonts w:ascii="Times New Roman" w:cs="Times New Roman" w:eastAsia="Times New Roman" w:hAnsi="Times New Roman"/>
          <w:sz w:val="18"/>
          <w:szCs w:val="18"/>
          <w:color w:val="auto"/>
        </w:rPr>
        <w:t xml:space="preserve">, the Investor Private Placement Securities Purchase Agreement (as defined in </w:t>
      </w:r>
      <w:r>
        <w:rPr>
          <w:rFonts w:ascii="Times New Roman" w:cs="Times New Roman" w:eastAsia="Times New Roman" w:hAnsi="Times New Roman"/>
          <w:sz w:val="18"/>
          <w:szCs w:val="18"/>
          <w:u w:val="single" w:color="auto"/>
          <w:color w:val="auto"/>
        </w:rPr>
        <w:t>Section 2.24.2(b))</w:t>
      </w:r>
      <w:r>
        <w:rPr>
          <w:rFonts w:ascii="Times New Roman" w:cs="Times New Roman" w:eastAsia="Times New Roman" w:hAnsi="Times New Roman"/>
          <w:sz w:val="18"/>
          <w:szCs w:val="18"/>
          <w:color w:val="auto"/>
        </w:rPr>
        <w:t xml:space="preserve">, the Founder Shares Subscription Agreement (as defined in </w:t>
      </w:r>
      <w:r>
        <w:rPr>
          <w:rFonts w:ascii="Times New Roman" w:cs="Times New Roman" w:eastAsia="Times New Roman" w:hAnsi="Times New Roman"/>
          <w:sz w:val="18"/>
          <w:szCs w:val="18"/>
          <w:u w:val="single" w:color="auto"/>
          <w:color w:val="auto"/>
        </w:rPr>
        <w:t>Section 2.24.3)</w:t>
      </w:r>
      <w:r>
        <w:rPr>
          <w:rFonts w:ascii="Times New Roman" w:cs="Times New Roman" w:eastAsia="Times New Roman" w:hAnsi="Times New Roman"/>
          <w:sz w:val="18"/>
          <w:szCs w:val="18"/>
          <w:color w:val="auto"/>
        </w:rPr>
        <w:t xml:space="preserve"> the Services Agreement (as defined in </w:t>
      </w:r>
      <w:r>
        <w:rPr>
          <w:rFonts w:ascii="Times New Roman" w:cs="Times New Roman" w:eastAsia="Times New Roman" w:hAnsi="Times New Roman"/>
          <w:sz w:val="18"/>
          <w:szCs w:val="18"/>
          <w:u w:val="single" w:color="auto"/>
          <w:color w:val="auto"/>
        </w:rPr>
        <w:t>Section 2.24.7</w:t>
      </w:r>
      <w:r>
        <w:rPr>
          <w:rFonts w:ascii="Times New Roman" w:cs="Times New Roman" w:eastAsia="Times New Roman" w:hAnsi="Times New Roman"/>
          <w:sz w:val="18"/>
          <w:szCs w:val="18"/>
          <w:color w:val="auto"/>
        </w:rPr>
        <w:t xml:space="preserve"> below), the Rights Agreement (as defined in </w:t>
      </w:r>
      <w:r>
        <w:rPr>
          <w:rFonts w:ascii="Times New Roman" w:cs="Times New Roman" w:eastAsia="Times New Roman" w:hAnsi="Times New Roman"/>
          <w:sz w:val="18"/>
          <w:szCs w:val="18"/>
          <w:u w:val="single" w:color="auto"/>
          <w:color w:val="auto"/>
        </w:rPr>
        <w:t>Section 2.24.9)</w:t>
      </w:r>
      <w:r>
        <w:rPr>
          <w:rFonts w:ascii="Times New Roman" w:cs="Times New Roman" w:eastAsia="Times New Roman" w:hAnsi="Times New Roman"/>
          <w:sz w:val="18"/>
          <w:szCs w:val="18"/>
          <w:color w:val="auto"/>
        </w:rPr>
        <w:t xml:space="preserve"> and the Registration Rights Agreement (as defined in </w:t>
      </w:r>
      <w:r>
        <w:rPr>
          <w:rFonts w:ascii="Times New Roman" w:cs="Times New Roman" w:eastAsia="Times New Roman" w:hAnsi="Times New Roman"/>
          <w:sz w:val="18"/>
          <w:szCs w:val="18"/>
          <w:u w:val="single" w:color="auto"/>
          <w:color w:val="auto"/>
        </w:rPr>
        <w:t>Section 2.24.6</w:t>
      </w:r>
      <w:r>
        <w:rPr>
          <w:rFonts w:ascii="Times New Roman" w:cs="Times New Roman" w:eastAsia="Times New Roman" w:hAnsi="Times New Roman"/>
          <w:sz w:val="18"/>
          <w:szCs w:val="18"/>
          <w:color w:val="auto"/>
        </w:rPr>
        <w:t xml:space="preserve"> below)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have been duly and validly authorized by the Company, and, when executed and delivered by the Company and the other parties thereto, will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the Transaction Documents, the consummation by the Company of the transactions therein contemplated, and the compliance by the Company with the terms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Company’s amended and restated memorandum and articles of association (as the same may be amended from time to time, collectively the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(iii) violate any existing applicable statute, law, rule, regulation, judgment, order, or decree of any governmental agency or court, domestic or foreign, having jurisdiction over the Company or any of its properties, business or assets, except such violation or breach that would not reasonably be expected to have a Material Adverse Effect.</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No default exists in the due performance and observance of any term, covenant or condition of any license, contract, indenture, mortgage, deed of trust, note, loan, or credit agreement, or any other agreement or instrument evidencing an obligation for borrowed money, or any other agreement or instrument to which the Company is a party or by which the Company may be bound or to which any of the properties or assets of the Company is subject except for such default that would not, singly or in the aggregate, result in a Material Adverse Effect to the Company. The Company is (i) not in violation of any term or provision of its Charter Documents; or (ii) in violation of any franchise, license, permit, applicable law, rule, regulation, judgment or decree of any governmental agency or court, domestic or foreign, having jurisdiction over the Company or any of its properties or businesses except, with respect to clause (ii) only, that would not, singly or in the aggregate, result in a Material Adverse Effect to the Company.</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2.13.1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General Disclosure Package, and the Prospectus. The disclosures in the Registration Statement, the General Disclosure Package,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the light of the circumstances under which they were made, not misleading. Since its formation and except as described in the Registration Statement, the Company has conducted no business and has incurred no liabilities other than in connection with its formation and in furtherance of the Offering.</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2.13.2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consents, authorizations, approvals, and orders required in connection herewith have been obtained. No consent, authorization, or order of, and no filing with, any court, government agency, or other body, foreign or domestic, is required for the valid issuance, sale, and delivery, of the Public Securities, the Public Shares, and the Rights and the consummation of the transactions and agreements contemplated by the Transaction Documents and as contemplated by the Registration Statement, the General Disclosure Package, and Prospectus, except with respect to applicable foreign, federal, and state securities laws and the rules and regulations promulgated by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completed immediately prior to the initial filing of the Registration Statement and provided to the Representative (the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by each of the Company’s officers, directors, 10% beneficial owners, and owners of unregistered securities acquired within the past 180 days (the “</w:t>
      </w:r>
      <w:r>
        <w:rPr>
          <w:rFonts w:ascii="Times New Roman" w:cs="Times New Roman" w:eastAsia="Times New Roman" w:hAnsi="Times New Roman"/>
          <w:sz w:val="18"/>
          <w:szCs w:val="18"/>
          <w:u w:val="single" w:color="auto"/>
          <w:color w:val="auto"/>
        </w:rPr>
        <w:t>Respondents</w:t>
      </w:r>
      <w:r>
        <w:rPr>
          <w:rFonts w:ascii="Times New Roman" w:cs="Times New Roman" w:eastAsia="Times New Roman" w:hAnsi="Times New Roman"/>
          <w:sz w:val="18"/>
          <w:szCs w:val="18"/>
          <w:color w:val="auto"/>
        </w:rPr>
        <w:t>”), as such Questionnaires may have been updated from time to time and confirmed by each of the Respondents, as well as the biographies previously provided to the Representative, is true and correct and the Company has not become aware of any information which would cause the information disclosed in the Questionnaires to become inaccurate and incorrect.</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to the Company’s knowledge, threatened against, or involving the Company or, to the Company’s knowledge, any of the Respondents, which has not been disclosed in the Registration Statement, the General Disclosure Package, and the Prospectus.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organized and is validly existing as a corporation and is in good standing under the laws of its jurisdiction of incorporation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condition (financial or otherwise), prospects, earnings, assets, business, operations or properties of the Company,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8" w:name="page19"/>
    <w:bookmarkEnd w:id="18"/>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2.17 </w:t>
      </w:r>
      <w:r>
        <w:rPr>
          <w:rFonts w:ascii="Times New Roman" w:cs="Times New Roman" w:eastAsia="Times New Roman" w:hAnsi="Times New Roman"/>
          <w:sz w:val="18"/>
          <w:szCs w:val="18"/>
          <w:u w:val="single" w:color="auto"/>
          <w:color w:val="auto"/>
        </w:rPr>
        <w:t>No Consideration of a Business Combination</w:t>
      </w:r>
      <w:r>
        <w:rPr>
          <w:rFonts w:ascii="Times New Roman" w:cs="Times New Roman" w:eastAsia="Times New Roman" w:hAnsi="Times New Roman"/>
          <w:sz w:val="18"/>
          <w:szCs w:val="18"/>
          <w:color w:val="auto"/>
        </w:rPr>
        <w:t>. Prior to the date hereof, neither the Company nor any Respondent has, and as of the Closing Date, the Company and such Respondents will not have: (a) had any specific Business Combination under consideration; or (b) directly or indirectly, contacted any prospective target business which the Company may seek to acquire (each, a “</w:t>
      </w:r>
      <w:r>
        <w:rPr>
          <w:rFonts w:ascii="Times New Roman" w:cs="Times New Roman" w:eastAsia="Times New Roman" w:hAnsi="Times New Roman"/>
          <w:sz w:val="18"/>
          <w:szCs w:val="18"/>
          <w:u w:val="single" w:color="auto"/>
          <w:color w:val="auto"/>
        </w:rPr>
        <w:t>Target Business</w:t>
      </w:r>
      <w:r>
        <w:rPr>
          <w:rFonts w:ascii="Times New Roman" w:cs="Times New Roman" w:eastAsia="Times New Roman" w:hAnsi="Times New Roman"/>
          <w:sz w:val="18"/>
          <w:szCs w:val="18"/>
          <w:color w:val="auto"/>
        </w:rPr>
        <w:t>”) or had any substantive discussions, formal or otherwise, with respect to effecting any potential Business Combination with the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2.18.1 To the Company’s knowledge, all information contained in the questionnaires (the “</w:t>
      </w:r>
      <w:r>
        <w:rPr>
          <w:rFonts w:ascii="Times New Roman" w:cs="Times New Roman" w:eastAsia="Times New Roman" w:hAnsi="Times New Roman"/>
          <w:sz w:val="18"/>
          <w:szCs w:val="18"/>
          <w:u w:val="single" w:color="auto"/>
          <w:color w:val="auto"/>
        </w:rPr>
        <w:t>FINRA Questionnaires</w:t>
      </w:r>
      <w:r>
        <w:rPr>
          <w:rFonts w:ascii="Times New Roman" w:cs="Times New Roman" w:eastAsia="Times New Roman" w:hAnsi="Times New Roman"/>
          <w:sz w:val="18"/>
          <w:szCs w:val="18"/>
          <w:color w:val="auto"/>
        </w:rPr>
        <w:t>”) completed by each of the Respondents and provided to the Representative, as such FINRA Questionnaires may have been updated from time to time and confirmed by each of the Respondents, is true and correct and the Company has not become aware of any information which would cause the information disclosed in the FINRA Questionnaires to become inaccurate and incorrect.</w:t>
      </w:r>
    </w:p>
    <w:p>
      <w:pPr>
        <w:spacing w:after="0" w:line="180" w:lineRule="exact"/>
        <w:rPr>
          <w:sz w:val="20"/>
          <w:szCs w:val="20"/>
          <w:color w:val="auto"/>
        </w:rPr>
      </w:pPr>
    </w:p>
    <w:p>
      <w:pPr>
        <w:ind w:left="4" w:right="260" w:firstLine="991"/>
        <w:spacing w:after="0" w:line="270" w:lineRule="auto"/>
        <w:rPr>
          <w:sz w:val="20"/>
          <w:szCs w:val="20"/>
          <w:color w:val="auto"/>
        </w:rPr>
      </w:pPr>
      <w:r>
        <w:rPr>
          <w:rFonts w:ascii="Times New Roman" w:cs="Times New Roman" w:eastAsia="Times New Roman" w:hAnsi="Times New Roman"/>
          <w:sz w:val="17"/>
          <w:szCs w:val="17"/>
          <w:color w:val="auto"/>
        </w:rPr>
        <w:t>2.18.2 Except as described in the Registration Statement, the General Disclosure Package, and the Prospectus, there are no claims, payments, arrangements, agreements, or understandings relating to the payment of a finder’s, consulting, or origination fee by the Company or any Respondent with respect to the sale of the Public Securities, the Public Shares, and the Rights hereunder or any other arrangements, agreements, or understandings of the Company or, to the Company’s knowledge, any Respondent that may affect the Underwriters’ compensation, as determined by</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FINRA.</w:t>
      </w:r>
    </w:p>
    <w:p>
      <w:pPr>
        <w:spacing w:after="0" w:line="207" w:lineRule="exact"/>
        <w:rPr>
          <w:sz w:val="20"/>
          <w:szCs w:val="20"/>
          <w:color w:val="auto"/>
        </w:rPr>
      </w:pPr>
    </w:p>
    <w:p>
      <w:pPr>
        <w:ind w:left="4" w:right="80" w:firstLine="991"/>
        <w:spacing w:after="0" w:line="257" w:lineRule="auto"/>
        <w:rPr>
          <w:sz w:val="20"/>
          <w:szCs w:val="20"/>
          <w:color w:val="auto"/>
        </w:rPr>
      </w:pPr>
      <w:r>
        <w:rPr>
          <w:rFonts w:ascii="Times New Roman" w:cs="Times New Roman" w:eastAsia="Times New Roman" w:hAnsi="Times New Roman"/>
          <w:sz w:val="18"/>
          <w:szCs w:val="18"/>
          <w:color w:val="auto"/>
        </w:rPr>
        <w:t>2.18.3 Except as described herein or in the Registration Statement, the General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w:t>
      </w:r>
    </w:p>
    <w:p>
      <w:pPr>
        <w:spacing w:after="0" w:line="1" w:lineRule="exact"/>
        <w:rPr>
          <w:sz w:val="20"/>
          <w:szCs w:val="20"/>
          <w:color w:val="auto"/>
        </w:rPr>
      </w:pPr>
    </w:p>
    <w:p>
      <w:pPr>
        <w:jc w:val="both"/>
        <w:ind w:left="4" w:right="120" w:hanging="4"/>
        <w:spacing w:after="0" w:line="255"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“participating member as defined in FINRA Rule 5110(j)(15) (“</w:t>
      </w:r>
      <w:r>
        <w:rPr>
          <w:rFonts w:ascii="Times New Roman" w:cs="Times New Roman" w:eastAsia="Times New Roman" w:hAnsi="Times New Roman"/>
          <w:sz w:val="18"/>
          <w:szCs w:val="18"/>
          <w:u w:val="single" w:color="auto"/>
          <w:color w:val="auto"/>
        </w:rPr>
        <w:t>Participating Member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(iii) to any person or entity that has any direct or indirect affiliation or association with any Participating Member, within the 180-day period prior to the initial filing date of the Registration Statement with the Commission.</w:t>
      </w:r>
    </w:p>
    <w:p>
      <w:pPr>
        <w:spacing w:after="0" w:line="186"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2.18.4 To the Company’s knowledge, except as set forth in the FINRA Questionnaires, no Respondent is a Participating Member or a person associated or affiliated with a Participating Member.</w:t>
      </w:r>
    </w:p>
    <w:p>
      <w:pPr>
        <w:spacing w:after="0" w:line="162"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2.18.5 To the Company’s knowledge, except as set forth in the FINRA Questionnaires, no Respondent is an owner of stock or other securities of any Participating Member (other than securities purchased in the open market).</w:t>
      </w:r>
    </w:p>
    <w:p>
      <w:pPr>
        <w:spacing w:after="0" w:line="162"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2.18.6 To the Company’s knowledge, except as set forth in the FINRA Questionnaires, no Respondent has made a subordinated loan to any Participating Member.</w:t>
      </w:r>
    </w:p>
    <w:p>
      <w:pPr>
        <w:spacing w:after="0" w:line="162"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2.18.7 No proceeds from the sale of the Public Securities, the Public Shares, or the Rights (excluding underwriting compensation) will be paid to any Participating Member, or any persons associated or affiliated with a Participating Member, except as specifically authorized herein.</w:t>
      </w:r>
    </w:p>
    <w:p>
      <w:pPr>
        <w:sectPr>
          <w:pgSz w:w="11900" w:h="16838" w:orient="portrait"/>
          <w:cols w:equalWidth="0" w:num="1">
            <w:col w:w="10984"/>
          </w:cols>
          <w:pgMar w:left="436" w:top="270" w:right="47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2.18.8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2.18.9 To the Company’s knowledge, except as set forth in the FINRA Questionnaires, no person to whom securities of the Company have been privately issued within the 180-day period prior to the initial filing date of the Registration Statement with the Commission has any relationship or affiliation or association with any Participating Member.</w:t>
      </w:r>
    </w:p>
    <w:p>
      <w:pPr>
        <w:spacing w:after="0" w:line="176" w:lineRule="exact"/>
        <w:rPr>
          <w:sz w:val="20"/>
          <w:szCs w:val="20"/>
          <w:color w:val="auto"/>
        </w:rPr>
      </w:pPr>
    </w:p>
    <w:p>
      <w:pPr>
        <w:jc w:val="both"/>
        <w:ind w:right="40" w:firstLine="991"/>
        <w:spacing w:after="0" w:line="282" w:lineRule="auto"/>
        <w:rPr>
          <w:sz w:val="20"/>
          <w:szCs w:val="20"/>
          <w:color w:val="auto"/>
        </w:rPr>
      </w:pPr>
      <w:r>
        <w:rPr>
          <w:rFonts w:ascii="Times New Roman" w:cs="Times New Roman" w:eastAsia="Times New Roman" w:hAnsi="Times New Roman"/>
          <w:sz w:val="18"/>
          <w:szCs w:val="18"/>
          <w:color w:val="auto"/>
        </w:rPr>
        <w:t>2.18.10 To the Company’s knowledge, no Participating Member in the Offering has a conflict of interest (as defined by FINRA rules) with the Company.</w:t>
      </w:r>
    </w:p>
    <w:p>
      <w:pPr>
        <w:spacing w:after="0" w:line="162"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2.18.11 Except with respect to the Representative in connection with the Offering and as otherwise disclosed in the Registration Statement, the Company has not entered into any agreement or arrangement (including, without limitation, any consulting agreement or any other type of agreement) during the 180-day period prior to the initial filing date of the Registration Statement with the Commission, which arrangement or agreement provides for the receipt of any “underwriting compensation” as defined in FINRA Rule 5110.01 from the Company to a Participating Member.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2.19.1 There are no transfer taxes or other similar fees or charges under U.S. federal law or the laws of any U.S. state or any political subdivision thereof, or under the laws of any non-U.S. jurisdiction, required to be paid in connection with the execution and delivery of this Agreement or the issuance or sale by the Company of the Public Securities, the Public Shares, and the Rights.</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2.19.2 The Company has filed all U.S. federal, state, and local, and non-U.S., tax returns that are required to be filed or has requested extensions thereof, except in any case in which the failure to so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of the Respondents or any other person acting on behalf of the Company is aware of or has taken any action, directly or indirectly, that: (i)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otherwise subject the Company to any damage or penalty in any civil, criminal, or governmental litigation or proceeding; (ii) if not done in the past, might reasonably be expected to have had a Material Adverse Effect or (iii) if not continued in the future, might reasonably be expected to materially and adversely affect the assets, business, or operations of the Company. The foregoing includes, without limitation, giving or agreeing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The Company’s internal accounting controls and procedures are sufficient to cause the Company to comply with the FCPA.</w:t>
      </w:r>
    </w:p>
    <w:p>
      <w:pPr>
        <w:sectPr>
          <w:pgSz w:w="11900" w:h="16838" w:orient="portrait"/>
          <w:cols w:equalWidth="0" w:num="1">
            <w:col w:w="11000"/>
          </w:cols>
          <w:pgMar w:left="440" w:top="270" w:right="459" w:bottom="1440" w:gutter="0" w:footer="0" w:header="0"/>
        </w:sectPr>
      </w:pPr>
    </w:p>
    <w:bookmarkStart w:id="20" w:name="page21"/>
    <w:bookmarkEnd w:id="20"/>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Currency and Foreign Transactions Reporting Act</w:t>
      </w:r>
      <w:r>
        <w:rPr>
          <w:rFonts w:ascii="Times New Roman" w:cs="Times New Roman" w:eastAsia="Times New Roman" w:hAnsi="Times New Roman"/>
          <w:sz w:val="18"/>
          <w:szCs w:val="18"/>
          <w:color w:val="auto"/>
        </w:rPr>
        <w:t>. The operations of the Company have been conducted at all times in compliance with applicable financial recordkeeping and reporting requirements of the Currency and Foreign Transaction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body, or any arbitrator involving the Company with respect to the Money Laundering Laws is pending or, to the best knowledge of the Company, threatened.</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 Secrecy Act Money Laundering; Patriot Act</w:t>
      </w:r>
      <w:r>
        <w:rPr>
          <w:rFonts w:ascii="Times New Roman" w:cs="Times New Roman" w:eastAsia="Times New Roman" w:hAnsi="Times New Roman"/>
          <w:sz w:val="18"/>
          <w:szCs w:val="18"/>
          <w:color w:val="auto"/>
        </w:rPr>
        <w:t>. Neither the Company nor, to the Company’s knowledge, any Respondent, has violated: (i) the Bank Secrecy Act, as amended, (ii) the Money Laundering Laws or (iii) the Uniting and Strengthening of America by Providing Appropriate Tools Required to Intercept and Obstruct Terrorism (USA PATRIOT ACT) Act of 2001, and/or the rules and regulations promulgated under any such law, or any successor law.</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Representative or to its counsel shall be deemed a representation and warranty by the Company to the Underwriters as to the matters covered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Agreements with Company Affiliates and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2.24.1 </w:t>
      </w:r>
      <w:r>
        <w:rPr>
          <w:rFonts w:ascii="Times New Roman" w:cs="Times New Roman" w:eastAsia="Times New Roman" w:hAnsi="Times New Roman"/>
          <w:sz w:val="17"/>
          <w:szCs w:val="17"/>
          <w:u w:val="single" w:color="auto"/>
          <w:color w:val="auto"/>
        </w:rPr>
        <w:t>Insider Letter</w:t>
      </w:r>
      <w:r>
        <w:rPr>
          <w:rFonts w:ascii="Times New Roman" w:cs="Times New Roman" w:eastAsia="Times New Roman" w:hAnsi="Times New Roman"/>
          <w:sz w:val="17"/>
          <w:szCs w:val="17"/>
          <w:color w:val="auto"/>
        </w:rPr>
        <w:t>. The Company has caused to be duly executed legally binding and enforceable agreement (except (i) as such enforceability may be limited by bankruptcy, insolvency, reorganization, or similar laws affecting creditors’ rights generally, (ii) as enforceability of any indemnification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in the form filed as an exhibit to the Registration Statement (the “</w:t>
      </w:r>
      <w:r>
        <w:rPr>
          <w:rFonts w:ascii="Times New Roman" w:cs="Times New Roman" w:eastAsia="Times New Roman" w:hAnsi="Times New Roman"/>
          <w:sz w:val="17"/>
          <w:szCs w:val="17"/>
          <w:u w:val="single" w:color="auto"/>
          <w:color w:val="auto"/>
        </w:rPr>
        <w:t>Insider Letter</w:t>
      </w:r>
      <w:r>
        <w:rPr>
          <w:rFonts w:ascii="Times New Roman" w:cs="Times New Roman" w:eastAsia="Times New Roman" w:hAnsi="Times New Roman"/>
          <w:sz w:val="17"/>
          <w:szCs w:val="17"/>
          <w:color w:val="auto"/>
        </w:rPr>
        <w:t>”), pursuant to which each of the Respondents agrees to certain matters, including but not limited to, the voting of the Ordinary Shares of the Company held by them and certain matters described as being agreed to by them under the “Proposed Business” section of the Registration Statement, the General Disclosure Package, and Prospectus.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2.24.2 </w:t>
      </w:r>
      <w:r>
        <w:rPr>
          <w:rFonts w:ascii="Times New Roman" w:cs="Times New Roman" w:eastAsia="Times New Roman" w:hAnsi="Times New Roman"/>
          <w:sz w:val="18"/>
          <w:szCs w:val="18"/>
          <w:u w:val="single" w:color="auto"/>
          <w:color w:val="auto"/>
        </w:rPr>
        <w:t>Private Placement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Each of the Sponsor, the Specified Independent Directors and Lynrock has executed and delivered a unit purchase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Private Placement Securities Purchase Agreement</w:t>
      </w:r>
      <w:r>
        <w:rPr>
          <w:rFonts w:ascii="Times New Roman" w:cs="Times New Roman" w:eastAsia="Times New Roman" w:hAnsi="Times New Roman"/>
          <w:sz w:val="18"/>
          <w:szCs w:val="18"/>
          <w:color w:val="auto"/>
        </w:rPr>
        <w:t>”), the form of which is filed as an exhibit to the Registration Statement,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 the Specified Independent Directors and Lynrock have agreed, among other things, to purchase an aggregate of 95,200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on the Closing Date.</w:t>
      </w:r>
    </w:p>
    <w:p>
      <w:pPr>
        <w:spacing w:after="0" w:line="207" w:lineRule="exact"/>
        <w:rPr>
          <w:sz w:val="20"/>
          <w:szCs w:val="20"/>
          <w:color w:val="auto"/>
        </w:rPr>
      </w:pPr>
    </w:p>
    <w:p>
      <w:pPr>
        <w:ind w:right="140" w:firstLine="987"/>
        <w:spacing w:after="0" w:line="266"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Investors have executed and delivered a private placement securities purchase agreement, the form of which is filed as an exhibit to the Registration Statement (the “</w:t>
      </w:r>
      <w:r>
        <w:rPr>
          <w:rFonts w:ascii="Times New Roman" w:cs="Times New Roman" w:eastAsia="Times New Roman" w:hAnsi="Times New Roman"/>
          <w:sz w:val="18"/>
          <w:szCs w:val="18"/>
          <w:u w:val="single" w:color="auto"/>
          <w:color w:val="auto"/>
        </w:rPr>
        <w:t>Investor Private Placement Securities Purchase Agreement</w:t>
      </w:r>
      <w:r>
        <w:rPr>
          <w:rFonts w:ascii="Times New Roman" w:cs="Times New Roman" w:eastAsia="Times New Roman" w:hAnsi="Times New Roman"/>
          <w:sz w:val="18"/>
          <w:szCs w:val="18"/>
          <w:color w:val="auto"/>
        </w:rPr>
        <w:t>”), pursuant to which the Private Placement Investor has agreed, among other things, to purchase 242,475 Private Placement Securities on the Closing Date.</w:t>
      </w:r>
    </w:p>
    <w:p>
      <w:pPr>
        <w:sectPr>
          <w:pgSz w:w="11900" w:h="16838" w:orient="portrait"/>
          <w:cols w:equalWidth="0" w:num="1">
            <w:col w:w="11000"/>
          </w:cols>
          <w:pgMar w:left="440" w:top="270" w:right="459" w:bottom="1440" w:gutter="0" w:footer="0" w:header="0"/>
        </w:sectPr>
      </w:pPr>
    </w:p>
    <w:bookmarkStart w:id="21" w:name="page22"/>
    <w:bookmarkEnd w:id="21"/>
    <w:p>
      <w:pPr>
        <w:jc w:val="both"/>
        <w:ind w:right="3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2.24.3 </w:t>
      </w:r>
      <w:r>
        <w:rPr>
          <w:rFonts w:ascii="Times New Roman" w:cs="Times New Roman" w:eastAsia="Times New Roman" w:hAnsi="Times New Roman"/>
          <w:sz w:val="17"/>
          <w:szCs w:val="17"/>
          <w:u w:val="single" w:color="auto"/>
          <w:color w:val="auto"/>
        </w:rPr>
        <w:t>Founder Share Subscription Agreement</w:t>
      </w:r>
      <w:r>
        <w:rPr>
          <w:rFonts w:ascii="Times New Roman" w:cs="Times New Roman" w:eastAsia="Times New Roman" w:hAnsi="Times New Roman"/>
          <w:sz w:val="17"/>
          <w:szCs w:val="17"/>
          <w:color w:val="auto"/>
        </w:rPr>
        <w:t>. The Sponsor has executed and delivered a subscription agreement, which is filed as an exhibit to the Registration Statement (the “</w:t>
      </w:r>
      <w:r>
        <w:rPr>
          <w:rFonts w:ascii="Times New Roman" w:cs="Times New Roman" w:eastAsia="Times New Roman" w:hAnsi="Times New Roman"/>
          <w:sz w:val="17"/>
          <w:szCs w:val="17"/>
          <w:u w:val="single" w:color="auto"/>
          <w:color w:val="auto"/>
        </w:rPr>
        <w:t>Founder Share Subscription Agreement</w:t>
      </w:r>
      <w:r>
        <w:rPr>
          <w:rFonts w:ascii="Times New Roman" w:cs="Times New Roman" w:eastAsia="Times New Roman" w:hAnsi="Times New Roman"/>
          <w:sz w:val="17"/>
          <w:szCs w:val="17"/>
          <w:color w:val="auto"/>
        </w:rPr>
        <w:t>”), pursuant to which the Sponsor purchased the Founder Shares.</w:t>
      </w:r>
    </w:p>
    <w:p>
      <w:pPr>
        <w:spacing w:after="0" w:line="14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2.24.4 </w:t>
      </w:r>
      <w:r>
        <w:rPr>
          <w:rFonts w:ascii="Times New Roman" w:cs="Times New Roman" w:eastAsia="Times New Roman" w:hAnsi="Times New Roman"/>
          <w:sz w:val="18"/>
          <w:szCs w:val="18"/>
          <w:u w:val="single" w:color="auto"/>
          <w:color w:val="auto"/>
        </w:rPr>
        <w:t>Non-Competition/Solicitation</w:t>
      </w:r>
      <w:r>
        <w:rPr>
          <w:rFonts w:ascii="Times New Roman" w:cs="Times New Roman" w:eastAsia="Times New Roman" w:hAnsi="Times New Roman"/>
          <w:sz w:val="18"/>
          <w:szCs w:val="18"/>
          <w:color w:val="auto"/>
        </w:rPr>
        <w:t>. To the Company’s knowledge, no Respondent is subject to any non-competition agreement or non-solicitation agreement with any employer or prior employer which could materially affect such Respondent’s ability to be and act in the capacity of a director or officer of the Company, as applicable.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2.24.5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Sponsor has agreed to make loans to the Company in the aggregate amount of up to $100,000 (the “</w:t>
      </w:r>
      <w:r>
        <w:rPr>
          <w:rFonts w:ascii="Times New Roman" w:cs="Times New Roman" w:eastAsia="Times New Roman" w:hAnsi="Times New Roman"/>
          <w:sz w:val="18"/>
          <w:szCs w:val="18"/>
          <w:u w:val="single" w:color="auto"/>
          <w:color w:val="auto"/>
        </w:rPr>
        <w:t>Insider Loans</w:t>
      </w:r>
      <w:r>
        <w:rPr>
          <w:rFonts w:ascii="Times New Roman" w:cs="Times New Roman" w:eastAsia="Times New Roman" w:hAnsi="Times New Roman"/>
          <w:sz w:val="18"/>
          <w:szCs w:val="18"/>
          <w:color w:val="auto"/>
        </w:rPr>
        <w:t>”) pursuant to a promissory note annexed as an exhibit to the Registration Statement. The Insider Loans do not bear any interest and are repayable by the Company on the earlier of the consummation of the Offering and December 31, 2025.</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2.24.6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and the holders of Founder Shares, Private Placement Units, Private Placement Shares, and the Class A Ordinary Shares underlying the Private Placement Rights have entered into a registration rights agreement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substantially in the form filed as an exhibit to the Registration Statement, whereby the holders of such securities will be entitled to certain registration rights with respect to such securities, as set forth in such Registration Rights Agreement and described more fully in the Registration Statement.</w:t>
      </w:r>
    </w:p>
    <w:p>
      <w:pPr>
        <w:spacing w:after="0" w:line="183"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2.24.7 </w:t>
      </w:r>
      <w:r>
        <w:rPr>
          <w:rFonts w:ascii="Times New Roman" w:cs="Times New Roman" w:eastAsia="Times New Roman" w:hAnsi="Times New Roman"/>
          <w:sz w:val="17"/>
          <w:szCs w:val="17"/>
          <w:u w:val="single" w:color="auto"/>
          <w:color w:val="auto"/>
        </w:rPr>
        <w:t>Administrative Services</w:t>
      </w:r>
      <w:r>
        <w:rPr>
          <w:rFonts w:ascii="Times New Roman" w:cs="Times New Roman" w:eastAsia="Times New Roman" w:hAnsi="Times New Roman"/>
          <w:sz w:val="17"/>
          <w:szCs w:val="17"/>
          <w:color w:val="auto"/>
        </w:rPr>
        <w:t>. The Company has entered into an agreement (“</w:t>
      </w:r>
      <w:r>
        <w:rPr>
          <w:rFonts w:ascii="Times New Roman" w:cs="Times New Roman" w:eastAsia="Times New Roman" w:hAnsi="Times New Roman"/>
          <w:sz w:val="17"/>
          <w:szCs w:val="17"/>
          <w:u w:val="single" w:color="auto"/>
          <w:color w:val="auto"/>
        </w:rPr>
        <w:t>Services Agreement</w:t>
      </w:r>
      <w:r>
        <w:rPr>
          <w:rFonts w:ascii="Times New Roman" w:cs="Times New Roman" w:eastAsia="Times New Roman" w:hAnsi="Times New Roman"/>
          <w:sz w:val="17"/>
          <w:szCs w:val="17"/>
          <w:color w:val="auto"/>
        </w:rPr>
        <w:t>”) with the GigManagement, LLC, an affiliate of the Sponsor, substantially in the form filed as an exhibit to the Registration Statement, pursuant to which the Sponsor will make available to the Company, on the terms and subject to the conditions set forth therein, office space and general and administrative services for the Company’s use for $30,000 per month payable until the earlier of the consummation by the Company of a Business Combination or the liquidation of the Trust Account.</w:t>
      </w:r>
    </w:p>
    <w:p>
      <w:pPr>
        <w:spacing w:after="0" w:line="16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2.24.8 </w:t>
      </w:r>
      <w:r>
        <w:rPr>
          <w:rFonts w:ascii="Times New Roman" w:cs="Times New Roman" w:eastAsia="Times New Roman" w:hAnsi="Times New Roman"/>
          <w:sz w:val="18"/>
          <w:szCs w:val="18"/>
          <w:u w:val="single" w:color="auto"/>
          <w:color w:val="auto"/>
        </w:rPr>
        <w:t>Investment Management Trust Agreement</w:t>
      </w:r>
      <w:r>
        <w:rPr>
          <w:rFonts w:ascii="Times New Roman" w:cs="Times New Roman" w:eastAsia="Times New Roman" w:hAnsi="Times New Roman"/>
          <w:sz w:val="18"/>
          <w:szCs w:val="18"/>
          <w:color w:val="auto"/>
        </w:rPr>
        <w:t>. The Company has entered into the Trust Agreement with respect to certain proceeds of the Offering and the Private Placements,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2.24.9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The Company has entered into a rights agreement with respect to the Rights to be issued as part of the Public Securities with CST, substantially in the form filed as an exhibit to the Registration Statement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2.25 </w:t>
      </w: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No more than 45% of the “value” (as defined in Section 2(a)(41) of the Investment Company Act of 1940 (“</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Company Act</w:t>
      </w:r>
      <w:r>
        <w:rPr>
          <w:rFonts w:ascii="Times New Roman" w:cs="Times New Roman" w:eastAsia="Times New Roman" w:hAnsi="Times New Roman"/>
          <w:sz w:val="17"/>
          <w:szCs w:val="17"/>
          <w:color w:val="auto"/>
        </w:rPr>
        <w:t>”)) of the Company’s total assets (exclusive of cash items and “Government Securities,” as defined in Section 2(a)(16) of the Investment Company Act) consist of, and no more than 45% of the Company’s net income after taxes is derived from, securities other than Government Securities.</w:t>
      </w:r>
    </w:p>
    <w:p>
      <w:pPr>
        <w:spacing w:after="0" w:line="158"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Public Securities as herein contemplated and the application of the net proceeds therefrom as described in the Prospectus will not be required, to register as an “investment company” under the Investment Company Act.</w:t>
      </w:r>
    </w:p>
    <w:p>
      <w:pPr>
        <w:sectPr>
          <w:pgSz w:w="11900" w:h="16838" w:orient="portrait"/>
          <w:cols w:equalWidth="0" w:num="1">
            <w:col w:w="10980"/>
          </w:cols>
          <w:pgMar w:left="440" w:top="270" w:right="479" w:bottom="1440" w:gutter="0" w:footer="0" w:header="0"/>
        </w:sectPr>
      </w:pPr>
    </w:p>
    <w:bookmarkStart w:id="22" w:name="page23"/>
    <w:bookmarkEnd w:id="2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own an interest in any corporation, partnership, limited liability company, joint venture, trust, or other business entity.</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or among any of the Company or any Respondent, on the one hand, and any customer or supplier of the Company or any Respondent, on the other hand, which is required by the Act, the Exchange Act, or the Regulations to be described in the Registration Statement, the General Disclosure Package, and the Prospectus, which is not so described. There are no outstanding loans, advances, or guarantees of indebtedness by the Company to or for the benefit of any of the officers or directors of the Company or any of their respective family members, except as disclosed in the Registration Statement, the General Disclosure Package, and the Prospectus. The Company has not extended or maintained credit, arranged for the extension of credit, or renewed an extension of credit, in the form of a personal loan to or for any director or officer of the Company.</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No Influence</w:t>
      </w:r>
      <w:r>
        <w:rPr>
          <w:rFonts w:ascii="Times New Roman" w:cs="Times New Roman" w:eastAsia="Times New Roman" w:hAnsi="Times New Roman"/>
          <w:sz w:val="18"/>
          <w:szCs w:val="18"/>
          <w:color w:val="auto"/>
        </w:rPr>
        <w:t>. The Company has not offered, or caused the Representative to offer, the Firm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material compliance with the provisions of the Sarbanes-Oxley Act of 2002,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and the rules and regulations promulgated thereunder and related or similar rules and regulations promulgated by any governmental or 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entity or agency, that are applicable to it as of the date hereof.</w:t>
      </w:r>
    </w:p>
    <w:p>
      <w:pPr>
        <w:spacing w:after="0" w:line="20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Nasdaq Eligibility</w:t>
      </w:r>
      <w:r>
        <w:rPr>
          <w:rFonts w:ascii="Times New Roman" w:cs="Times New Roman" w:eastAsia="Times New Roman" w:hAnsi="Times New Roman"/>
          <w:sz w:val="18"/>
          <w:szCs w:val="18"/>
          <w:color w:val="auto"/>
        </w:rPr>
        <w:t>. As of the Effective Date, the Public Securities, the Public Shares, and Rights have been approved for listing on the Nasdaq Global Market tier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subject to official notice of issuance and evidence of satisfactory distribution. There is and has been no failure on the part of the Company or any of the Company’s directors or officers, in their capacities as such, to comply with (as and when applicable), and immediately following the Effective Date the Company will be in compliance with, Nasdaq rules.</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2.32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As of the Effective Date, the board of directors of the Company will be comprised of the persons set forth as “Directors” or “Director nominees” under the heading of the Statutory Prospectus and the Prospectus captioned “Management.” As of the Effective Date, the qualifications of the persons serving as board members and the overall composition of the board will comply with SOX and the rules promulgated thereunder and the rules of Nasdaq that are, in each case, applicable to the Company. As of the Effective Date, the Company will have an Audit Committee that satisfies the applicable requirements under SOX and the rules promulgated thereunder and the rules of Nasdaq.</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2.33 </w:t>
      </w:r>
      <w:r>
        <w:rPr>
          <w:rFonts w:ascii="Times New Roman" w:cs="Times New Roman" w:eastAsia="Times New Roman" w:hAnsi="Times New Roman"/>
          <w:sz w:val="18"/>
          <w:szCs w:val="18"/>
          <w:u w:val="single" w:color="auto"/>
          <w:color w:val="auto"/>
        </w:rPr>
        <w:t>Emerging Growth Status</w:t>
      </w:r>
      <w:r>
        <w:rPr>
          <w:rFonts w:ascii="Times New Roman" w:cs="Times New Roman" w:eastAsia="Times New Roman" w:hAnsi="Times New Roman"/>
          <w:sz w:val="18"/>
          <w:szCs w:val="18"/>
          <w:color w:val="auto"/>
        </w:rPr>
        <w:t>. From the date of the Company’s formation through the date hereof, the Company has been and is an “emerging growth company,” as defined in Section 2(a) of the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23" w:name="page24"/>
    <w:bookmarkEnd w:id="23"/>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2.34 </w:t>
      </w:r>
      <w:r>
        <w:rPr>
          <w:rFonts w:ascii="Times New Roman" w:cs="Times New Roman" w:eastAsia="Times New Roman" w:hAnsi="Times New Roman"/>
          <w:sz w:val="18"/>
          <w:szCs w:val="18"/>
          <w:u w:val="single" w:color="auto"/>
          <w:color w:val="auto"/>
        </w:rPr>
        <w:t>Free-Writing Prospectus and Testing-the-Waters</w:t>
      </w:r>
      <w:r>
        <w:rPr>
          <w:rFonts w:ascii="Times New Roman" w:cs="Times New Roman" w:eastAsia="Times New Roman" w:hAnsi="Times New Roman"/>
          <w:sz w:val="18"/>
          <w:szCs w:val="18"/>
          <w:color w:val="auto"/>
        </w:rPr>
        <w:t>. The Company has not made any offer relating to the Public Securities that would constitute an issuer free writing prospectus, as defined in Rule 433 under the Act, or that would otherwise constitute a “free writing prospectus” as defined in Rule 405. The Company (a) has not engaged in any Testing- 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other than those listed on Schedule C hereto. As used herein, “</w:t>
      </w:r>
      <w:r>
        <w:rPr>
          <w:rFonts w:ascii="Times New Roman" w:cs="Times New Roman" w:eastAsia="Times New Roman" w:hAnsi="Times New Roman"/>
          <w:sz w:val="18"/>
          <w:szCs w:val="18"/>
          <w:u w:val="single" w:color="auto"/>
          <w:color w:val="auto"/>
        </w:rPr>
        <w:t>Testing-the- Waters Communication</w:t>
      </w:r>
      <w:r>
        <w:rPr>
          <w:rFonts w:ascii="Times New Roman" w:cs="Times New Roman" w:eastAsia="Times New Roman" w:hAnsi="Times New Roman"/>
          <w:sz w:val="18"/>
          <w:szCs w:val="18"/>
          <w:color w:val="auto"/>
        </w:rPr>
        <w:t>” means any oral or written communication with potential investors within the meaning of Section 5(d) of the Act, and “</w:t>
      </w:r>
      <w:r>
        <w:rPr>
          <w:rFonts w:ascii="Times New Roman" w:cs="Times New Roman" w:eastAsia="Times New Roman" w:hAnsi="Times New Roman"/>
          <w:sz w:val="18"/>
          <w:szCs w:val="18"/>
          <w:u w:val="single" w:color="auto"/>
          <w:color w:val="auto"/>
        </w:rPr>
        <w:t>Written Testing-the-Waters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any Testing-the-Waters Communication that is a written communication within the meaning of Rule 405.</w:t>
      </w:r>
    </w:p>
    <w:p>
      <w:pPr>
        <w:spacing w:after="0" w:line="18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2.35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maintains effective “disclosure controls and procedures” (as defined under Rule 13a-15(e) under the Exchange Act to the extent required by such rule).</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As used in herein, the term “</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similar language) shall mean the knowledge of the Company’s executive officers and directors, with the assumption that such officers and directors shall have made reasonable and diligent inquiry of the matters presented.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and agrees as follows:</w:t>
      </w:r>
    </w:p>
    <w:p>
      <w:pPr>
        <w:spacing w:after="0" w:line="117" w:lineRule="exact"/>
        <w:rPr>
          <w:sz w:val="20"/>
          <w:szCs w:val="20"/>
          <w:color w:val="auto"/>
        </w:rPr>
      </w:pPr>
    </w:p>
    <w:p>
      <w:pPr>
        <w:jc w:val="both"/>
        <w:ind w:right="7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will deliver to the Representative, prior to filing, any amendment or supplement to the Registration Statement or Prospectus proposed to be filed after the Effective Date and shall not file any such amendment or supplement to which the Representative shall reasonably object in writing.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General Disclosure Package and/or the Prospectus, as then amended or supplemented, includes an untrue statement of a material fact or omits to state any material fact required to be stated therein or necessary to make the statements therein, in the light of the circumstances under which they were made, not misleading, or if it is necessary during such period to amend the Registration Statement or amend or supplement the General Disclosure Package and Prospectus to comply with the Act, the Company will notify the Representative promptly and prepare and file with the Commission, subject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an appropriate amendment to the Registration Statement or amendment or supplement to the General Disclosure Package and Prospectus (at the expense of the Company) so as to correct such statement or omission or effect such compliance.</w:t>
      </w:r>
    </w:p>
    <w:p>
      <w:pPr>
        <w:sectPr>
          <w:pgSz w:w="11900" w:h="16838" w:orient="portrait"/>
          <w:cols w:equalWidth="0" w:num="1">
            <w:col w:w="10960"/>
          </w:cols>
          <w:pgMar w:left="440" w:top="270" w:right="499" w:bottom="1440" w:gutter="0" w:footer="0" w:header="0"/>
        </w:sectPr>
      </w:pPr>
    </w:p>
    <w:bookmarkStart w:id="24" w:name="page25"/>
    <w:bookmarkEnd w:id="24"/>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3.2.2 </w:t>
      </w:r>
      <w:r>
        <w:rPr>
          <w:rFonts w:ascii="Times New Roman" w:cs="Times New Roman" w:eastAsia="Times New Roman" w:hAnsi="Times New Roman"/>
          <w:sz w:val="18"/>
          <w:szCs w:val="18"/>
          <w:u w:val="single" w:color="auto"/>
          <w:color w:val="auto"/>
        </w:rPr>
        <w:t>Filing of Final Prospectus</w:t>
      </w:r>
      <w:r>
        <w:rPr>
          <w:rFonts w:ascii="Times New Roman" w:cs="Times New Roman" w:eastAsia="Times New Roman" w:hAnsi="Times New Roman"/>
          <w:sz w:val="18"/>
          <w:szCs w:val="18"/>
          <w:color w:val="auto"/>
        </w:rPr>
        <w:t>. The Company will promptly file the Prospectus (in form and substance reasonably satisfactory to the Representative) with the Commission pursuant to the requirements of Rule 424 of the Regulations.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For a period of five years from the Effective Date (except in connection with a going private transaction), or until such earlier time upon which the Trust Account is to be liquidated if a Business Combination has not been consummated as required by its Charter Documents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the Company (i) will use its best efforts to maintain the registration of the Public Securities and (ii) will not deregister the Public Securities under the Exchange Act without the prior written consent of the Representative.</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agrees that it will not make any offer relating to the Public Securities that would constitute an issuer free writing prospectus, as defined in Rule 433 under the Act.</w:t>
      </w:r>
    </w:p>
    <w:p>
      <w:pPr>
        <w:spacing w:after="0" w:line="162" w:lineRule="exact"/>
        <w:rPr>
          <w:sz w:val="20"/>
          <w:szCs w:val="20"/>
          <w:color w:val="auto"/>
        </w:rPr>
      </w:pPr>
    </w:p>
    <w:p>
      <w:pPr>
        <w:jc w:val="both"/>
        <w:ind w:right="3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Sarbanes-Oxley Compliance</w:t>
      </w:r>
      <w:r>
        <w:rPr>
          <w:rFonts w:ascii="Times New Roman" w:cs="Times New Roman" w:eastAsia="Times New Roman" w:hAnsi="Times New Roman"/>
          <w:sz w:val="17"/>
          <w:szCs w:val="17"/>
          <w:color w:val="auto"/>
        </w:rPr>
        <w:t>. As soon as it is legally required to do so, the Company shall take all actions necessary to obtain and thereafter maintain material compliance with each applicable provision of SOX and the rules and regulations promulgated thereunder and related or similar rules and regulations promulgated by any other governmental or self-regulatory entity or agency with jurisdiction over the Company.</w:t>
      </w:r>
    </w:p>
    <w:p>
      <w:pPr>
        <w:spacing w:after="0" w:line="15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by the Termination Date.</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Delivery of Materials to Underwriters</w:t>
      </w:r>
      <w:r>
        <w:rPr>
          <w:rFonts w:ascii="Times New Roman" w:cs="Times New Roman" w:eastAsia="Times New Roman" w:hAnsi="Times New Roman"/>
          <w:sz w:val="18"/>
          <w:szCs w:val="18"/>
          <w:color w:val="auto"/>
        </w:rPr>
        <w:t>. The Company will deliver to the each of the Underwriters, without charge and from time to time during the period when a prospectus is required to be delivered under the Act or the Exchange Act, such number of copies of each Statutory Prospectus, the Prospectus, and all amendments and supplements to such documents as such Underwriters may reasonably request.</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Effectiveness and Events Requiring Notice to the Representative</w:t>
      </w:r>
      <w:r>
        <w:rPr>
          <w:rFonts w:ascii="Times New Roman" w:cs="Times New Roman" w:eastAsia="Times New Roman" w:hAnsi="Times New Roman"/>
          <w:sz w:val="18"/>
          <w:szCs w:val="18"/>
          <w:color w:val="auto"/>
        </w:rPr>
        <w:t xml:space="preserve">.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 effective amendment thereto or preventing or suspending the use of any Preliminary Prospectus or the Prospectus or of the initiation, or the threatening, of any proceeding for that purpose; (iii) of the 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that, in the judgment of the Company or its counsel, makes any statement of a material fact made in the Registration Statement, the General Disclosure Package, or the Prospectus untrue or</w:t>
      </w:r>
    </w:p>
    <w:p>
      <w:pPr>
        <w:sectPr>
          <w:pgSz w:w="11900" w:h="16838" w:orient="portrait"/>
          <w:cols w:equalWidth="0" w:num="1">
            <w:col w:w="11020"/>
          </w:cols>
          <w:pgMar w:left="440" w:top="270" w:right="439" w:bottom="1440" w:gutter="0" w:footer="0" w:header="0"/>
        </w:sectPr>
      </w:pPr>
    </w:p>
    <w:bookmarkStart w:id="25" w:name="page26"/>
    <w:bookmarkEnd w:id="2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requires the making of any changes in the Registration Statement, the General Disclosure Package, and Prospectus in order to make the statements therein, (with respect to the Prospectus and the General Disclosure Package and in the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Review of Financial Statements</w:t>
      </w:r>
      <w:r>
        <w:rPr>
          <w:rFonts w:ascii="Times New Roman" w:cs="Times New Roman" w:eastAsia="Times New Roman" w:hAnsi="Times New Roman"/>
          <w:sz w:val="18"/>
          <w:szCs w:val="18"/>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and the filing of the Company’s Form 10-Q quarterly report.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The Company will not consummate a Business Combination with an entity that is affiliated with any Respondent unless, in each case, (i) the Company obtains an opinion from an independent investment banking firm or another independent firm that commonly renders fairness opinions on the type of target business the Company is seeking to acquire that the Business Combination is fair to the Company from a financial point of view and (ii) a majority of the Company’s disinterested and independent directors (if there are any) approve such transaction.</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3.7.2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Except as disclosed in the Registration Statement, the General Disclosure Package, and the Prospectus and as provided for otherwise herein and in the Insider Letter, the Company shall not pay any Respondent or any of their affiliates any fees or compensation for services rendered to the Company prior to, or in connection with, either this Offering or the Business Combination.</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The Company will not, without the prior written consent of the Representative, offer, sell, contract to sell, pledge, charge or grant any option to purchase or otherwise dispose of, directly or indirectly (or enter into any transaction that is designed to, or might reasonably be expected to, result in the disposition (whether by actual disposition or effective economic disposition due to cash settlement or otherwise)),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Units, Rights or Ordinary Shares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(1) issue and sell the Private Placement Units, (2) issue and sell the Option Securities on exercise of the option provided for in</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Section 1.2.1 hereof, (3) register with the Commission pursuant to the Registration Rights Agreement, in accordance with the terms of the Registration Rights Agreement, the resale of the Class A Ordinary Shares underlying the Private Placement Units, Private Placement Rights and the Founder Shares and (4) issue securities in connection with the Company’s Initial Business Combination.</w:t>
      </w:r>
    </w:p>
    <w:p>
      <w:pPr>
        <w:sectPr>
          <w:pgSz w:w="11900" w:h="16838" w:orient="portrait"/>
          <w:cols w:equalWidth="0" w:num="1">
            <w:col w:w="11000"/>
          </w:cols>
          <w:pgMar w:left="440" w:top="270" w:right="459" w:bottom="1440" w:gutter="0" w:footer="0" w:header="0"/>
        </w:sectPr>
      </w:pPr>
    </w:p>
    <w:bookmarkStart w:id="26" w:name="page27"/>
    <w:bookmarkEnd w:id="26"/>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Times New Roman" w:cs="Times New Roman" w:eastAsia="Times New Roman" w:hAnsi="Times New Roman"/>
          <w:sz w:val="17"/>
          <w:szCs w:val="17"/>
          <w:u w:val="single" w:color="auto"/>
          <w:color w:val="auto"/>
        </w:rPr>
        <w:t>Investor Relations Firm</w:t>
      </w:r>
      <w:r>
        <w:rPr>
          <w:rFonts w:ascii="Times New Roman" w:cs="Times New Roman" w:eastAsia="Times New Roman" w:hAnsi="Times New Roman"/>
          <w:sz w:val="17"/>
          <w:szCs w:val="17"/>
          <w:color w:val="auto"/>
        </w:rPr>
        <w:t>. Promptly after the execution of a definitive agreement for a Business Combination, the Company shall retain an investor relations firm with the expertise necessary to assist the Company both before and after the consummation of the Business Combination.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Reports to the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3.10.1 </w:t>
      </w:r>
      <w:r>
        <w:rPr>
          <w:rFonts w:ascii="Times New Roman" w:cs="Times New Roman" w:eastAsia="Times New Roman" w:hAnsi="Times New Roman"/>
          <w:sz w:val="17"/>
          <w:szCs w:val="17"/>
          <w:u w:val="single" w:color="auto"/>
          <w:color w:val="auto"/>
        </w:rPr>
        <w:t>Periodic Reports, etc</w:t>
      </w:r>
      <w:r>
        <w:rPr>
          <w:rFonts w:ascii="Times New Roman" w:cs="Times New Roman" w:eastAsia="Times New Roman" w:hAnsi="Times New Roman"/>
          <w:sz w:val="17"/>
          <w:szCs w:val="17"/>
          <w:color w:val="auto"/>
        </w:rPr>
        <w:t>. For a period of five years from the Effective Date or until the Termination Date or such earlier time upon which the Company is required to be liquidated and dissolved, the Company will furnish to the Representative and its counsel copies of such financial statements and other periodic and special reports as the Company from time to time furnishes generally to holders of any class of its securities, and shall promptly furnish to the Representative: (i) a copy of each periodic report the Company is required to file with the Commission; (ii) a copy of every press release and every news item and article with respect to the Company or its affairs which was released by the Company; (iii) a copy of each Current Report on Form 8-K and any Schedules 13D, 13G, 14D-1, or 13E-4 received or prepared by the Company; (iv) five copies of each registration statement filed by the Company with the Commission under the Act; and (v) such additional documents and information with respect to the Company and the affairs of any future subsidiaries of the Company as the Representative may from time to time reasonably request; provided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Electronic Data Gathering, Analysis and Retrieval System (“</w:t>
      </w:r>
      <w:r>
        <w:rPr>
          <w:rFonts w:ascii="Times New Roman" w:cs="Times New Roman" w:eastAsia="Times New Roman" w:hAnsi="Times New Roman"/>
          <w:sz w:val="17"/>
          <w:szCs w:val="17"/>
          <w:u w:val="single" w:color="auto"/>
          <w:color w:val="auto"/>
        </w:rPr>
        <w:t>EDGAR</w:t>
      </w:r>
      <w:r>
        <w:rPr>
          <w:rFonts w:ascii="Times New Roman" w:cs="Times New Roman" w:eastAsia="Times New Roman" w:hAnsi="Times New Roman"/>
          <w:sz w:val="17"/>
          <w:szCs w:val="17"/>
          <w:color w:val="auto"/>
        </w:rPr>
        <w:t xml:space="preserve">”) shall be deemed to have been delivered to the Representative pursuant to this </w:t>
      </w:r>
      <w:r>
        <w:rPr>
          <w:rFonts w:ascii="Times New Roman" w:cs="Times New Roman" w:eastAsia="Times New Roman" w:hAnsi="Times New Roman"/>
          <w:sz w:val="17"/>
          <w:szCs w:val="17"/>
          <w:u w:val="single" w:color="auto"/>
          <w:color w:val="auto"/>
        </w:rPr>
        <w:t>Section 3.10.1</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3.10.2 </w:t>
      </w:r>
      <w:r>
        <w:rPr>
          <w:rFonts w:ascii="Times New Roman" w:cs="Times New Roman" w:eastAsia="Times New Roman" w:hAnsi="Times New Roman"/>
          <w:sz w:val="18"/>
          <w:szCs w:val="18"/>
          <w:u w:val="single" w:color="auto"/>
          <w:color w:val="auto"/>
        </w:rPr>
        <w:t>Transfer Agent and Right Agent</w:t>
      </w:r>
      <w:r>
        <w:rPr>
          <w:rFonts w:ascii="Times New Roman" w:cs="Times New Roman" w:eastAsia="Times New Roman" w:hAnsi="Times New Roman"/>
          <w:sz w:val="18"/>
          <w:szCs w:val="18"/>
          <w:color w:val="auto"/>
        </w:rPr>
        <w:t>. For a period of five years following the Effective Date or until the Termination Date or such earlier time upon which the Company is required to be liquidated, the Company shall retain a transfer agent and right agent reasonably acceptable to the Representative. CST is acceptable to the Representative and the Underwriters.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on each of the Closing Date and the Option Closing Date, if any, to the extent not paid at Closing Date, or such later date as may be agreed to by the Representative in its sole discretion, all fees and expenses incident to the performance of the obligations of the Company under this Agreement, including, but not limited to: (i) the preparation, printing, filing, and mailing (including the payment of postage with respect to such mailing) of the Registration Statement, the Statutory Prospectus, and the final Prospectus and mailing of this Agreement and related documents, including the cost of all copies thereof and any amendments thereof or supplements thereto supplied to the Underwriters in quantities as may be required by the Underwriters; (ii) the printing, engraving, issuance, and delivery of the Firm Units and Option Units, including any transfer or other taxes</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thereon; (iii) Nasdaq filing fees or, if necessary, the qualification of the Public Securities under state or foreign securities or Blue Sky laws;</w:t>
      </w:r>
    </w:p>
    <w:p>
      <w:pPr>
        <w:spacing w:after="0" w:line="27" w:lineRule="exact"/>
        <w:rPr>
          <w:sz w:val="20"/>
          <w:szCs w:val="20"/>
          <w:color w:val="auto"/>
        </w:rPr>
      </w:pPr>
    </w:p>
    <w:p>
      <w:pPr>
        <w:ind w:left="4" w:hanging="4"/>
        <w:spacing w:after="0" w:line="251"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incurred in registering the Offering with FINRA; (v) fees and disbursements of the transfer agent and right agent; (vi) all costs and expenses of the Company associated with “road show” marketing and “due diligence” trips for the Company’s management to meet with prospective investors, including, without limitation, all travel, food and lodging expenses associated with such trips incurred by the Company or such management; (vii) the costs of conduct background checks on the Company’s senior management and board of directors and (viii) all other reasonable out of pocket costs and expenses agreed to in writing in advance incident to the performance of the its obligations hereunder which are not otherwise specifically provided for in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If the Offering is consummated, the Representative may deduct from the net proceeds of the Offering payable to the Company on the Closing Date the expenses set forth above (which shall be mutually agreed upon between the Company and the Representative prior to the Closing Date) to be paid by the Company to the Representative and others. If the Offering is not consummated for any reason (other than a breach by the Representative of any of its obligations hereunder), then the Company shall reimburse the Representative for its out-of-pocket accountable expenses actually incurred through such date.</w:t>
      </w:r>
    </w:p>
    <w:p>
      <w:pPr>
        <w:spacing w:after="0" w:line="193"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Application of Net Proceeds</w:t>
      </w:r>
      <w:r>
        <w:rPr>
          <w:rFonts w:ascii="Times New Roman" w:cs="Times New Roman" w:eastAsia="Times New Roman" w:hAnsi="Times New Roman"/>
          <w:sz w:val="18"/>
          <w:szCs w:val="18"/>
          <w:color w:val="auto"/>
        </w:rPr>
        <w:t>. The Company will apply the net proceeds from this Offering received by it in a manner substantially consistent with the application described under the caption “Use of Proceeds” in the Prospectus.</w:t>
      </w:r>
    </w:p>
    <w:p>
      <w:pPr>
        <w:spacing w:after="0" w:line="162" w:lineRule="exact"/>
        <w:rPr>
          <w:sz w:val="20"/>
          <w:szCs w:val="20"/>
          <w:color w:val="auto"/>
        </w:rPr>
      </w:pPr>
    </w:p>
    <w:p>
      <w:pPr>
        <w:ind w:left="4"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Delivery of Earnings Statements to Security Holders</w:t>
      </w:r>
      <w:r>
        <w:rPr>
          <w:rFonts w:ascii="Times New Roman" w:cs="Times New Roman" w:eastAsia="Times New Roman" w:hAnsi="Times New Roman"/>
          <w:sz w:val="17"/>
          <w:szCs w:val="17"/>
          <w:color w:val="auto"/>
        </w:rPr>
        <w:t>. The Company will make generally available to its security holders as soon as practicable, but not later than the first day of the sixteenth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Notice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u w:val="single" w:color="auto"/>
          <w:color w:val="auto"/>
        </w:rPr>
        <w:t>Assistance with Business Combination</w:t>
      </w:r>
      <w:r>
        <w:rPr>
          <w:rFonts w:ascii="Times New Roman" w:cs="Times New Roman" w:eastAsia="Times New Roman" w:hAnsi="Times New Roman"/>
          <w:sz w:val="18"/>
          <w:szCs w:val="18"/>
          <w:color w:val="auto"/>
        </w:rPr>
        <w:t>. For a period of sixty (60) days following the date hereof, in the event any person or entity (regardless of any FINRA affiliation or association) is engaged to assist the Company in its search for a Business Combination candidate or to provide any similar Business Combination-related services, the Company will provide the following information (the “</w:t>
      </w:r>
      <w:r>
        <w:rPr>
          <w:rFonts w:ascii="Times New Roman" w:cs="Times New Roman" w:eastAsia="Times New Roman" w:hAnsi="Times New Roman"/>
          <w:sz w:val="18"/>
          <w:szCs w:val="18"/>
          <w:u w:val="single" w:color="auto"/>
          <w:color w:val="auto"/>
        </w:rPr>
        <w:t>Business Combination Information</w:t>
      </w:r>
      <w:r>
        <w:rPr>
          <w:rFonts w:ascii="Times New Roman" w:cs="Times New Roman" w:eastAsia="Times New Roman" w:hAnsi="Times New Roman"/>
          <w:sz w:val="18"/>
          <w:szCs w:val="18"/>
          <w:color w:val="auto"/>
        </w:rPr>
        <w:t>”) to the Representative: (i) complete details of all services and copies of agreements governing such services (which details or agreements may be appropriately redacted to account for privilege or confidentiality concerns); and (ii) justification as to why the person or entity providing the Business Combination-related services should not be considered an “underwriter and related person” with respect to the Company’s initial public offering, as such term is defined in FINRA Rule 5110. The Company also agrees that proper disclosure of such arrangement or potential arrangement will be made in the proxy statement which the Company will file for purposes of</w:t>
      </w:r>
    </w:p>
    <w:p>
      <w:pPr>
        <w:sectPr>
          <w:pgSz w:w="11900" w:h="16838" w:orient="portrait"/>
          <w:cols w:equalWidth="0" w:num="1">
            <w:col w:w="11004"/>
          </w:cols>
          <w:pgMar w:left="436" w:top="270" w:right="459" w:bottom="1440" w:gutter="0" w:footer="0" w:header="0"/>
        </w:sectPr>
      </w:pPr>
    </w:p>
    <w:bookmarkStart w:id="28" w:name="page29"/>
    <w:bookmarkEnd w:id="28"/>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soliciting shareholder approval for the Business Combination. Upon the Company’s delivery of the Business Combination Information to the Representative, the Company hereby expressly authorizes the Representative to provide such information directly to FINRA, if required, as a result of representations the Representative has made to FINRA in connection with the Offering.</w:t>
      </w:r>
    </w:p>
    <w:p>
      <w:pPr>
        <w:spacing w:after="0" w:line="17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3.14.2 </w:t>
      </w: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In the event the Company intends to register as a broker/dealer, merge with or acquire a registered broker/dealer, or otherwise become a member of FINRA, it shall promptly notify the Representative.</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to its knowledge, any of its employees, officers, directors, or shareholders has taken or will take, directly or indirectly, (without the consent of the Representative) any action designed to or that has constituted or that might reasonably be expected to cause or result in, under the Exchange Act or otherwise, stabilization or manipulation of the price of any security of the Company to facilitate the sale or resale of the Public Securities.</w:t>
      </w:r>
    </w:p>
    <w:p>
      <w:pPr>
        <w:spacing w:after="0" w:line="180" w:lineRule="exact"/>
        <w:rPr>
          <w:sz w:val="20"/>
          <w:szCs w:val="20"/>
          <w:color w:val="auto"/>
        </w:rPr>
      </w:pPr>
    </w:p>
    <w:p>
      <w:pPr>
        <w:jc w:val="both"/>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From and after the Closing Date,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w:t>
      </w:r>
    </w:p>
    <w:p>
      <w:pPr>
        <w:spacing w:after="0" w:line="1" w:lineRule="exact"/>
        <w:rPr>
          <w:sz w:val="20"/>
          <w:szCs w:val="20"/>
          <w:color w:val="auto"/>
        </w:rPr>
      </w:pPr>
    </w:p>
    <w:p>
      <w:pPr>
        <w:ind w:left="4" w:right="80" w:hanging="4"/>
        <w:spacing w:after="0" w:line="260"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1"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For a period of five years from the Effective Date or until the Termination Date or such earlier time upon which the Trust Account is required to be liquidated, the Company shall retain BPM or other independent public accountants reasonably acceptable to the Representative.</w:t>
      </w:r>
    </w:p>
    <w:p>
      <w:pPr>
        <w:spacing w:after="0" w:line="17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Form 8-Ks</w:t>
      </w:r>
      <w:r>
        <w:rPr>
          <w:rFonts w:ascii="Times New Roman" w:cs="Times New Roman" w:eastAsia="Times New Roman" w:hAnsi="Times New Roman"/>
          <w:sz w:val="18"/>
          <w:szCs w:val="18"/>
          <w:color w:val="auto"/>
        </w:rPr>
        <w:t>. The Company has retained BPM to audit the balance sheet of the Company as of the Closing Date (the “</w:t>
      </w:r>
      <w:r>
        <w:rPr>
          <w:rFonts w:ascii="Times New Roman" w:cs="Times New Roman" w:eastAsia="Times New Roman" w:hAnsi="Times New Roman"/>
          <w:sz w:val="18"/>
          <w:szCs w:val="18"/>
          <w:u w:val="single" w:color="auto"/>
          <w:color w:val="auto"/>
        </w:rPr>
        <w:t>Audited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w:t>
      </w:r>
      <w:r>
        <w:rPr>
          <w:rFonts w:ascii="Times New Roman" w:cs="Times New Roman" w:eastAsia="Times New Roman" w:hAnsi="Times New Roman"/>
          <w:sz w:val="18"/>
          <w:szCs w:val="18"/>
          <w:color w:val="auto"/>
        </w:rPr>
        <w:t>”) reflecting the receipt by the Company of the proceeds of the Offering and the Private Placements. Within four (4) Business Days of the Closing Date, the Company shall file a Current Report on Form 8-K with the Commission, which Report shall contain the Company’s Audited Balance Sheet. If the Over-Allotment Option has not been exercised on the Effective Date (and is exercised subsequent to the Effective Date), the Company will also file an amendment to the Form 8-K, or a new Form 8- K, to provide updated financial information of the Company to reflect the exercise and consummation of the Over-Allotment Option.</w:t>
      </w:r>
    </w:p>
    <w:p>
      <w:pPr>
        <w:spacing w:after="0" w:line="18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Until the Option Closing Date, if any, the Company shall advise the Representative if it is aware that any 10% or greater shareholder of the Company becomes an affiliate or associated person of a Participating Member.</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ectPr>
          <w:pgSz w:w="11900" w:h="16838" w:orient="portrait"/>
          <w:cols w:equalWidth="0" w:num="1">
            <w:col w:w="11004"/>
          </w:cols>
          <w:pgMar w:left="436" w:top="270" w:right="459" w:bottom="1440" w:gutter="0" w:footer="0" w:header="0"/>
        </w:sectPr>
      </w:pPr>
    </w:p>
    <w:bookmarkStart w:id="29" w:name="page30"/>
    <w:bookmarkEnd w:id="29"/>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3.21 </w:t>
      </w: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The Company shall cause the proceeds of the Offering to be held in the Trust Account to be invested only as set forth in the Trust Agreement as in effect on the date hereof and disclosed in the Prospectus. The Company will otherwise conduct its business in a manner so that it will not be required to register as an “investment company” under the Investment Company Act. Furthermore, once the Company consummates a Business Combination, it will be engaged in a business other than that of investing, reinvesting, owning, holding, or trading securities.</w:t>
      </w:r>
    </w:p>
    <w:p>
      <w:pPr>
        <w:spacing w:after="0" w:line="16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The Company agrees that it will not issue press releases or engage in any other publicity, without the Representative’s prior written consent (not to be unreasonably withheld), for a period of twenty-five (25) days after the Closing Date; provided that in no event shall the Company be prohibited from issuing any press release or engaging in any other publicity required by law</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maintain directors’ and officers’ insurance (including, without limitation, insurance covering the Company, its directors and officers for liabilities or losses arising in connection with this Offering, including, without limitation, liabilities or losses arising under the Act, the Exchange Act, the Regulations and any applicable foreign securities laws).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The Company shall cause to be prepared and delivered to the Representative, at the Company’s expense, promptly, but in no event later than two (2) Business Days from the effective date of this Agreement, an Electronic Prospectus to be used by the Representative in connection with the Offering. As used herein, the term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Public Securities for at least the period during which a Prospectus relating to the Public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Effective Date an undertaking that, upon receipt of a request by an investor or his or her representative within the period when a prospectus relating to the Public Securities is required to be delivered under the Act, the Company shall transmit or cause to be transmitted promptly, without charge, a paper copy of the Prospectus.</w:t>
      </w:r>
    </w:p>
    <w:p>
      <w:pPr>
        <w:spacing w:after="0" w:line="19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The Company agrees that neither it, nor any successor or subsidiary of the Company, will consummate any public or private equity or debt financing prior to or in connection with the consummation of a Business Combination, unless all investors in such financing expressly waive, in writing, any rights in or claims against the Trust Account.</w:t>
      </w:r>
    </w:p>
    <w:p>
      <w:pPr>
        <w:sectPr>
          <w:pgSz w:w="11900" w:h="16838" w:orient="portrait"/>
          <w:cols w:equalWidth="0" w:num="1">
            <w:col w:w="11000"/>
          </w:cols>
          <w:pgMar w:left="440" w:top="270" w:right="459" w:bottom="1440" w:gutter="0" w:footer="0" w:header="0"/>
        </w:sectPr>
      </w:pPr>
    </w:p>
    <w:bookmarkStart w:id="30" w:name="page31"/>
    <w:bookmarkEnd w:id="3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3.26 </w:t>
      </w:r>
      <w:r>
        <w:rPr>
          <w:rFonts w:ascii="Times New Roman" w:cs="Times New Roman" w:eastAsia="Times New Roman" w:hAnsi="Times New Roman"/>
          <w:sz w:val="18"/>
          <w:szCs w:val="18"/>
          <w:u w:val="single" w:color="auto"/>
          <w:color w:val="auto"/>
        </w:rPr>
        <w:t>Amendment to Agreements</w:t>
      </w:r>
      <w:r>
        <w:rPr>
          <w:rFonts w:ascii="Times New Roman" w:cs="Times New Roman" w:eastAsia="Times New Roman" w:hAnsi="Times New Roman"/>
          <w:sz w:val="18"/>
          <w:szCs w:val="18"/>
          <w:color w:val="auto"/>
        </w:rPr>
        <w:t>. The Company shall not materially amend, modify or otherwise change the Rights Agreement, the Trust Agreement, the Registration Rights Agreement, the Sponsor Private Placement Securities Purchase Agreement, the Investor Private Placement Securities Purchase Agreement, the Services Agreement or the Insider Letter without the prior written consent of the Representative, which consent will not be unreasonably withheld.</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Nasdaq Maintenance</w:t>
      </w:r>
      <w:r>
        <w:rPr>
          <w:rFonts w:ascii="Times New Roman" w:cs="Times New Roman" w:eastAsia="Times New Roman" w:hAnsi="Times New Roman"/>
          <w:sz w:val="18"/>
          <w:szCs w:val="18"/>
          <w:color w:val="auto"/>
        </w:rPr>
        <w:t>. Until the consummation of a Business Combination, the Company will use commercially reasonable efforts to maintain the listing of the Public Securities, Public Shares, and Rights by Nasdaq or any other national stock exchange.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Proceeds of Private Placements</w:t>
      </w:r>
      <w:r>
        <w:rPr>
          <w:rFonts w:ascii="Times New Roman" w:cs="Times New Roman" w:eastAsia="Times New Roman" w:hAnsi="Times New Roman"/>
          <w:sz w:val="18"/>
          <w:szCs w:val="18"/>
          <w:color w:val="auto"/>
        </w:rPr>
        <w:t>. On the Closing Date, the Company shall cause to be deposited $1,000,000 (or $1,025,000 if the Over-Allotment Option is exercised) of proceeds from the Private Placements into the Trust Account, or such other amount such that the amount of the funds in the Trust Account shall be $10.00 per Public Share sold in the Offering.</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will reserve and keep available that maximum number of its authorized but unissued Class A Ordinary Shares which are issuable pursuant to the Rights and the Private Placement Rights outstanding from time to time.</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written Testing-the-Waters Communication, there occurred or occurs an event or development as a result of which such written Testing-the-Waters Communication included or would include any untrue statement of a material fact or omitted or would omit to state any material fact necessary to make the statements therein in the light of the circumstances existing at that subsequent time, not misleading, the Company shall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Distributions from Trust Account</w:t>
      </w:r>
      <w:r>
        <w:rPr>
          <w:rFonts w:ascii="Times New Roman" w:cs="Times New Roman" w:eastAsia="Times New Roman" w:hAnsi="Times New Roman"/>
          <w:sz w:val="18"/>
          <w:szCs w:val="18"/>
          <w:color w:val="auto"/>
        </w:rPr>
        <w:t>. The Company agrees that the Trust Agreement shall provide that CST is required to obtain a joint written instruction signed by each of the Company and the Representative with respect to the transfer of the funds held in the Trust Account from the Trust Account, prior to commencing any liquidation of the assets of the Trust Account in connection with the consummation of any Business Combination, and such provision of the Trust Agreement shall not be permitted to be amended without the prior written consent of the Representative.</w:t>
      </w:r>
    </w:p>
    <w:p>
      <w:pPr>
        <w:sectPr>
          <w:pgSz w:w="11900" w:h="16838" w:orient="portrait"/>
          <w:cols w:equalWidth="0" w:num="1">
            <w:col w:w="10940"/>
          </w:cols>
          <w:pgMar w:left="440" w:top="270" w:right="5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OF UNDERWRITERS’ OBLIGATIONS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obligations of the several Underwriters to purchase and pay for the Public Securities, as provided herein, shall be subject to the continuing accuracy of the representations and warranties of the Company as of the date hereof and as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Effective Date shall be not later than 5:00 p.m., New York time, on the date of this Agreement or such later date and time as shall be consented to in writing by the Representative, and, at the Closing Date and at each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By the Effective Date, the Representative shall have received a letter of no objections from FINRA as to the terms and arrangements and amount of compensation allowable or payable to the Underwriters as described in the Registration Statement.</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No Commission Stop Order</w:t>
      </w:r>
      <w:r>
        <w:rPr>
          <w:rFonts w:ascii="Times New Roman" w:cs="Times New Roman" w:eastAsia="Times New Roman" w:hAnsi="Times New Roman"/>
          <w:sz w:val="18"/>
          <w:szCs w:val="18"/>
          <w:color w:val="auto"/>
        </w:rPr>
        <w:t>. At the Closing Date and at the Option Closing Date, if any, the Commission has not issued any order or threatened to issue any order preventing or suspending the use of any Preliminary Prospectus, the Prospectus, or any part thereof, and has not instituted or, to the Company’s knowledge, threatened to institute any proceedings with respect to such an order.</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Public Securities, Public Shares, and Rights shall have been approved for listing on Nasdaq, subject to official notice of issuance and evidence of satisfactory distribution.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Company 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On each of the Closing Date and the Option Closing Date, if any, the Representative shall have received the favorable opinion (along with a negative assurance letter) of DLA Piper LLP (US), counsel to the Company, addressed to the Representative as the representative for the several Underwriters and in form mutually agreed to by the Company and the Representative; provided that the Representative shall have received the favorable opinion (along with a negative assurance letter) of Ellenoff Grossman &amp; Schole LLP, New York, counsel to the Underwriters, addressed to the Representative as the representative for the several Underwriters and in form mutually agreed to by the Company and the Representative.</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w:t>
      </w:r>
    </w:p>
    <w:p>
      <w:pPr>
        <w:sectPr>
          <w:pgSz w:w="11900" w:h="16838" w:orient="portrait"/>
          <w:cols w:equalWidth="0" w:num="1">
            <w:col w:w="11000"/>
          </w:cols>
          <w:pgMar w:left="440" w:top="266" w:right="459" w:bottom="1440" w:gutter="0" w:footer="0" w:header="0"/>
        </w:sectPr>
      </w:pPr>
    </w:p>
    <w:bookmarkStart w:id="32" w:name="page33"/>
    <w:bookmarkEnd w:id="32"/>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departments of various jurisdiction having custody of documents respecting the corporate existence or good standing of the Company, provided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80" w:lineRule="exact"/>
        <w:rPr>
          <w:sz w:val="20"/>
          <w:szCs w:val="20"/>
          <w:color w:val="auto"/>
        </w:rPr>
      </w:pPr>
    </w:p>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4.2.3 </w:t>
      </w:r>
      <w:r>
        <w:rPr>
          <w:rFonts w:ascii="Times New Roman" w:cs="Times New Roman" w:eastAsia="Times New Roman" w:hAnsi="Times New Roman"/>
          <w:sz w:val="17"/>
          <w:szCs w:val="17"/>
          <w:u w:val="single" w:color="auto"/>
          <w:color w:val="auto"/>
        </w:rPr>
        <w:t>Opinion of Cayman Islands Counsel</w:t>
      </w:r>
      <w:r>
        <w:rPr>
          <w:rFonts w:ascii="Times New Roman" w:cs="Times New Roman" w:eastAsia="Times New Roman" w:hAnsi="Times New Roman"/>
          <w:sz w:val="17"/>
          <w:szCs w:val="17"/>
          <w:color w:val="auto"/>
        </w:rPr>
        <w:t>. On each of the Closing Date and the Option Closing Date, if any, the Underwriters shall have received the favorable opinion of Harney Westwood &amp; Riegels (Cayman) LLP, counsel to the Company as to the law of the Cayman Islands, addressed to the Representative as the representative for the several Underwriters and in form mutually agreed to by the Company and the Representative.</w:t>
      </w:r>
    </w:p>
    <w:p>
      <w:pPr>
        <w:spacing w:after="0" w:line="158"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At the time this Agreement is executed, and at the Closing Date and Option Closing Date, if any, the Representative shall have received a letter, addressed to the Representative as the representative for the several Underwriters and in form and substance satisfactory in all respects (including the non-material nature of the changes or decreases, if any, referred to in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below) to the Representative from BPM dated, respectively, as of the date of this Agreement and as of the Closing Date and Option Closing Date, if any:</w:t>
      </w:r>
    </w:p>
    <w:p>
      <w:pPr>
        <w:spacing w:after="0" w:line="180"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4.3.1 Confirming that they are independent accountants with respect to the Company within the meaning of the Act and the applicable Regulations and that they have not, during the periods covered by the financial statements included in the Registration Statement and the Prospectus, provided to the Company any non-audit services, as such term is used in Section 10A(g) of the Exchange Act;</w:t>
      </w:r>
    </w:p>
    <w:p>
      <w:pPr>
        <w:spacing w:after="0" w:line="176" w:lineRule="exact"/>
        <w:rPr>
          <w:sz w:val="20"/>
          <w:szCs w:val="20"/>
          <w:color w:val="auto"/>
        </w:rPr>
      </w:pPr>
    </w:p>
    <w:p>
      <w:pPr>
        <w:ind w:right="480" w:firstLine="991"/>
        <w:spacing w:after="0" w:line="312" w:lineRule="auto"/>
        <w:rPr>
          <w:sz w:val="20"/>
          <w:szCs w:val="20"/>
          <w:color w:val="auto"/>
        </w:rPr>
      </w:pPr>
      <w:r>
        <w:rPr>
          <w:rFonts w:ascii="Times New Roman" w:cs="Times New Roman" w:eastAsia="Times New Roman" w:hAnsi="Times New Roman"/>
          <w:sz w:val="17"/>
          <w:szCs w:val="17"/>
          <w:color w:val="auto"/>
        </w:rPr>
        <w:t>4.3.2 Stating that in their opinion the financial statements of the Company included in the Registration Statement and the Prospectus comply as to form in all material respects with the applicable accounting requirements of the Act and the published Regulations thereunder;</w:t>
      </w:r>
    </w:p>
    <w:p>
      <w:pPr>
        <w:spacing w:after="0" w:line="14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4.3.3 Stating that, on the basis of a limited review which included a reading of the latest available unaudited interim financial statements of the Company (with an indication of the date of the latest available unaudited interim financial statements),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the unaudited financial statements of the Company included in the Registration Statement, the Statutory Prospectus and the Prospectus do not comply as to form in all material respects with the applicable accounting requirements of the Act and the Regulations or are not fairly presented in conformity with GAAP applied on a basis substantially consistent with that of the audited financial statements of the Company included in the Registration Statement, the Statutory Prospectus and the Prospectus; or (b) at a date immediately prior to the Effective Date, Closing Date or Option Closing Date, if any, as the case may be, there was any change in the capital stock or long-term debt of the Company, or any decrease in the shareholders’ equity of the Company as compared with</w:t>
      </w:r>
    </w:p>
    <w:p>
      <w:pPr>
        <w:sectPr>
          <w:pgSz w:w="11900" w:h="16838" w:orient="portrait"/>
          <w:cols w:equalWidth="0" w:num="1">
            <w:col w:w="11000"/>
          </w:cols>
          <w:pgMar w:left="440" w:top="270" w:right="459" w:bottom="1440" w:gutter="0" w:footer="0" w:header="0"/>
        </w:sectPr>
      </w:pPr>
    </w:p>
    <w:bookmarkStart w:id="33" w:name="page34"/>
    <w:bookmarkEnd w:id="3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shown in the July 21, 2025 balance sheet included in the Registration Statement, the Statutory Prospectus and the Prospectus, other than as set forth in or contemplated by the Registration Statement, the Statutory Prospectus and the Prospectus, or, if there was any decrease, setting forth the amount of such decrease, and (c) during the period from July 21, 2025 to a specified date immediately prior to the Effective Date Closing Date or Option Closing Date, if any, as the case may be, there were any changes in revenues, net earnings (losses), or net earnings (losses) per Ordinary Share, in each case as compared with the Statement of Operations for the period from June 30, 2025 (inception) to July 21, 2025 included in the Registration Statement, or, if there was any such change, setting forth the amount of such change;</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4.3.4 Stating that they have compared specific dollar amounts, numbers of shares, percentages of revenues and earnings, statements and other financial information pertaining to the Company set forth in the Registration Statement, the Statutory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4.3.5 Statements as to such other matters incident to the transaction contemplated hereby as the Representative may reasonably request.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As of each of the Closing Date and the Option Closing Date, if any, the Representative shall have received a certificate of the Company signed by the Chairman of the Board, Chief Executive Officer, or Chief Financial Officer (in their capacities as such),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have been satisfied as of such date and that, as of Closing Date or the Option Closing Date, as the case may be, the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true and correct. In addition, the Representative will have received such other and further certificates of officers of the Company as the Representative may reasonably request.</w:t>
      </w:r>
    </w:p>
    <w:p>
      <w:pPr>
        <w:spacing w:after="0" w:line="18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As of each of the Closing Date and the Option Closing Date, if any, the Representative shall have received a certificate of the Company signed by the Chief Executive Officer or Chief Financial Officer of the Company, certifying: (i) that the Charter Documents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Nasdaq; and (v) as to the incumbency of the officers of the Company. The documents referred to in such certificate shall be attached to such certificate.</w:t>
      </w:r>
    </w:p>
    <w:p>
      <w:pPr>
        <w:sectPr>
          <w:pgSz w:w="11900" w:h="16838" w:orient="portrait"/>
          <w:cols w:equalWidth="0" w:num="1">
            <w:col w:w="11000"/>
          </w:cols>
          <w:pgMar w:left="440" w:top="270" w:right="459" w:bottom="1440" w:gutter="0" w:footer="0" w:header="0"/>
        </w:sectPr>
      </w:pPr>
    </w:p>
    <w:bookmarkStart w:id="34" w:name="page35"/>
    <w:bookmarkEnd w:id="34"/>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7"/>
          <w:szCs w:val="17"/>
          <w:u w:val="single" w:color="auto"/>
          <w:color w:val="auto"/>
        </w:rPr>
        <w:t>No Material Changes</w:t>
      </w:r>
      <w:r>
        <w:rPr>
          <w:rFonts w:ascii="Times New Roman" w:cs="Times New Roman" w:eastAsia="Times New Roman" w:hAnsi="Times New Roman"/>
          <w:sz w:val="17"/>
          <w:szCs w:val="17"/>
          <w:color w:val="auto"/>
        </w:rPr>
        <w:t>. Prior to each of the Closing Date and the Option Closing Date, if any: (i) there shall have been no material adverse change or development involving a material adverse change in the condition or prospects or the business activities, financial or otherwise, of the Company from the latest dates as of which such condition is set forth in the Registration Statement, the General Disclosure Package, and Prospectus;</w:t>
      </w:r>
    </w:p>
    <w:p>
      <w:pPr>
        <w:spacing w:after="0" w:line="2" w:lineRule="exact"/>
        <w:rPr>
          <w:sz w:val="20"/>
          <w:szCs w:val="20"/>
          <w:color w:val="auto"/>
        </w:rPr>
      </w:pPr>
    </w:p>
    <w:p>
      <w:pPr>
        <w:ind w:left="4" w:right="100" w:hanging="4"/>
        <w:spacing w:after="0" w:line="251"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at law or in equity, shall have been pending or threatened against the Company or any Respondent before or by any court or foreign, federal, or state commission, board, or other administrative agency wherein an unfavorable decision, ruling, or finding may have a Material Adverse Effect on the business, operations, prospects, or financial condition or income of the Company, except as set forth in the Registration Statement, the General Disclosure Package, and Prospectus; (iii) no stop order shall have been issued under the Act against the Company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the General Disclosure Package, or the Prospectus, or any amendment or supplement thereto shall contain any untrue statement of a material fact or omit to state any material fact required to be stated therein or necessary to make the statements therein (in the case of the General Disclosure Package and Prospectus, in the light of the circumstances under which they were made), not misleading.</w:t>
      </w:r>
    </w:p>
    <w:p>
      <w:pPr>
        <w:spacing w:after="0" w:line="193" w:lineRule="exact"/>
        <w:rPr>
          <w:sz w:val="20"/>
          <w:szCs w:val="20"/>
          <w:color w:val="auto"/>
        </w:rPr>
      </w:pPr>
    </w:p>
    <w:p>
      <w:pPr>
        <w:ind w:left="4" w:right="9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Delivery of Transaction Documents and Public Securities</w:t>
      </w:r>
      <w:r>
        <w:rPr>
          <w:rFonts w:ascii="Times New Roman" w:cs="Times New Roman" w:eastAsia="Times New Roman" w:hAnsi="Times New Roman"/>
          <w:sz w:val="18"/>
          <w:szCs w:val="18"/>
          <w:color w:val="auto"/>
        </w:rPr>
        <w:t>. On the Effective Date, the Company shall have delivered to the Representative executed copies of the Transaction Documents and shall have delivered the Public Securities.</w:t>
      </w:r>
    </w:p>
    <w:p>
      <w:pPr>
        <w:spacing w:after="0" w:line="16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Private Placement Securities</w:t>
      </w:r>
      <w:r>
        <w:rPr>
          <w:rFonts w:ascii="Times New Roman" w:cs="Times New Roman" w:eastAsia="Times New Roman" w:hAnsi="Times New Roman"/>
          <w:sz w:val="18"/>
          <w:szCs w:val="18"/>
          <w:color w:val="auto"/>
        </w:rPr>
        <w:t>. On the Closing Date, the Private Placement Securities have been purchased as provided for in the Sponsor Private Placement Securities Purchase Agreement and the Investor Private Placement Securities Purchase Agreement, and the requisite portion of the purchase price for such securities specified in this Agreement shall be deposited into the Trust Account.</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INDEMNIFICATION AND CONTRIBUTION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Indemnification of the Underwriters</w:t>
      </w:r>
      <w:r>
        <w:rPr>
          <w:rFonts w:ascii="Times New Roman" w:cs="Times New Roman" w:eastAsia="Times New Roman" w:hAnsi="Times New Roman"/>
          <w:sz w:val="18"/>
          <w:szCs w:val="18"/>
          <w:color w:val="auto"/>
        </w:rPr>
        <w:t>. The Company agrees to indemnify, defend and hold harmless each Underwriter, its partners, directors, officers, employees, members and agents, any person who controls any Underwriter within the meaning of Section 15 of the Act or Section 20 of the Exchange Act, and any “affiliate” (within the meaning of Rule 405 under the Act) of any Underwriter, and the successors and assigns of all of the foregoing persons, from and against any and all loss, damage, expense, liability or claim (including the reasonable cost of investigation and the fees and disbursements of counsel chosen by the Representative) whatsoever, as incurred, which, jointly or severally, any Underwriter or any such person may incur insofar as such loss, damage, expense, liability or claim arises out of, relates to or is based on (i) any untrue statement or alleged untrue statement of a material fact contained in the</w:t>
      </w:r>
    </w:p>
    <w:p>
      <w:pPr>
        <w:sectPr>
          <w:pgSz w:w="11900" w:h="16838" w:orient="portrait"/>
          <w:cols w:equalWidth="0" w:num="1">
            <w:col w:w="10984"/>
          </w:cols>
          <w:pgMar w:left="436" w:top="270" w:right="47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any amendment thereto), or arises out of, relates to or is based on any omission or alleged omission to state a material fact required to be stated therein or necessary to make the statements therein not misleading, except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the Registration Statement (or any amendment thereto) in connection with the Underwriter Information, which material fact was not contained in the Underwriter Information and which material fact was required to be stated in the Registration Statement or was necessary to make the Underwriter Information not misleading or (ii) any untrue statement or alleged untrue statement of a material fact included in any Written Testing-the-Waters Communication, any Preliminary Prospectus or the Prospectus (or any amendment or supplement thereto), in any information provided to investors by, or with the approval of, the Company, including, without limitation, any investor presentations, or in any Blue Sky application or other information or other documents executed by the Company filed in any state or other jurisdiction or Nasdaq to qualify any or all of the Public Securities under the securities laws thereof, or arises out of, relates to or is based on any omission or alleged omission to state a material fact necessary in order to make the statements therein, in the light of the circumstances under which they were made, not misleading, except, with respect to any Preliminary Prospectus or the Prospectus (or any amendment or supplement thereto),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any Preliminary Prospectus or the Prospectus (or any amendment or supplement thereto) in connection with the Underwriter Information, which material fact was not contained in the Underwriter Information and which material fact was necessary in order to make the statements in the Underwriter Information, in the light of the circumstances under which they were made, not misleading.</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severally and not jointly,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and all loss, damage, expense, liability or claim (including the reasonable cost of investigation) whatsoever, as incurred, which, jointly or severally, the Company or any such person may incur insofar as such loss, damage, expense, liability or claim primarily and directly arises out of, relates to or is based on (i) any untrue statement or alleged untrue statement of a material fact contained in, and in conformity with the Underwriter Information concerning such Underwriter furnished in writing by such Underwriter to the Representative for delivery to the Company expressly for use in, the Registration Statement (or any amendment thereto), or primarily and directly arises out of, relates to or is based on any omission or alleged omission to state a material fact in the Registration Statement (or any amendment thereto) in connection with such Underwriter Information, which material fact was not contained in such Underwriter Information and which material fact was required to be stated in the Registration Statement (or any amendment thereto) or was necessary to make such information not misleading or (ii) any untrue statement or alleged untrue statement of a material fact contained in, and in conformity</w:t>
      </w:r>
    </w:p>
    <w:p>
      <w:pPr>
        <w:sectPr>
          <w:pgSz w:w="11900" w:h="16838" w:orient="portrait"/>
          <w:cols w:equalWidth="0" w:num="1">
            <w:col w:w="11000"/>
          </w:cols>
          <w:pgMar w:left="440" w:top="270" w:right="45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Underwriter Information concerning such Underwriter furnished in writing by such Underwriter to the Representative for delivery to the Company expressly for use in, any Preliminary Prospectus or the Prospectus (or any amendment or supplement thereto), or primarily and directly arises out of, relates to or is based on any omission or alleged omission to state a material fact in any Preliminary Prospectus or the Prospectus (or any amendment or supplement thereto) in connection with such Underwriter Information, which material fact was not contained in such Underwriter Information and which material fact was necessary in order to make the statements in such Underwriter Information, in the light of the circumstances under which they were made, not misleading.</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suit or proceeding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is brought against a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which indemnity may be sought against any party required to provide indemnification under this Agreement (as applicable,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such indemnified party shall promptly notify such indemnifying party in writing of the institution of such Proceeding;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omission or failure to so notify an indemnifying party shall not relieve such indemnifying party from any liability which such indemnifying party may have to any indemnified party hereunder to the extent such indemnifying party is not materially prejudiced as a result thereof and in any event shall not relieve such indemnifying party from any liability which it may have otherwise than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the case of parties indemnified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counsel to the indemnified parties shall be selected by the Representative, and, in the case of parties indemnified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any indemnifying party be liable for the expenses of more than one separate counsel (in addition to any local counsel) in any one Proceeding or series of related Proceedings in the same jurisdiction representing the indemnified parties who are parties to such Proceeding or Proceedings. The indemnifying party shall not be liable for any settlement of any Proceeding effected without its written consent but, if settled with its written consent, such indemnifying party agrees to indemnify and hold harmless the indemnified party or parties from and against any and all loss, damage, expense, liability or claim by reason of such settlement. Notwithstanding the foregoing sentence, if at any time an indemnified party shall have requested an indemnifying party to reimburse the indemnified party for fees and expenses of counsel, then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 The Company agrees promptly to notify the Underwriters of the commencement of any Proceeding against it and against any of the Company’s directors or officers in connection with the sale and delivery of the Public Securities or with the Registration Statement, any Preliminary Prospectus or the Prospectus.</w:t>
      </w:r>
    </w:p>
    <w:p>
      <w:pPr>
        <w:sectPr>
          <w:pgSz w:w="11900" w:h="16838" w:orient="portrait"/>
          <w:cols w:equalWidth="0" w:num="1">
            <w:col w:w="10980"/>
          </w:cols>
          <w:pgMar w:left="440" w:top="270" w:right="479" w:bottom="1440" w:gutter="0" w:footer="0" w:header="0"/>
        </w:sectPr>
      </w:pPr>
    </w:p>
    <w:bookmarkStart w:id="37" w:name="page38"/>
    <w:bookmarkEnd w:id="37"/>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is unavailable to an indemnified party under the applicable subsections above or insufficient to hold an indemnified party harmless in respect of any and all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of the Public Securities (net of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the Underwriters but before deducting expenses) received by the Company and the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the Underwriters bear to the aggregate initial public offering price of the Public Securities. The relative fault of the Company on the one hand and the Underwriters on the other hand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person, if any, who controls an Underwriter within the meaning of Section 15 of the Act or Section 20 of the Exchange Act and each of the Underwriter’s partners, directors, officers, employees, members, agents and affiliates shall have the same rights to contribution as such Underwriter; and each director of the Company, each officer of the Company who signed the Registration Statement, and each person, if any, who controls the Company within the meaning of Section 15 of the Act or Section 20 of the Exchange Act shall have the same rights to contribution as the Company. Each of the Company and the Underwriters agrees that it would not be just and equitable if contribution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were determined by pro rata allocation (even if the Underwriters were treated as one entity for such purpose) or by any other method of allocation that does not take account of the equitable considerations referred to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 Underwriter shall be required to contribute any amount in excess of the total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such Underwriter in connection with Public Securities underwritten by it for sale to the public. No person guilty of fraudulent misrepresentation (within the meaning of Section 11(f) of the Act) shall be entitled to contribution from any person who was not guilty of such fraudulent misrepresentation. The Underwriters’ obligations to contribute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several in proportion to their respective underwriting commitments and not joint.</w:t>
      </w:r>
    </w:p>
    <w:p>
      <w:pPr>
        <w:sectPr>
          <w:pgSz w:w="11900" w:h="16838" w:orient="portrait"/>
          <w:cols w:equalWidth="0" w:num="1">
            <w:col w:w="11000"/>
          </w:cols>
          <w:pgMar w:left="440" w:top="270" w:right="4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 BY AN UNDERWRITER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Default Not Exceeding 10% of Firm Units</w:t>
      </w:r>
      <w:r>
        <w:rPr>
          <w:rFonts w:ascii="Times New Roman" w:cs="Times New Roman" w:eastAsia="Times New Roman" w:hAnsi="Times New Roman"/>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Default Exceeding 10% of Firm Units</w:t>
      </w:r>
      <w:r>
        <w:rPr>
          <w:rFonts w:ascii="Times New Roman" w:cs="Times New Roman" w:eastAsia="Times New Roman" w:hAnsi="Times New Roman"/>
          <w:sz w:val="18"/>
          <w:szCs w:val="18"/>
          <w:color w:val="auto"/>
        </w:rPr>
        <w:t xml:space="preserve">. In the event that the default addressed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does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this Agreement may be terminated by the Representative or the Company without liability on the part of the Company (except as provided in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hereof) or the several Underwriters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provided that nothing herein shall relieve a defaulting Underwriter of its liability, if any, to the other several Underwriters and to the Company for damages occasioned by its default hereunder.</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Postponement of Closing Date</w:t>
      </w:r>
      <w:r>
        <w:rPr>
          <w:rFonts w:ascii="Times New Roman" w:cs="Times New Roman" w:eastAsia="Times New Roman" w:hAnsi="Times New Roman"/>
          <w:sz w:val="18"/>
          <w:szCs w:val="18"/>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“Underwriter” as used in this Agreement shall include any party substituted under this Section 7 with like effect as if it had originally been a party to this Agreement with respect to such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Additional Shares or Options</w:t>
      </w:r>
      <w:r>
        <w:rPr>
          <w:rFonts w:ascii="Times New Roman" w:cs="Times New Roman" w:eastAsia="Times New Roman" w:hAnsi="Times New Roman"/>
          <w:sz w:val="17"/>
          <w:szCs w:val="17"/>
          <w:color w:val="auto"/>
        </w:rPr>
        <w:t>. Except as described in the Registration Statement, the Company hereby agrees that until the Company consummates a Business Combination, it shall not issue any Class A Ordinary Shares or any options or other securities convertible into the Class A Ordinary Shares or any preference shares which participate in any manner in the Trust Account or which vote on a Business Combination or any amendment to the Company’s amended and restated memorandum and articles of association that would affect the rights granted to Public Shareholders.</w:t>
      </w:r>
    </w:p>
    <w:p>
      <w:pPr>
        <w:sectPr>
          <w:pgSz w:w="11900" w:h="16838" w:orient="portrait"/>
          <w:cols w:equalWidth="0" w:num="1">
            <w:col w:w="11000"/>
          </w:cols>
          <w:pgMar w:left="440" w:top="266" w:right="459" w:bottom="1440" w:gutter="0" w:footer="0" w:header="0"/>
        </w:sectPr>
      </w:pPr>
    </w:p>
    <w:bookmarkStart w:id="39" w:name="page40"/>
    <w:bookmarkEnd w:id="39"/>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7"/>
          <w:szCs w:val="17"/>
          <w:u w:val="single" w:color="auto"/>
          <w:color w:val="auto"/>
        </w:rPr>
        <w:t>Trust Account Waiver Acknowledgments</w:t>
      </w:r>
      <w:r>
        <w:rPr>
          <w:rFonts w:ascii="Times New Roman" w:cs="Times New Roman" w:eastAsia="Times New Roman" w:hAnsi="Times New Roman"/>
          <w:sz w:val="17"/>
          <w:szCs w:val="17"/>
          <w:color w:val="auto"/>
        </w:rPr>
        <w:t>. The Company hereby agrees that, prior to commencing its due diligence investigation of any Target Business or obtaining the services of any vendor, it will use its best efforts to have such Target Business or vendor acknowledge in writing, whether through a letter of intent, memorandum of understanding, agreement in principle, or other similar document (and subsequently acknowledge the same in any definitive document replacing any of the foregoing), that (a) it has read the Prospectus, and understands that the Company has established the Trust Account, initially in an amount of $220,000,000 for the benefit of the Public Shareholders and that the funds held in the Trust Account will not be released from the Trust Account until the earliest of: (1) 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 and</w:t>
      </w:r>
    </w:p>
    <w:p>
      <w:pPr>
        <w:spacing w:after="0" w:line="1" w:lineRule="exact"/>
        <w:rPr>
          <w:sz w:val="20"/>
          <w:szCs w:val="20"/>
          <w:color w:val="auto"/>
        </w:rPr>
      </w:pPr>
    </w:p>
    <w:p>
      <w:pPr>
        <w:ind w:left="4"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Company (1) agreeing to evaluate such Target Business for purposes of consummating a Business Combination with it or (2) agreeing to engage the services of the vendor, as the case may be, such Target Business or vendor agrees that it does not have any right, title, interest or claim of any kind in or to any monies of the Trust Account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18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The Company shall not take any action or omit to take any action which would cause a breach of the Insider Letter and will not allow any amendments to, or waivers of, such Insider Letter without the prior written consent of the Representative.</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and Other Information</w:t>
      </w:r>
      <w:r>
        <w:rPr>
          <w:rFonts w:ascii="Times New Roman" w:cs="Times New Roman" w:eastAsia="Times New Roman" w:hAnsi="Times New Roman"/>
          <w:sz w:val="18"/>
          <w:szCs w:val="18"/>
          <w:color w:val="auto"/>
        </w:rPr>
        <w:t>. The Company shall provide the Representative or their counsel (if so instructed by the Representative) with copies of all tender offer documents or proxy information and all related material filed with the Commission in connection with a Business Combination concurrently with such filing with the Commission. Documents filed with the Commission pursuant to its EDGAR system shall be deemed to have been provided to the Representative pursuant to this Section.</w:t>
      </w:r>
    </w:p>
    <w:p>
      <w:pPr>
        <w:spacing w:after="0" w:line="180"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Rule 419</w:t>
      </w:r>
      <w:r>
        <w:rPr>
          <w:rFonts w:ascii="Times New Roman" w:cs="Times New Roman" w:eastAsia="Times New Roman" w:hAnsi="Times New Roman"/>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ectPr>
          <w:pgSz w:w="11900" w:h="16838" w:orient="portrait"/>
          <w:cols w:equalWidth="0" w:num="1">
            <w:col w:w="10984"/>
          </w:cols>
          <w:pgMar w:left="436" w:top="270" w:right="479" w:bottom="1440" w:gutter="0" w:footer="0" w:header="0"/>
        </w:sectPr>
      </w:pPr>
    </w:p>
    <w:bookmarkStart w:id="40" w:name="page41"/>
    <w:bookmarkEnd w:id="4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Target Fair Market Value</w:t>
      </w:r>
      <w:r>
        <w:rPr>
          <w:rFonts w:ascii="Times New Roman" w:cs="Times New Roman" w:eastAsia="Times New Roman" w:hAnsi="Times New Roman"/>
          <w:sz w:val="18"/>
          <w:szCs w:val="18"/>
          <w:color w:val="auto"/>
        </w:rPr>
        <w:t>. The Company agrees that the Target Business that it acquires must have a fair market value equal to at least 80% of the balance in the Trust Account (excluding any taxes payable) at the time of signing the definitive agreement for the Business Combination with such Target Business.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unaffiliated, independent investment banking firm, or another independent entity that commonly renders valuation opinions on the type of target business the Company is seeking to acquire, with respect to the fair market value of the Target Business. The Company is not required to obtain such an opinion as to the fair market value if the Company’s Board of Directors independently determines that the Target Business does have sufficient fair market value.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AGREEMENTS TO SURVIVE DELIVERY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 Except as the context otherwise requires, all representations, warranties, and agreements contained in this Agreement shall be deemed to be representations, warranties, and agreements at the Closing Date or Option Closing Date, as applicable, and such representations, warranties, and agreements of the Underwriters and Company, including the indemnity agreements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Public Securities to the several Underwriters until the earlier of the expiration of any applicable statute of limitations and the seventh (7th) anniversary of the Closing Date, at which time the representations, warranties and agreements shall terminate and be of no further force and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OF THIS AGREEMENT AND TERMINATION THEREOF</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on the Effective Date at the time the Registration Statement is declared effective by the Commission.</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Representative shall have the right to terminate this Agreement at any time prior to the Closing Date: (i) if any domestic or international event or act or occurrence has materially disrupted or, in the Representative’s sole opinion, will in the immediate future materially disrupt, general securities markets in the United States; or (ii) if trading on the NYSE, the NYSE American LLC, the Nasdaq Global Market, the Nasdaq Stock Market or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increase in existing major hostilities, or (iv) if a banking moratorium has been declared by a New York State or federal authority, or (v) if a moratorium on foreign exchange trading has been declared which materially adversely impacts the United States securities market, or (vi) if the</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shall have sustained a material loss by fire, flood, accident, hurricane, earthquake, theft, sabotage or other calamity (including, without limitation, a calamity relating to a public health matter or natural disaster) or malicious act which, whether or not such loss shall have been insured, will, in the Representative’s sole opinion, make it inadvisable to proceed with the delivery of the Public Securities, (vii) if any of the Company’s representations, warranties or covenants hereunder are materially breached, or (viii) if the Representative shall have become aware after the date hereof of a Material Adverse Effect on the Company, or such adverse material change in general market conditions, including, without limitation, as a result of terrorist activities after the date hereof, as in the Representative’s sole judgment would make it impracticable to proceed with the offering, sale and/or delivery of the Public Securities or to enforce contracts made by the Representative for the sale of the Public Securities.</w:t>
      </w:r>
    </w:p>
    <w:p>
      <w:pPr>
        <w:spacing w:after="0" w:line="189"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the event that the Offering is not consummated for any reason whatsoever, within the time specified herein or any extensions thereof pursuant to the terms herein, (i) the obligations of the Company to pay the out-of-pocket expenses related to the transactions contemplated herein shall be governed by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 and (ii) the Company shall reimburse the Representative for any costs and expenses incurred in connection with enforcing any provisions of this Agreement.</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in any way effected by, such election or termination or failure to carry out the terms of this Agreement or any part hereof.</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by certified mail (with return receipt), delivered by hand or reputable overnight courier, delivered by facsimile transmission (with printed confirmation of receipt) and confirmed, or by electronic transmission via PDF and shall be deemed given when so mailed, delivered, faxed, or transmitted (or if mailed, five days after such mailing):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181"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Syndicate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dbccapitalmarkets@dboralcapital.com</w:t>
      </w:r>
    </w:p>
    <w:p>
      <w:pPr>
        <w:sectPr>
          <w:pgSz w:w="11900" w:h="16838" w:orient="portrait"/>
          <w:cols w:equalWidth="0" w:num="1">
            <w:col w:w="10980"/>
          </w:cols>
          <w:pgMar w:left="440" w:top="270"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Stuart Neuhauser,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AAin@egsllp.com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(650) 276-7040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Avi S. Katz, 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(415) 615-6095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Jeffrey.Selman@us.dlapiper.com</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of the parties hereto.</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shall inure solely to the benefit of and shall be binding upon the Underwriters and the Company and the controlling persons, partners, directors, officers, employees, members, agents and affiliates referred to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Governing Law, Venue, etc</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the conflict of laws principles thereof. Each of the Company and the Representative hereby agrees that any action, proceeding, or claim against it arising out of or relating in any way to this Agreement shall be brought and enforced in the courts of the State of New York, New York County</w:t>
      </w:r>
    </w:p>
    <w:p>
      <w:pPr>
        <w:sectPr>
          <w:pgSz w:w="11900" w:h="16838" w:orient="portrait"/>
          <w:cols w:equalWidth="0" w:num="1">
            <w:col w:w="11000"/>
          </w:cols>
          <w:pgMar w:left="440" w:top="270" w:right="459" w:bottom="1440" w:gutter="0" w:footer="0" w:header="0"/>
        </w:sectPr>
      </w:pPr>
    </w:p>
    <w:bookmarkStart w:id="43" w:name="page44"/>
    <w:bookmarkEnd w:id="4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the accelerated adjudication procedures of the Commercial Division, or in the United States District Court for the Southern District of New York, as applicable, and irrevocably submits to such jurisdiction, which jurisdiction shall be exclusive. Each of the Company and the Representative hereby waives any objection to such exclusive jurisdiction and that such courts represent an inconvenient forum. Any such process or summons to be served upon any of the Company or the Representative, respectively,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Such mailing shall be deemed personal service and shall be legal and binding upon the Company or the Representative, respectively, in any action, proceeding, or claim. Each of the Company and the Representative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or the other Transaction Documents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Company hereby acknowledges that the Underwriters are acting solely as underwriters in connection with the offering of the Public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w:t>
      </w:r>
    </w:p>
    <w:p>
      <w:pPr>
        <w:sectPr>
          <w:pgSz w:w="11900" w:h="16838" w:orient="portrait"/>
          <w:cols w:equalWidth="0" w:num="1">
            <w:col w:w="11000"/>
          </w:cols>
          <w:pgMar w:left="440" w:top="270" w:right="4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of the Public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Public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60"/>
          </w:cols>
          <w:pgMar w:left="440" w:top="270" w:right="499" w:bottom="1440" w:gutter="0" w:footer="0" w:header="0"/>
        </w:sectPr>
      </w:pPr>
    </w:p>
    <w:bookmarkStart w:id="45" w:name="page46"/>
    <w:bookmarkEnd w:id="4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Underwriters and the Company, please so indicate in the space provided below for that purpose, whereupon this instrument shall constitute a binding agreement between us.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Gaurav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Gaurav Verma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Co-Head of Investment Banking</w:t>
      </w:r>
    </w:p>
    <w:p>
      <w:pPr>
        <w:sectPr>
          <w:pgSz w:w="11900" w:h="16838" w:orient="portrait"/>
          <w:cols w:equalWidth="0" w:num="1">
            <w:col w:w="10920"/>
          </w:cols>
          <w:pgMar w:left="440" w:top="270" w:right="5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100" w:type="dxa"/>
            <w:vAlign w:val="bottom"/>
            <w:gridSpan w:val="4"/>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20" w:type="dxa"/>
            <w:vAlign w:val="bottom"/>
            <w:gridSpan w:val="5"/>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20" w:type="dxa"/>
            <w:vAlign w:val="bottom"/>
            <w:gridSpan w:val="5"/>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22,000,000 Firm Units</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Number of Firm</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4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 Boral Capital LLC</w:t>
            </w:r>
          </w:p>
        </w:tc>
        <w:tc>
          <w:tcPr>
            <w:tcW w:w="17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1,520,737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Dominari Securities LLC</w:t>
            </w: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Webull Finanical LLC</w:t>
            </w:r>
          </w:p>
        </w:tc>
        <w:tc>
          <w:tcPr>
            <w:tcW w:w="7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8,448,541</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Bancroft Capital, LLC</w:t>
            </w: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7" w:name="page48"/>
    <w:bookmarkEnd w:id="47"/>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2"/>
          </w:tcPr>
          <w:p>
            <w:pPr>
              <w:jc w:val="right"/>
              <w:ind w:right="4060"/>
              <w:spacing w:after="0"/>
              <w:rPr>
                <w:sz w:val="20"/>
                <w:szCs w:val="20"/>
                <w:color w:val="auto"/>
              </w:rPr>
            </w:pPr>
            <w:r>
              <w:rPr>
                <w:rFonts w:ascii="Times New Roman" w:cs="Times New Roman" w:eastAsia="Times New Roman" w:hAnsi="Times New Roman"/>
                <w:sz w:val="18"/>
                <w:szCs w:val="18"/>
                <w:b w:val="1"/>
                <w:bCs w:val="1"/>
                <w:color w:val="auto"/>
                <w:w w:val="98"/>
              </w:rPr>
              <w:t>SCHEDULE B</w:t>
            </w:r>
          </w:p>
        </w:tc>
        <w:tc>
          <w:tcPr>
            <w:tcW w:w="88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4440" w:type="dxa"/>
            <w:vAlign w:val="bottom"/>
          </w:tcPr>
          <w:p>
            <w:pPr>
              <w:spacing w:after="0"/>
              <w:rPr>
                <w:sz w:val="24"/>
                <w:szCs w:val="24"/>
                <w:color w:val="auto"/>
              </w:rPr>
            </w:pPr>
          </w:p>
        </w:tc>
        <w:tc>
          <w:tcPr>
            <w:tcW w:w="5700" w:type="dxa"/>
            <w:vAlign w:val="bottom"/>
            <w:gridSpan w:val="3"/>
          </w:tcPr>
          <w:p>
            <w:pPr>
              <w:jc w:val="right"/>
              <w:ind w:right="3640"/>
              <w:spacing w:after="0"/>
              <w:rPr>
                <w:sz w:val="20"/>
                <w:szCs w:val="20"/>
                <w:color w:val="auto"/>
              </w:rPr>
            </w:pPr>
            <w:r>
              <w:rPr>
                <w:rFonts w:ascii="Times New Roman" w:cs="Times New Roman" w:eastAsia="Times New Roman" w:hAnsi="Times New Roman"/>
                <w:sz w:val="18"/>
                <w:szCs w:val="18"/>
                <w:color w:val="auto"/>
              </w:rPr>
              <w:t>Pricing Disclosure Package</w:t>
            </w:r>
          </w:p>
        </w:tc>
        <w:tc>
          <w:tcPr>
            <w:tcW w:w="880" w:type="dxa"/>
            <w:vAlign w:val="bottom"/>
          </w:tcPr>
          <w:p>
            <w:pPr>
              <w:spacing w:after="0"/>
              <w:rPr>
                <w:sz w:val="24"/>
                <w:szCs w:val="24"/>
                <w:color w:val="auto"/>
              </w:rPr>
            </w:pPr>
          </w:p>
        </w:tc>
      </w:tr>
      <w:tr>
        <w:trPr>
          <w:trHeight w:val="243"/>
        </w:trPr>
        <w:tc>
          <w:tcPr>
            <w:tcW w:w="4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Firm Units:</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22,000,000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Option Units: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 Offering Price per Firm Unit:</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 per Option Unit:</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Underwriting Discount per Firm Unit:</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0.0455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 per Option Unit:</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0.0076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to Company per Firm Unit (before expenses)</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9.9545</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Proceeds to Company per Option Unit (before expenses):</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9.9924</w:t>
            </w:r>
          </w:p>
        </w:tc>
      </w:tr>
    </w:tbl>
    <w:p>
      <w:pPr>
        <w:jc w:val="right"/>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ectPr>
          <w:pgSz w:w="11900" w:h="16838" w:orient="portrait"/>
          <w:cols w:equalWidth="0" w:num="1">
            <w:col w:w="9019"/>
          </w:cols>
          <w:pgMar w:left="1440" w:top="266" w:right="1440" w:bottom="1440" w:gutter="0" w:footer="0" w:header="0"/>
        </w:sectPr>
      </w:pPr>
    </w:p>
    <w:bookmarkStart w:id="49" w:name="page50"/>
    <w:bookmarkEnd w:id="49"/>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 of Target Business Letter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1731 Embarcadero 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Final Prospectus of GigCapital8 Corp.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October 3,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62" w:lineRule="exact"/>
        <w:rPr>
          <w:sz w:val="20"/>
          <w:szCs w:val="20"/>
          <w:color w:val="auto"/>
        </w:rPr>
      </w:pPr>
    </w:p>
    <w:p>
      <w:pPr>
        <w:jc w:val="both"/>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w:t>
      </w:r>
    </w:p>
    <w:p>
      <w:pPr>
        <w:spacing w:after="0" w:line="1" w:lineRule="exact"/>
        <w:rPr>
          <w:sz w:val="20"/>
          <w:szCs w:val="20"/>
          <w:color w:val="auto"/>
        </w:rPr>
      </w:pPr>
    </w:p>
    <w:p>
      <w:pPr>
        <w:ind w:left="4" w:hanging="4"/>
        <w:spacing w:after="0" w:line="25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88"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evaluate the undersigned for purposes of consummating a Business Combination with it,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280035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Authorized Signature of Target Business</w:t>
      </w:r>
    </w:p>
    <w:p>
      <w:pPr>
        <w:sectPr>
          <w:pgSz w:w="11900" w:h="16838" w:orient="portrait"/>
          <w:cols w:equalWidth="0" w:num="1">
            <w:col w:w="10984"/>
          </w:cols>
          <w:pgMar w:left="436" w:top="266" w:right="479" w:bottom="1440" w:gutter="0" w:footer="0" w:header="0"/>
        </w:sectPr>
      </w:pPr>
    </w:p>
    <w:bookmarkStart w:id="50" w:name="page51"/>
    <w:bookmarkEnd w:id="50"/>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 of Vendor Letter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1731 Embarcadero 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Final Prospectus of GigCapital8 Corp.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October 3,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62" w:lineRule="exact"/>
        <w:rPr>
          <w:sz w:val="20"/>
          <w:szCs w:val="20"/>
          <w:color w:val="auto"/>
        </w:rPr>
      </w:pPr>
    </w:p>
    <w:p>
      <w:pPr>
        <w:jc w:val="both"/>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w:t>
      </w:r>
    </w:p>
    <w:p>
      <w:pPr>
        <w:spacing w:after="0" w:line="1" w:lineRule="exact"/>
        <w:rPr>
          <w:sz w:val="20"/>
          <w:szCs w:val="20"/>
          <w:color w:val="auto"/>
        </w:rPr>
      </w:pPr>
    </w:p>
    <w:p>
      <w:pPr>
        <w:ind w:left="4" w:hanging="4"/>
        <w:spacing w:after="0" w:line="25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88"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use the services of the undersigned,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services provided to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280035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Authorized Signature of Vendor</w:t>
      </w:r>
    </w:p>
    <w:p>
      <w:pPr>
        <w:sectPr>
          <w:pgSz w:w="11900" w:h="16838" w:orient="portrait"/>
          <w:cols w:equalWidth="0" w:num="1">
            <w:col w:w="10984"/>
          </w:cols>
          <w:pgMar w:left="436" w:top="266" w:right="4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FIRST AMENDED AND RESTATED</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258445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(Adopted by special resolution on 03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1765935" cy="522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65935" cy="52260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2" w:name="page53"/>
    <w:bookmarkEnd w:id="52"/>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9"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Exempted Company Limited By Shares</w:t>
      </w:r>
    </w:p>
    <w:p>
      <w:pPr>
        <w:spacing w:after="0" w:line="11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FIRST AMENDED AND RESTATED</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2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(Adopted by special resolution on 03 October 2025)</w:t>
      </w:r>
    </w:p>
    <w:p>
      <w:pPr>
        <w:spacing w:after="0" w:line="248"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name of the Company is GigCapital8 Corp.</w:t>
      </w:r>
    </w:p>
    <w:p>
      <w:pPr>
        <w:spacing w:after="0" w:line="370" w:lineRule="exact"/>
        <w:rPr>
          <w:sz w:val="20"/>
          <w:szCs w:val="20"/>
          <w:color w:val="auto"/>
        </w:rPr>
      </w:pPr>
    </w:p>
    <w:p>
      <w:pPr>
        <w:ind w:left="544" w:hanging="544"/>
        <w:spacing w:after="0"/>
        <w:tabs>
          <w:tab w:leader="none" w:pos="5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Company is an exempted company limited by shares.</w:t>
      </w:r>
    </w:p>
    <w:p>
      <w:pPr>
        <w:spacing w:after="0" w:line="370" w:lineRule="exact"/>
        <w:rPr>
          <w:sz w:val="20"/>
          <w:szCs w:val="20"/>
          <w:color w:val="auto"/>
        </w:rPr>
      </w:pPr>
    </w:p>
    <w:p>
      <w:pPr>
        <w:ind w:left="544" w:hanging="544"/>
        <w:spacing w:after="0"/>
        <w:tabs>
          <w:tab w:leader="none" w:pos="5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registered office of the Company is at Harneys Fiduciary (Cayman) Limited, 4th Floor, Harbour Place, 103 South Church Street, P.O. Box</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10240, Grand Cayman KY1-1002, Cayman Islands or at such other place as the Directors may from time to time decide.</w:t>
      </w:r>
    </w:p>
    <w:p>
      <w:pPr>
        <w:spacing w:after="0" w:line="351" w:lineRule="exact"/>
        <w:rPr>
          <w:sz w:val="20"/>
          <w:szCs w:val="20"/>
          <w:color w:val="auto"/>
        </w:rPr>
      </w:pPr>
    </w:p>
    <w:p>
      <w:pPr>
        <w:ind w:left="544" w:hanging="544"/>
        <w:spacing w:after="0"/>
        <w:tabs>
          <w:tab w:leader="none" w:pos="54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OBJECTS AND CAPACITY</w:t>
      </w:r>
    </w:p>
    <w:p>
      <w:pPr>
        <w:spacing w:after="0" w:line="13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Subject to paragraph 9 of this Memorandum, the objects for which the Company is established are unrestricted and the Company shall have full power and authority to carry out any object not prohibited by the Companies Act or any other law of the Cayman Islands. The Company is a body corporate capable of exercising all the functions of a natural person of full capacity, irrespective of any question of corporate benefit.</w:t>
      </w:r>
    </w:p>
    <w:p>
      <w:pPr>
        <w:spacing w:after="0" w:line="320" w:lineRule="exact"/>
        <w:rPr>
          <w:sz w:val="20"/>
          <w:szCs w:val="20"/>
          <w:color w:val="auto"/>
        </w:rPr>
      </w:pPr>
    </w:p>
    <w:p>
      <w:pPr>
        <w:ind w:left="544" w:hanging="544"/>
        <w:spacing w:after="0"/>
        <w:tabs>
          <w:tab w:leader="none" w:pos="54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share capital of the Company is US$22,100 divided into:</w:t>
      </w:r>
    </w:p>
    <w:p>
      <w:pPr>
        <w:spacing w:after="0" w:line="131" w:lineRule="exact"/>
        <w:rPr>
          <w:sz w:val="20"/>
          <w:szCs w:val="20"/>
          <w:color w:val="auto"/>
        </w:rPr>
      </w:pPr>
    </w:p>
    <w:p>
      <w:pPr>
        <w:ind w:left="1184" w:hanging="644"/>
        <w:spacing w:after="0"/>
        <w:tabs>
          <w:tab w:leader="none" w:pos="1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A ordinary shares of a par value of US$0.0001 each;</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Class B ordinary shares of a par value of US$0.0001 each;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preferred shares of a par value of US$0.0001 each.</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4"/>
          </w:cols>
          <w:pgMar w:left="436" w:top="266" w:right="579" w:bottom="1440" w:gutter="0" w:footer="0" w:header="0"/>
        </w:sectPr>
      </w:pPr>
    </w:p>
    <w:bookmarkStart w:id="53" w:name="page54"/>
    <w:bookmarkEnd w:id="53"/>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7"/>
          <w:szCs w:val="17"/>
          <w:color w:val="auto"/>
        </w:rPr>
        <w:t>Subject to the Companies Act and the Articles, the Company has power to do any one or more of the following:</w:t>
      </w:r>
    </w:p>
    <w:p>
      <w:pPr>
        <w:spacing w:after="0" w:line="131" w:lineRule="exact"/>
        <w:rPr>
          <w:sz w:val="20"/>
          <w:szCs w:val="20"/>
          <w:color w:val="auto"/>
        </w:rPr>
      </w:pPr>
    </w:p>
    <w:p>
      <w:pPr>
        <w:ind w:left="1184" w:hanging="644"/>
        <w:spacing w:after="0"/>
        <w:tabs>
          <w:tab w:leader="none" w:pos="1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repurchase any of its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reduce its capital;</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part of its capital (whether original, redeemed, increased, or reduced):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130" w:lineRule="exact"/>
        <w:rPr>
          <w:rFonts w:ascii="Times New Roman" w:cs="Times New Roman" w:eastAsia="Times New Roman" w:hAnsi="Times New Roman"/>
          <w:sz w:val="18"/>
          <w:szCs w:val="18"/>
          <w:color w:val="auto"/>
        </w:rPr>
      </w:pPr>
    </w:p>
    <w:p>
      <w:pPr>
        <w:ind w:left="1744" w:right="200" w:hanging="543"/>
        <w:spacing w:after="0" w:line="282" w:lineRule="auto"/>
        <w:tabs>
          <w:tab w:leader="none" w:pos="17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 and unless the condition of issue expressly declares otherwise, every issue of Shares (whether declared to be ordinary, preference or otherwise) is subject to this power;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any of those rights, privileges, conditions, limitations, or restrictions.</w:t>
      </w:r>
    </w:p>
    <w:p>
      <w:pPr>
        <w:spacing w:after="0" w:line="370" w:lineRule="exact"/>
        <w:rPr>
          <w:sz w:val="20"/>
          <w:szCs w:val="20"/>
          <w:color w:val="auto"/>
        </w:rPr>
      </w:pPr>
    </w:p>
    <w:p>
      <w:pPr>
        <w:ind w:left="544" w:hanging="544"/>
        <w:spacing w:after="0"/>
        <w:tabs>
          <w:tab w:leader="none" w:pos="54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liability of each Member is limited to the amount from time to time unpaid on such Member’s Shares.</w:t>
      </w:r>
    </w:p>
    <w:p>
      <w:pPr>
        <w:spacing w:after="0" w:line="370" w:lineRule="exact"/>
        <w:rPr>
          <w:sz w:val="20"/>
          <w:szCs w:val="20"/>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Company may exercise the powers contained in the Companies Act to transfer and be registered by way of continuation as a body corporate limited by shares under the laws of any jurisdiction outside the Cayman Islands and to be de-registered in the Cayman Islands.</w:t>
      </w:r>
    </w:p>
    <w:p>
      <w:pPr>
        <w:spacing w:after="0" w:line="306"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Capitalised terms used and not defined in this Memorandum shall bear the same meaning as those given in the Articles.</w:t>
      </w:r>
    </w:p>
    <w:p>
      <w:pPr>
        <w:spacing w:after="0" w:line="370"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EXEMPTED COMPANY</w:t>
      </w:r>
    </w:p>
    <w:p>
      <w:pPr>
        <w:spacing w:after="0" w:line="135" w:lineRule="exact"/>
        <w:rPr>
          <w:sz w:val="20"/>
          <w:szCs w:val="20"/>
          <w:color w:val="auto"/>
        </w:rPr>
      </w:pPr>
    </w:p>
    <w:p>
      <w:pPr>
        <w:jc w:val="center"/>
        <w:ind w:right="136"/>
        <w:spacing w:after="0"/>
        <w:tabs>
          <w:tab w:leader="none" w:pos="3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Company will not trade in the Cayman Islands with any person, firm, or corporation except in furtherance of the business of the Company</w:t>
      </w:r>
    </w:p>
    <w:p>
      <w:pPr>
        <w:spacing w:after="0" w:line="27" w:lineRule="exact"/>
        <w:rPr>
          <w:sz w:val="20"/>
          <w:szCs w:val="20"/>
          <w:color w:val="auto"/>
        </w:rPr>
      </w:pPr>
    </w:p>
    <w:p>
      <w:pPr>
        <w:ind w:left="544" w:right="80"/>
        <w:spacing w:after="0" w:line="255" w:lineRule="auto"/>
        <w:rPr>
          <w:sz w:val="20"/>
          <w:szCs w:val="20"/>
          <w:color w:val="auto"/>
        </w:rPr>
      </w:pPr>
      <w:r>
        <w:rPr>
          <w:rFonts w:ascii="Times New Roman" w:cs="Times New Roman" w:eastAsia="Times New Roman" w:hAnsi="Times New Roman"/>
          <w:sz w:val="18"/>
          <w:szCs w:val="18"/>
          <w:color w:val="auto"/>
        </w:rPr>
        <w:t>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54" w:name="page55"/>
    <w:bookmarkEnd w:id="5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FINANCIAL YEAR</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10.1</w:t>
        <w:tab/>
        <w:t>The financial year end of the Company is 31 December or such other date as the Directors may from time to time decide and annex to this Memorandum.</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440" w:top="266" w:right="979" w:bottom="1440" w:gutter="0" w:footer="0" w:header="0"/>
        </w:sectPr>
      </w:pPr>
    </w:p>
    <w:bookmarkStart w:id="55" w:name="page56"/>
    <w:bookmarkEnd w:id="5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Exempted Company Limited By Shares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AMENDED AND RESTATED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(Adopted by special resolution on 03 October 2025)</w:t>
      </w:r>
    </w:p>
    <w:p>
      <w:pPr>
        <w:spacing w:after="0" w:line="248" w:lineRule="exact"/>
        <w:rPr>
          <w:sz w:val="20"/>
          <w:szCs w:val="20"/>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 xml:space="preserve">Table A. </w:t>
      </w:r>
      <w:r>
        <w:rPr>
          <w:rFonts w:ascii="Times New Roman" w:cs="Times New Roman" w:eastAsia="Times New Roman" w:hAnsi="Times New Roman"/>
          <w:sz w:val="17"/>
          <w:szCs w:val="17"/>
          <w:color w:val="auto"/>
        </w:rPr>
        <w:t>The Regulations contained in Table A in the First Schedule to the Companies Act do not apply to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In these Articles, if not inconsistent with the context, the following words and expressions shall have the following meanings:</w:t>
      </w:r>
    </w:p>
    <w:p>
      <w:pPr>
        <w:spacing w:after="0" w:line="117" w:lineRule="exact"/>
        <w:rPr>
          <w:sz w:val="20"/>
          <w:szCs w:val="20"/>
          <w:color w:val="auto"/>
        </w:rPr>
      </w:pPr>
    </w:p>
    <w:p>
      <w:pPr>
        <w:ind w:left="544"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in respect of a person, means any other person that, directly or indirectly, through one or more intermediaries, controls, is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is under common control with, such person, and:</w:t>
      </w:r>
    </w:p>
    <w:p>
      <w:pPr>
        <w:spacing w:after="0" w:line="64" w:lineRule="exact"/>
        <w:rPr>
          <w:sz w:val="20"/>
          <w:szCs w:val="20"/>
          <w:color w:val="auto"/>
        </w:rPr>
      </w:pPr>
    </w:p>
    <w:p>
      <w:pPr>
        <w:ind w:left="1184" w:hanging="644"/>
        <w:spacing w:after="0" w:line="261" w:lineRule="auto"/>
        <w:tabs>
          <w:tab w:leader="none" w:pos="1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natural person, shall include, without limitation, such person’s spouse, parents, children, siblings, mother-in-law, father-in-law, brother-in-law, sister-in-law, whether by blood, marriage, or adoption or anyone residing in such person’s home, a trust for the benefit of any of the foregoing, a company, partnership, or any natural person or entity wholly or jointly owned by any of the foregoing; and</w:t>
      </w:r>
    </w:p>
    <w:p>
      <w:pPr>
        <w:spacing w:after="0" w:line="85"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shall include a partnership, a corporation, or any natural person or entity which directly, or indirectly through one or more intermediaries, controls, in controlled by, or is under common control with, such entity;</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Amendment Redemption </w:t>
      </w:r>
      <w:r>
        <w:rPr>
          <w:rFonts w:ascii="Times New Roman" w:cs="Times New Roman" w:eastAsia="Times New Roman" w:hAnsi="Times New Roman"/>
          <w:sz w:val="18"/>
          <w:szCs w:val="18"/>
          <w:color w:val="auto"/>
        </w:rPr>
        <w:t>has the meaning given to it at Article 52.9;</w:t>
      </w:r>
    </w:p>
    <w:p>
      <w:pPr>
        <w:spacing w:after="0" w:line="117" w:lineRule="exact"/>
        <w:rPr>
          <w:sz w:val="20"/>
          <w:szCs w:val="20"/>
          <w:color w:val="auto"/>
        </w:rPr>
      </w:pPr>
    </w:p>
    <w:p>
      <w:pPr>
        <w:ind w:left="544"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Applicable Law </w:t>
      </w:r>
      <w:r>
        <w:rPr>
          <w:rFonts w:ascii="Times New Roman" w:cs="Times New Roman" w:eastAsia="Times New Roman" w:hAnsi="Times New Roman"/>
          <w:sz w:val="18"/>
          <w:szCs w:val="18"/>
          <w:color w:val="auto"/>
        </w:rPr>
        <w:t>means, with respect to any person, all provisions of laws, statutes, ordinances, rules, regulations, permits,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judgments, decisions, decrees, or orders of any governmental authority applicable to such person;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Articles </w:t>
      </w:r>
      <w:r>
        <w:rPr>
          <w:rFonts w:ascii="Times New Roman" w:cs="Times New Roman" w:eastAsia="Times New Roman" w:hAnsi="Times New Roman"/>
          <w:sz w:val="18"/>
          <w:szCs w:val="18"/>
          <w:color w:val="auto"/>
        </w:rPr>
        <w:t>means, as appropriate:</w:t>
      </w:r>
    </w:p>
    <w:p>
      <w:pPr>
        <w:spacing w:after="0" w:line="135"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of the Company; or</w:t>
      </w:r>
    </w:p>
    <w:p>
      <w:pPr>
        <w:spacing w:after="0" w:line="130" w:lineRule="exact"/>
        <w:rPr>
          <w:rFonts w:ascii="Times New Roman" w:cs="Times New Roman" w:eastAsia="Times New Roman" w:hAnsi="Times New Roman"/>
          <w:sz w:val="18"/>
          <w:szCs w:val="18"/>
          <w:color w:val="auto"/>
        </w:rPr>
      </w:pPr>
    </w:p>
    <w:p>
      <w:pPr>
        <w:ind w:left="4" w:right="5800" w:hanging="4"/>
        <w:spacing w:after="0" w:line="373" w:lineRule="auto"/>
        <w:tabs>
          <w:tab w:leader="none" w:pos="6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or more particular Articles of these Articles, and </w:t>
      </w:r>
      <w:r>
        <w:rPr>
          <w:rFonts w:ascii="Times New Roman" w:cs="Times New Roman" w:eastAsia="Times New Roman" w:hAnsi="Times New Roman"/>
          <w:sz w:val="18"/>
          <w:szCs w:val="18"/>
          <w:b w:val="1"/>
          <w:bCs w:val="1"/>
          <w:i w:val="1"/>
          <w:i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1" w:lineRule="exact"/>
        <w:rPr>
          <w:sz w:val="20"/>
          <w:szCs w:val="20"/>
          <w:color w:val="auto"/>
        </w:rPr>
      </w:pPr>
    </w:p>
    <w:p>
      <w:pPr>
        <w:ind w:left="4" w:right="400"/>
        <w:spacing w:after="0" w:line="3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means the audit committee of the Company formed pursuant to Article 45.5 hereof, or any successor audit committee;</w:t>
      </w:r>
      <w:r>
        <w:rPr>
          <w:rFonts w:ascii="Times New Roman" w:cs="Times New Roman" w:eastAsia="Times New Roman" w:hAnsi="Times New Roman"/>
          <w:sz w:val="18"/>
          <w:szCs w:val="18"/>
          <w:b w:val="1"/>
          <w:bCs w:val="1"/>
          <w:i w:val="1"/>
          <w:iCs w:val="1"/>
          <w:color w:val="auto"/>
        </w:rPr>
        <w:t xml:space="preserve"> Auditor </w:t>
      </w:r>
      <w:r>
        <w:rPr>
          <w:rFonts w:ascii="Times New Roman" w:cs="Times New Roman" w:eastAsia="Times New Roman" w:hAnsi="Times New Roman"/>
          <w:sz w:val="18"/>
          <w:szCs w:val="18"/>
          <w:color w:val="auto"/>
        </w:rPr>
        <w:t>means the person for the time being performing the duties of auditor of the Company;</w:t>
      </w:r>
      <w:r>
        <w:rPr>
          <w:rFonts w:ascii="Times New Roman" w:cs="Times New Roman" w:eastAsia="Times New Roman" w:hAnsi="Times New Roman"/>
          <w:sz w:val="18"/>
          <w:szCs w:val="18"/>
          <w:b w:val="1"/>
          <w:bCs w:val="1"/>
          <w:i w:val="1"/>
          <w:iCs w:val="1"/>
          <w:color w:val="auto"/>
        </w:rPr>
        <w:t xml:space="preserve"> Board </w:t>
      </w:r>
      <w:r>
        <w:rPr>
          <w:rFonts w:ascii="Times New Roman" w:cs="Times New Roman" w:eastAsia="Times New Roman" w:hAnsi="Times New Roman"/>
          <w:sz w:val="18"/>
          <w:szCs w:val="18"/>
          <w:color w:val="auto"/>
        </w:rPr>
        <w:t>means the board of Directors;</w:t>
      </w:r>
    </w:p>
    <w:p>
      <w:pPr>
        <w:spacing w:after="0" w:line="2"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 </w:t>
      </w:r>
      <w:r>
        <w:rPr>
          <w:rFonts w:ascii="Times New Roman" w:cs="Times New Roman" w:eastAsia="Times New Roman" w:hAnsi="Times New Roman"/>
          <w:sz w:val="18"/>
          <w:szCs w:val="18"/>
          <w:color w:val="auto"/>
        </w:rPr>
        <w:t>means a merger, amalgamation, share exchange, asset acquisition, share purchase, reorganisation or similar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involving the Company, with one or more businesses (</w:t>
      </w:r>
      <w:r>
        <w:rPr>
          <w:rFonts w:ascii="Times New Roman" w:cs="Times New Roman" w:eastAsia="Times New Roman" w:hAnsi="Times New Roman"/>
          <w:sz w:val="18"/>
          <w:szCs w:val="18"/>
          <w:b w:val="1"/>
          <w:bCs w:val="1"/>
          <w:i w:val="1"/>
          <w:iCs w:val="1"/>
          <w:color w:val="auto"/>
        </w:rPr>
        <w:t>target business</w:t>
      </w:r>
      <w:r>
        <w:rPr>
          <w:rFonts w:ascii="Times New Roman" w:cs="Times New Roman" w:eastAsia="Times New Roman" w:hAnsi="Times New Roman"/>
          <w:sz w:val="18"/>
          <w:szCs w:val="18"/>
          <w:color w:val="auto"/>
        </w:rPr>
        <w:t>), which Business Combination:</w:t>
      </w:r>
    </w:p>
    <w:p>
      <w:pPr>
        <w:spacing w:after="0" w:line="64" w:lineRule="exact"/>
        <w:rPr>
          <w:sz w:val="20"/>
          <w:szCs w:val="20"/>
          <w:color w:val="auto"/>
        </w:rPr>
      </w:pPr>
    </w:p>
    <w:p>
      <w:pPr>
        <w:ind w:left="644" w:right="160" w:hanging="644"/>
        <w:spacing w:after="0" w:line="26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the securities in the Company are listed on the Designated Stock Exchange) is comprised of one or more business combinations (as defined in accordance with the rules and regulations of the Designated Stock Exchange) having an aggregate fair market value of at least 80% of the value of the assets held in the Trust Account (excluding:</w:t>
      </w:r>
    </w:p>
    <w:p>
      <w:pPr>
        <w:spacing w:after="0" w:line="81"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underwriting discounts; and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taxes paid or payable) at the time of execution of the definitive agreement for such Business Combination;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be effectuated solely with another blank cheque company or a similar company with nominal operations;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approved by the affirmative vote of a majority of the Directors, which must include a majority of the Independent Directors;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 Redemption </w:t>
      </w:r>
      <w:r>
        <w:rPr>
          <w:rFonts w:ascii="Times New Roman" w:cs="Times New Roman" w:eastAsia="Times New Roman" w:hAnsi="Times New Roman"/>
          <w:sz w:val="18"/>
          <w:szCs w:val="18"/>
          <w:color w:val="auto"/>
        </w:rPr>
        <w:t>has the meaning given to it at Article 52.6;</w:t>
      </w:r>
    </w:p>
    <w:p>
      <w:pPr>
        <w:spacing w:after="0" w:line="117"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means a day other than a Saturday, a Sunday, or a legal holiday or a day on which banking institutions or trust companies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authorised or obligated by law to close in New York City;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A Share </w:t>
      </w:r>
      <w:r>
        <w:rPr>
          <w:rFonts w:ascii="Times New Roman" w:cs="Times New Roman" w:eastAsia="Times New Roman" w:hAnsi="Times New Roman"/>
          <w:sz w:val="18"/>
          <w:szCs w:val="18"/>
          <w:color w:val="auto"/>
        </w:rPr>
        <w:t>means a Class A ordinary shares of a par value of US$0.0001 in the share capital of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B Share </w:t>
      </w:r>
      <w:r>
        <w:rPr>
          <w:rFonts w:ascii="Times New Roman" w:cs="Times New Roman" w:eastAsia="Times New Roman" w:hAnsi="Times New Roman"/>
          <w:sz w:val="18"/>
          <w:szCs w:val="18"/>
          <w:color w:val="auto"/>
        </w:rPr>
        <w:t>means a Class B ordinary shares of a par value of US$0.0001 in the share capital of the Company;</w:t>
      </w:r>
    </w:p>
    <w:p>
      <w:pPr>
        <w:spacing w:after="0" w:line="162" w:lineRule="exact"/>
        <w:rPr>
          <w:sz w:val="20"/>
          <w:szCs w:val="20"/>
          <w:color w:val="auto"/>
        </w:rPr>
      </w:pPr>
    </w:p>
    <w:p>
      <w:pPr>
        <w:jc w:val="center"/>
        <w:ind w:right="25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04"/>
          </w:cols>
          <w:pgMar w:left="976" w:top="266" w:right="719" w:bottom="1440" w:gutter="0" w:footer="0" w:header="0"/>
        </w:sectPr>
      </w:pPr>
    </w:p>
    <w:bookmarkStart w:id="57" w:name="page58"/>
    <w:bookmarkEnd w:id="57"/>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Class B Share Conversion </w:t>
      </w:r>
      <w:r>
        <w:rPr>
          <w:rFonts w:ascii="Times New Roman" w:cs="Times New Roman" w:eastAsia="Times New Roman" w:hAnsi="Times New Roman"/>
          <w:sz w:val="18"/>
          <w:szCs w:val="18"/>
          <w:color w:val="auto"/>
        </w:rPr>
        <w:t>means a conversion of Class B Shares in accordance with Article 5;</w:t>
      </w:r>
    </w:p>
    <w:p>
      <w:pPr>
        <w:spacing w:after="0" w:line="117" w:lineRule="exact"/>
        <w:rPr>
          <w:sz w:val="20"/>
          <w:szCs w:val="20"/>
          <w:color w:val="auto"/>
        </w:rPr>
      </w:pPr>
    </w:p>
    <w:p>
      <w:pPr>
        <w:ind w:left="10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 day </w:t>
      </w:r>
      <w:r>
        <w:rPr>
          <w:rFonts w:ascii="Times New Roman" w:cs="Times New Roman" w:eastAsia="Times New Roman" w:hAnsi="Times New Roman"/>
          <w:sz w:val="18"/>
          <w:szCs w:val="18"/>
          <w:color w:val="auto"/>
        </w:rPr>
        <w:t>means the period excluding the day on which the notice is given, or deemed to be given, and the day the notice is received, or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w:t>
      </w:r>
    </w:p>
    <w:p>
      <w:pPr>
        <w:spacing w:after="0" w:line="47"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Clearing House </w:t>
      </w:r>
      <w:r>
        <w:rPr>
          <w:rFonts w:ascii="Times New Roman" w:cs="Times New Roman" w:eastAsia="Times New Roman" w:hAnsi="Times New Roman"/>
          <w:sz w:val="18"/>
          <w:szCs w:val="18"/>
          <w:color w:val="auto"/>
        </w:rPr>
        <w:t>means a clearing house recognised by the laws of the jurisdiction in which the Shares (or depositary receipts therefor)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quoted on a stock exchange or interdealer quotation system in such jurisdiction;</w:t>
      </w:r>
    </w:p>
    <w:p>
      <w:pPr>
        <w:spacing w:after="0" w:line="47" w:lineRule="exact"/>
        <w:rPr>
          <w:sz w:val="20"/>
          <w:szCs w:val="20"/>
          <w:color w:val="auto"/>
        </w:rPr>
      </w:pPr>
    </w:p>
    <w:p>
      <w:pPr>
        <w:ind w:left="100" w:right="4880"/>
        <w:spacing w:after="0" w:line="3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Companies Act </w:t>
      </w:r>
      <w:r>
        <w:rPr>
          <w:rFonts w:ascii="Times New Roman" w:cs="Times New Roman" w:eastAsia="Times New Roman" w:hAnsi="Times New Roman"/>
          <w:sz w:val="18"/>
          <w:szCs w:val="18"/>
          <w:color w:val="auto"/>
        </w:rPr>
        <w:t>means the Companies Act (Revised) of the Cayman Islands;</w:t>
      </w:r>
      <w:r>
        <w:rPr>
          <w:rFonts w:ascii="Times New Roman" w:cs="Times New Roman" w:eastAsia="Times New Roman" w:hAnsi="Times New Roman"/>
          <w:sz w:val="18"/>
          <w:szCs w:val="18"/>
          <w:b w:val="1"/>
          <w:bCs w:val="1"/>
          <w:i w:val="1"/>
          <w:iCs w:val="1"/>
          <w:color w:val="auto"/>
        </w:rPr>
        <w:t xml:space="preserve"> Company </w:t>
      </w:r>
      <w:r>
        <w:rPr>
          <w:rFonts w:ascii="Times New Roman" w:cs="Times New Roman" w:eastAsia="Times New Roman" w:hAnsi="Times New Roman"/>
          <w:sz w:val="18"/>
          <w:szCs w:val="18"/>
          <w:color w:val="auto"/>
        </w:rPr>
        <w:t>means the above-named company;</w:t>
      </w:r>
    </w:p>
    <w:p>
      <w:pPr>
        <w:spacing w:after="0" w:line="1" w:lineRule="exact"/>
        <w:rPr>
          <w:sz w:val="20"/>
          <w:szCs w:val="20"/>
          <w:color w:val="auto"/>
        </w:rPr>
      </w:pPr>
    </w:p>
    <w:p>
      <w:pPr>
        <w:ind w:left="10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Company’s Website </w:t>
      </w:r>
      <w:r>
        <w:rPr>
          <w:rFonts w:ascii="Times New Roman" w:cs="Times New Roman" w:eastAsia="Times New Roman" w:hAnsi="Times New Roman"/>
          <w:sz w:val="18"/>
          <w:szCs w:val="18"/>
          <w:color w:val="auto"/>
        </w:rPr>
        <w:t>means the main corporate/investor relations website of the Company, the address or domain name of which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in any registration statement filed by the Company with the SEC in connection with its IPO, or which has otherwise been notified to Members;</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means the compensation committee of the Board established pursuant to the Articles, or any successor committee;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Completion Window </w:t>
      </w:r>
      <w:r>
        <w:rPr>
          <w:rFonts w:ascii="Times New Roman" w:cs="Times New Roman" w:eastAsia="Times New Roman" w:hAnsi="Times New Roman"/>
          <w:sz w:val="18"/>
          <w:szCs w:val="18"/>
          <w:color w:val="auto"/>
        </w:rPr>
        <w:t>means the period of time:</w:t>
      </w:r>
    </w:p>
    <w:p>
      <w:pPr>
        <w:spacing w:after="0" w:line="135" w:lineRule="exact"/>
        <w:rPr>
          <w:sz w:val="20"/>
          <w:szCs w:val="20"/>
          <w:color w:val="auto"/>
        </w:rPr>
      </w:pPr>
    </w:p>
    <w:p>
      <w:pPr>
        <w:ind w:left="740" w:hanging="644"/>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and including, the closing date of the IPO; and</w:t>
      </w:r>
    </w:p>
    <w:p>
      <w:pPr>
        <w:spacing w:after="0" w:line="130" w:lineRule="exact"/>
        <w:rPr>
          <w:rFonts w:ascii="Times New Roman" w:cs="Times New Roman" w:eastAsia="Times New Roman" w:hAnsi="Times New Roman"/>
          <w:sz w:val="18"/>
          <w:szCs w:val="18"/>
          <w:color w:val="auto"/>
        </w:rPr>
      </w:pPr>
    </w:p>
    <w:p>
      <w:pPr>
        <w:ind w:right="3760" w:firstLine="96"/>
        <w:spacing w:after="0" w:line="373" w:lineRule="auto"/>
        <w:tabs>
          <w:tab w:leader="none" w:pos="7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on the date that is twenty four (24) months after the closing date of the IPO, or such earlier date as the Directors may approve in accordance with these Articles;</w:t>
      </w:r>
    </w:p>
    <w:p>
      <w:pPr>
        <w:spacing w:after="0" w:line="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Designated Stock Exchange </w:t>
      </w:r>
      <w:r>
        <w:rPr>
          <w:rFonts w:ascii="Times New Roman" w:cs="Times New Roman" w:eastAsia="Times New Roman" w:hAnsi="Times New Roman"/>
          <w:sz w:val="18"/>
          <w:szCs w:val="18"/>
          <w:color w:val="auto"/>
        </w:rPr>
        <w:t>means any United States national securities exchange on which the securities of the Company are listed for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The Nasdaq Stock Market LLC, the NYSE MKT LLC, the New York Stock Exchange LLC or any over-the-counter (OTC) market;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w:t>
      </w:r>
      <w:r>
        <w:rPr>
          <w:rFonts w:ascii="Times New Roman" w:cs="Times New Roman" w:eastAsia="Times New Roman" w:hAnsi="Times New Roman"/>
          <w:sz w:val="18"/>
          <w:szCs w:val="18"/>
          <w:color w:val="auto"/>
        </w:rPr>
        <w:t>means a director of the Company appointed in accordance with these Articles;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w:t>
      </w:r>
      <w:r>
        <w:rPr>
          <w:rFonts w:ascii="Times New Roman" w:cs="Times New Roman" w:eastAsia="Times New Roman" w:hAnsi="Times New Roman"/>
          <w:sz w:val="18"/>
          <w:szCs w:val="18"/>
          <w:color w:val="auto"/>
        </w:rPr>
        <w:t>means a distribution, dividend (including an interim dividend), or other payment or transfer of property of the Company on 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a Share (save in respect of its redemption or repurchase);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Election Deadline </w:t>
      </w:r>
      <w:r>
        <w:rPr>
          <w:rFonts w:ascii="Times New Roman" w:cs="Times New Roman" w:eastAsia="Times New Roman" w:hAnsi="Times New Roman"/>
          <w:sz w:val="18"/>
          <w:szCs w:val="18"/>
          <w:color w:val="auto"/>
        </w:rPr>
        <w:t>has the meaning given to it at Article 52.6;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w:t>
      </w:r>
    </w:p>
    <w:p>
      <w:pPr>
        <w:spacing w:after="0" w:line="11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Electronic Communication </w:t>
      </w:r>
      <w:r>
        <w:rPr>
          <w:rFonts w:ascii="Times New Roman" w:cs="Times New Roman" w:eastAsia="Times New Roman" w:hAnsi="Times New Roman"/>
          <w:sz w:val="18"/>
          <w:szCs w:val="18"/>
          <w:color w:val="auto"/>
        </w:rPr>
        <w:t>means a communication sent by electronic means, including electronic posting to the Company’s Website,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transmission to any number, address or internet website (including the website of the SEC) or other electronic delivery methods as otherwise decided and approved by not less than a majority of the vote of the Board;</w:t>
      </w:r>
    </w:p>
    <w:p>
      <w:pPr>
        <w:spacing w:after="0" w:line="1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00"/>
          </w:cols>
          <w:pgMar w:left="880" w:top="266" w:right="51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Electronic Record </w:t>
      </w:r>
      <w:r>
        <w:rPr>
          <w:rFonts w:ascii="Times New Roman" w:cs="Times New Roman" w:eastAsia="Times New Roman" w:hAnsi="Times New Roman"/>
          <w:sz w:val="18"/>
          <w:szCs w:val="18"/>
          <w:color w:val="auto"/>
        </w:rPr>
        <w:t>has the meaning given to that term in the Electronic Transactions 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Electronic Transactions Act </w:t>
      </w:r>
      <w:r>
        <w:rPr>
          <w:rFonts w:ascii="Times New Roman" w:cs="Times New Roman" w:eastAsia="Times New Roman" w:hAnsi="Times New Roman"/>
          <w:sz w:val="18"/>
          <w:szCs w:val="18"/>
          <w:color w:val="auto"/>
        </w:rPr>
        <w:t>means the Electronic Transactions Act (As Revised) of the Cayman Islands;</w:t>
      </w:r>
    </w:p>
    <w:p>
      <w:pPr>
        <w:spacing w:after="0" w:line="117"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Equity-Linked Securities </w:t>
      </w:r>
      <w:r>
        <w:rPr>
          <w:rFonts w:ascii="Times New Roman" w:cs="Times New Roman" w:eastAsia="Times New Roman" w:hAnsi="Times New Roman"/>
          <w:sz w:val="18"/>
          <w:szCs w:val="18"/>
          <w:color w:val="auto"/>
        </w:rPr>
        <w:t>means any debt or equity securities that are convertible, exercisable or exchangeable for Class A Shares issued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transaction in connection with a Business Combination, including but not limited to a private placement of equity or debt;</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United States Securities Exchange Act of 1934 or any similar U.S. federal statute and the rules and regulations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w:t>
      </w:r>
    </w:p>
    <w:p>
      <w:pPr>
        <w:spacing w:after="0" w:line="47" w:lineRule="exact"/>
        <w:rPr>
          <w:sz w:val="20"/>
          <w:szCs w:val="20"/>
          <w:color w:val="auto"/>
        </w:rPr>
      </w:pPr>
    </w:p>
    <w:p>
      <w:pPr>
        <w:ind w:left="4" w:right="4520"/>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Founders </w:t>
      </w:r>
      <w:r>
        <w:rPr>
          <w:rFonts w:ascii="Times New Roman" w:cs="Times New Roman" w:eastAsia="Times New Roman" w:hAnsi="Times New Roman"/>
          <w:sz w:val="18"/>
          <w:szCs w:val="18"/>
          <w:color w:val="auto"/>
        </w:rPr>
        <w:t>means all Members immediately prior to the consummation of the IPO;</w:t>
      </w:r>
      <w:r>
        <w:rPr>
          <w:rFonts w:ascii="Times New Roman" w:cs="Times New Roman" w:eastAsia="Times New Roman" w:hAnsi="Times New Roman"/>
          <w:sz w:val="18"/>
          <w:szCs w:val="18"/>
          <w:b w:val="1"/>
          <w:bCs w:val="1"/>
          <w:i w:val="1"/>
          <w:iCs w:val="1"/>
          <w:color w:val="auto"/>
        </w:rPr>
        <w:t xml:space="preserve"> Fully Paid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Paid Up </w:t>
      </w:r>
      <w:r>
        <w:rPr>
          <w:rFonts w:ascii="Times New Roman" w:cs="Times New Roman" w:eastAsia="Times New Roman" w:hAnsi="Times New Roman"/>
          <w:sz w:val="18"/>
          <w:szCs w:val="18"/>
          <w:color w:val="auto"/>
        </w:rPr>
        <w:t>means:</w:t>
      </w:r>
    </w:p>
    <w:p>
      <w:pPr>
        <w:spacing w:after="0" w:line="1" w:lineRule="exact"/>
        <w:rPr>
          <w:sz w:val="20"/>
          <w:szCs w:val="20"/>
          <w:color w:val="auto"/>
        </w:rPr>
      </w:pPr>
    </w:p>
    <w:p>
      <w:pPr>
        <w:ind w:left="644" w:right="340"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67"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50"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rules and regulations of the Designated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as determined by the Directors;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Initial Conversion Ratio </w:t>
      </w:r>
      <w:r>
        <w:rPr>
          <w:rFonts w:ascii="Times New Roman" w:cs="Times New Roman" w:eastAsia="Times New Roman" w:hAnsi="Times New Roman"/>
          <w:sz w:val="18"/>
          <w:szCs w:val="18"/>
          <w:color w:val="auto"/>
        </w:rPr>
        <w:t>has the meaning given to it at Article 5.2;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IPO </w:t>
      </w:r>
      <w:r>
        <w:rPr>
          <w:rFonts w:ascii="Times New Roman" w:cs="Times New Roman" w:eastAsia="Times New Roman" w:hAnsi="Times New Roman"/>
          <w:sz w:val="18"/>
          <w:szCs w:val="18"/>
          <w:color w:val="auto"/>
        </w:rPr>
        <w:t>means the Company’s initial public offering of securities;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Lien Amounts </w:t>
      </w:r>
      <w:r>
        <w:rPr>
          <w:rFonts w:ascii="Times New Roman" w:cs="Times New Roman" w:eastAsia="Times New Roman" w:hAnsi="Times New Roman"/>
          <w:sz w:val="18"/>
          <w:szCs w:val="18"/>
          <w:color w:val="auto"/>
        </w:rPr>
        <w:t>has the meaning given to it at Article 9.1;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Member </w:t>
      </w:r>
      <w:r>
        <w:rPr>
          <w:rFonts w:ascii="Times New Roman" w:cs="Times New Roman" w:eastAsia="Times New Roman" w:hAnsi="Times New Roman"/>
          <w:sz w:val="18"/>
          <w:szCs w:val="18"/>
          <w:color w:val="auto"/>
        </w:rPr>
        <w:t>has the same meaning as in the Companies 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Memorandum </w:t>
      </w:r>
      <w:r>
        <w:rPr>
          <w:rFonts w:ascii="Times New Roman" w:cs="Times New Roman" w:eastAsia="Times New Roman" w:hAnsi="Times New Roman"/>
          <w:sz w:val="18"/>
          <w:szCs w:val="18"/>
          <w:color w:val="auto"/>
        </w:rPr>
        <w:t>means the memorandum of association of the Company;</w:t>
      </w:r>
    </w:p>
    <w:p>
      <w:pPr>
        <w:spacing w:after="0" w:line="117"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means the nominating and corporate governance committee of the Board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Articles, or any successor committee;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Officer </w:t>
      </w:r>
      <w:r>
        <w:rPr>
          <w:rFonts w:ascii="Times New Roman" w:cs="Times New Roman" w:eastAsia="Times New Roman" w:hAnsi="Times New Roman"/>
          <w:sz w:val="18"/>
          <w:szCs w:val="18"/>
          <w:color w:val="auto"/>
        </w:rPr>
        <w:t>means a person then appointed to hold an office in the Company;</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44"/>
          </w:cols>
          <w:pgMar w:left="976" w:top="266" w:right="479" w:bottom="1440" w:gutter="0" w:footer="0" w:header="0"/>
        </w:sectPr>
      </w:pPr>
    </w:p>
    <w:bookmarkStart w:id="59" w:name="page60"/>
    <w:bookmarkEnd w:id="59"/>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Ordinary Resolution </w:t>
      </w:r>
      <w:r>
        <w:rPr>
          <w:rFonts w:ascii="Times New Roman" w:cs="Times New Roman" w:eastAsia="Times New Roman" w:hAnsi="Times New Roman"/>
          <w:sz w:val="18"/>
          <w:szCs w:val="18"/>
          <w:color w:val="auto"/>
        </w:rPr>
        <w:t>means a resolution:</w:t>
      </w:r>
    </w:p>
    <w:p>
      <w:pPr>
        <w:spacing w:after="0" w:line="135" w:lineRule="exact"/>
        <w:rPr>
          <w:sz w:val="20"/>
          <w:szCs w:val="20"/>
          <w:color w:val="auto"/>
        </w:rPr>
      </w:pPr>
    </w:p>
    <w:p>
      <w:pPr>
        <w:ind w:left="740" w:hanging="644"/>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majority of such Members as, being entitled to do so, vote in person or by proxy at a general meeting of the Company; or</w:t>
      </w:r>
    </w:p>
    <w:p>
      <w:pPr>
        <w:spacing w:after="0" w:line="130" w:lineRule="exact"/>
        <w:rPr>
          <w:rFonts w:ascii="Times New Roman" w:cs="Times New Roman" w:eastAsia="Times New Roman" w:hAnsi="Times New Roman"/>
          <w:sz w:val="18"/>
          <w:szCs w:val="18"/>
          <w:color w:val="auto"/>
        </w:rPr>
      </w:pPr>
    </w:p>
    <w:p>
      <w:pPr>
        <w:ind w:left="740" w:hanging="644"/>
        <w:spacing w:after="0" w:line="282"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Members entitled to vote at a general meeting of the Company in one or more instruments each signed by one or more of the Members;</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Over-Allotment Option </w:t>
      </w:r>
      <w:r>
        <w:rPr>
          <w:rFonts w:ascii="Times New Roman" w:cs="Times New Roman" w:eastAsia="Times New Roman" w:hAnsi="Times New Roman"/>
          <w:sz w:val="18"/>
          <w:szCs w:val="18"/>
          <w:color w:val="auto"/>
        </w:rPr>
        <w:t>means the option of the Underwriters to purchase additional units issued in the IPO;</w:t>
      </w:r>
    </w:p>
    <w:p>
      <w:pPr>
        <w:spacing w:after="0" w:line="117"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Withdrawals </w:t>
      </w:r>
      <w:r>
        <w:rPr>
          <w:rFonts w:ascii="Times New Roman" w:cs="Times New Roman" w:eastAsia="Times New Roman" w:hAnsi="Times New Roman"/>
          <w:sz w:val="18"/>
          <w:szCs w:val="18"/>
          <w:color w:val="auto"/>
        </w:rPr>
        <w:t>means amounts withdrawn from the Trust Account to pay the Company’s taxes, provided that all Permitted Withdrawals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only be made from interest and not from the principal held in the Trust Account.</w:t>
      </w:r>
    </w:p>
    <w:p>
      <w:pPr>
        <w:spacing w:after="0" w:line="47" w:lineRule="exact"/>
        <w:rPr>
          <w:sz w:val="20"/>
          <w:szCs w:val="20"/>
          <w:color w:val="auto"/>
        </w:rPr>
      </w:pPr>
    </w:p>
    <w:p>
      <w:pPr>
        <w:ind w:left="1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any individual, firm, corporation, partnership, limited liability company, incorporated or unincorporated association, trust,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joint venture, joint stock company, governmental authority or instrumentality or other entity of any kind;</w:t>
      </w:r>
    </w:p>
    <w:p>
      <w:pPr>
        <w:spacing w:after="0" w:line="47" w:lineRule="exact"/>
        <w:rPr>
          <w:sz w:val="20"/>
          <w:szCs w:val="20"/>
          <w:color w:val="auto"/>
        </w:rPr>
      </w:pPr>
    </w:p>
    <w:p>
      <w:pPr>
        <w:ind w:left="100" w:right="2700"/>
        <w:spacing w:after="0" w:line="3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 </w:t>
      </w:r>
      <w:r>
        <w:rPr>
          <w:rFonts w:ascii="Times New Roman" w:cs="Times New Roman" w:eastAsia="Times New Roman" w:hAnsi="Times New Roman"/>
          <w:sz w:val="18"/>
          <w:szCs w:val="18"/>
          <w:color w:val="auto"/>
        </w:rPr>
        <w:t>means a preferred share of a par value of US$0.0001 in the share capital of the Company;</w:t>
      </w:r>
      <w:r>
        <w:rPr>
          <w:rFonts w:ascii="Times New Roman" w:cs="Times New Roman" w:eastAsia="Times New Roman" w:hAnsi="Times New Roman"/>
          <w:sz w:val="18"/>
          <w:szCs w:val="18"/>
          <w:b w:val="1"/>
          <w:bCs w:val="1"/>
          <w:i w:val="1"/>
          <w:iCs w:val="1"/>
          <w:color w:val="auto"/>
        </w:rPr>
        <w:t xml:space="preserve"> Private Placement Units </w:t>
      </w:r>
      <w:r>
        <w:rPr>
          <w:rFonts w:ascii="Times New Roman" w:cs="Times New Roman" w:eastAsia="Times New Roman" w:hAnsi="Times New Roman"/>
          <w:sz w:val="18"/>
          <w:szCs w:val="18"/>
          <w:color w:val="auto"/>
        </w:rPr>
        <w:t>means any units sold in a private placement simultaneously with the IPO;</w:t>
      </w:r>
      <w:r>
        <w:rPr>
          <w:rFonts w:ascii="Times New Roman" w:cs="Times New Roman" w:eastAsia="Times New Roman" w:hAnsi="Times New Roman"/>
          <w:sz w:val="18"/>
          <w:szCs w:val="18"/>
          <w:b w:val="1"/>
          <w:bCs w:val="1"/>
          <w:i w:val="1"/>
          <w:iCs w:val="1"/>
          <w:color w:val="auto"/>
        </w:rPr>
        <w:t xml:space="preserve"> Public Share </w:t>
      </w:r>
      <w:r>
        <w:rPr>
          <w:rFonts w:ascii="Times New Roman" w:cs="Times New Roman" w:eastAsia="Times New Roman" w:hAnsi="Times New Roman"/>
          <w:sz w:val="18"/>
          <w:szCs w:val="18"/>
          <w:color w:val="auto"/>
        </w:rPr>
        <w:t>means the Class A Shares issued as part of the units issued in the IPO (which excludes:</w:t>
      </w:r>
    </w:p>
    <w:p>
      <w:pPr>
        <w:spacing w:after="0" w:line="1" w:lineRule="exact"/>
        <w:rPr>
          <w:sz w:val="20"/>
          <w:szCs w:val="20"/>
          <w:color w:val="auto"/>
        </w:rPr>
      </w:pPr>
    </w:p>
    <w:p>
      <w:pPr>
        <w:ind w:left="740" w:hanging="644"/>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to be issued upon the conversion of the Class B Shares; and</w:t>
      </w:r>
    </w:p>
    <w:p>
      <w:pPr>
        <w:spacing w:after="0" w:line="130" w:lineRule="exact"/>
        <w:rPr>
          <w:rFonts w:ascii="Times New Roman" w:cs="Times New Roman" w:eastAsia="Times New Roman" w:hAnsi="Times New Roman"/>
          <w:sz w:val="18"/>
          <w:szCs w:val="18"/>
          <w:color w:val="auto"/>
        </w:rPr>
      </w:pPr>
    </w:p>
    <w:p>
      <w:pPr>
        <w:ind w:left="740" w:hanging="644"/>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underlying any Private Placement Units);</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Notice </w:t>
      </w:r>
      <w:r>
        <w:rPr>
          <w:rFonts w:ascii="Times New Roman" w:cs="Times New Roman" w:eastAsia="Times New Roman" w:hAnsi="Times New Roman"/>
          <w:sz w:val="18"/>
          <w:szCs w:val="18"/>
          <w:color w:val="auto"/>
        </w:rPr>
        <w:t>means a notice in a form approved by the Company by which a holder of Public Shares is entitled to require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 its Public Shares, subject to any conditions contained therein;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Redemption Price </w:t>
      </w:r>
      <w:r>
        <w:rPr>
          <w:rFonts w:ascii="Times New Roman" w:cs="Times New Roman" w:eastAsia="Times New Roman" w:hAnsi="Times New Roman"/>
          <w:sz w:val="18"/>
          <w:szCs w:val="18"/>
          <w:color w:val="auto"/>
        </w:rPr>
        <w:t>has the meaning given to it at Article 52.6;</w:t>
      </w:r>
    </w:p>
    <w:p>
      <w:pPr>
        <w:spacing w:after="0" w:line="117" w:lineRule="exact"/>
        <w:rPr>
          <w:sz w:val="20"/>
          <w:szCs w:val="20"/>
          <w:color w:val="auto"/>
        </w:rPr>
      </w:pPr>
    </w:p>
    <w:p>
      <w:pPr>
        <w:ind w:right="240"/>
        <w:spacing w:after="0" w:line="3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Register of Directors and Officers </w:t>
      </w:r>
      <w:r>
        <w:rPr>
          <w:rFonts w:ascii="Times New Roman" w:cs="Times New Roman" w:eastAsia="Times New Roman" w:hAnsi="Times New Roman"/>
          <w:sz w:val="18"/>
          <w:szCs w:val="18"/>
          <w:color w:val="auto"/>
        </w:rPr>
        <w:t>means the register of Directors and Officers maintained by the Company in accordance with these Articles;</w:t>
      </w:r>
      <w:r>
        <w:rPr>
          <w:rFonts w:ascii="Times New Roman" w:cs="Times New Roman" w:eastAsia="Times New Roman" w:hAnsi="Times New Roman"/>
          <w:sz w:val="18"/>
          <w:szCs w:val="18"/>
          <w:b w:val="1"/>
          <w:bCs w:val="1"/>
          <w:i w:val="1"/>
          <w:iCs w:val="1"/>
          <w:color w:val="auto"/>
        </w:rPr>
        <w:t xml:space="preserve"> Register of Members </w:t>
      </w:r>
      <w:r>
        <w:rPr>
          <w:rFonts w:ascii="Times New Roman" w:cs="Times New Roman" w:eastAsia="Times New Roman" w:hAnsi="Times New Roman"/>
          <w:sz w:val="18"/>
          <w:szCs w:val="18"/>
          <w:color w:val="auto"/>
        </w:rPr>
        <w:t>means the register of Members referred to in these Articles;</w:t>
      </w:r>
    </w:p>
    <w:p>
      <w:pPr>
        <w:spacing w:after="0" w:line="1" w:lineRule="exact"/>
        <w:rPr>
          <w:sz w:val="20"/>
          <w:szCs w:val="20"/>
          <w:color w:val="auto"/>
        </w:rPr>
      </w:pPr>
    </w:p>
    <w:p>
      <w:pPr>
        <w:ind w:right="2500"/>
        <w:spacing w:after="0" w:line="40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Registrar </w:t>
      </w:r>
      <w:r>
        <w:rPr>
          <w:rFonts w:ascii="Times New Roman" w:cs="Times New Roman" w:eastAsia="Times New Roman" w:hAnsi="Times New Roman"/>
          <w:sz w:val="18"/>
          <w:szCs w:val="18"/>
          <w:color w:val="auto"/>
        </w:rPr>
        <w:t>means the Cayman Islands Registrar of Companies and includes the Deputy Registrar of Companies;</w:t>
      </w:r>
      <w:r>
        <w:rPr>
          <w:rFonts w:ascii="Times New Roman" w:cs="Times New Roman" w:eastAsia="Times New Roman" w:hAnsi="Times New Roman"/>
          <w:sz w:val="18"/>
          <w:szCs w:val="18"/>
          <w:b w:val="1"/>
          <w:bCs w:val="1"/>
          <w:i w:val="1"/>
          <w:iCs w:val="1"/>
          <w:color w:val="auto"/>
        </w:rPr>
        <w:t xml:space="preserve"> Registered Office </w:t>
      </w:r>
      <w:r>
        <w:rPr>
          <w:rFonts w:ascii="Times New Roman" w:cs="Times New Roman" w:eastAsia="Times New Roman" w:hAnsi="Times New Roman"/>
          <w:sz w:val="18"/>
          <w:szCs w:val="18"/>
          <w:color w:val="auto"/>
        </w:rPr>
        <w:t>means the registered office for the time being of the Company;</w:t>
      </w:r>
    </w:p>
    <w:p>
      <w:pPr>
        <w:spacing w:after="0" w:line="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00"/>
          </w:cols>
          <w:pgMar w:left="880" w:top="266" w:right="51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relevant period </w:t>
      </w:r>
      <w:r>
        <w:rPr>
          <w:rFonts w:ascii="Times New Roman" w:cs="Times New Roman" w:eastAsia="Times New Roman" w:hAnsi="Times New Roman"/>
          <w:sz w:val="18"/>
          <w:szCs w:val="18"/>
          <w:color w:val="auto"/>
        </w:rPr>
        <w:t>has the meaning given to it at Article 8.2;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has the meaning given to it at Article 12.2;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Seal </w:t>
      </w:r>
      <w:r>
        <w:rPr>
          <w:rFonts w:ascii="Times New Roman" w:cs="Times New Roman" w:eastAsia="Times New Roman" w:hAnsi="Times New Roman"/>
          <w:sz w:val="18"/>
          <w:szCs w:val="18"/>
          <w:color w:val="auto"/>
        </w:rPr>
        <w:t>means any seal which has been duly adopted as the common seal of the Company and includes every duplicate seal;</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Secretary </w:t>
      </w:r>
      <w:r>
        <w:rPr>
          <w:rFonts w:ascii="Times New Roman" w:cs="Times New Roman" w:eastAsia="Times New Roman" w:hAnsi="Times New Roman"/>
          <w:sz w:val="18"/>
          <w:szCs w:val="18"/>
          <w:color w:val="auto"/>
        </w:rPr>
        <w:t>means the person appointed to perform any or all of the duties of secretary of the Company, including any assistant secretary;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w:t>
      </w:r>
      <w:r>
        <w:rPr>
          <w:rFonts w:ascii="Times New Roman" w:cs="Times New Roman" w:eastAsia="Times New Roman" w:hAnsi="Times New Roman"/>
          <w:sz w:val="18"/>
          <w:szCs w:val="18"/>
          <w:color w:val="auto"/>
        </w:rPr>
        <w:t>means a share in the capital of the Company, including a fraction of a share issued or authorised to be issued by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Special Resolution </w:t>
      </w:r>
      <w:r>
        <w:rPr>
          <w:rFonts w:ascii="Times New Roman" w:cs="Times New Roman" w:eastAsia="Times New Roman" w:hAnsi="Times New Roman"/>
          <w:sz w:val="18"/>
          <w:szCs w:val="18"/>
          <w:color w:val="auto"/>
        </w:rPr>
        <w:t>means a special resolution of the Company passed in accordance with the Companies Act, being a resolution:</w:t>
      </w:r>
    </w:p>
    <w:p>
      <w:pPr>
        <w:spacing w:after="0" w:line="135" w:lineRule="exact"/>
        <w:rPr>
          <w:sz w:val="20"/>
          <w:szCs w:val="20"/>
          <w:color w:val="auto"/>
        </w:rPr>
      </w:pPr>
    </w:p>
    <w:p>
      <w:pPr>
        <w:ind w:left="644" w:right="160" w:hanging="644"/>
        <w:spacing w:after="0" w:line="26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majority of not less than two-thirds (66.66%) of such Members as, being entitled to do so, vote in person or by proxy at a general meeting of the Company of which notice specifying the intention to propose the resolution as a Special Resolution has been duly given; or</w:t>
      </w:r>
    </w:p>
    <w:p>
      <w:pPr>
        <w:spacing w:after="0" w:line="8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Members entitled to vote at a general meeting of the Company in one or more instruments each signed by one or more of the Members;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Sponsor </w:t>
      </w:r>
      <w:r>
        <w:rPr>
          <w:rFonts w:ascii="Times New Roman" w:cs="Times New Roman" w:eastAsia="Times New Roman" w:hAnsi="Times New Roman"/>
          <w:sz w:val="18"/>
          <w:szCs w:val="18"/>
          <w:color w:val="auto"/>
        </w:rPr>
        <w:t>means GigAcquisition8 Corp., a Cayman exempted company, and its successors or assigns;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Tax Filing Authorised Person </w:t>
      </w:r>
      <w:r>
        <w:rPr>
          <w:rFonts w:ascii="Times New Roman" w:cs="Times New Roman" w:eastAsia="Times New Roman" w:hAnsi="Times New Roman"/>
          <w:sz w:val="18"/>
          <w:szCs w:val="18"/>
          <w:color w:val="auto"/>
        </w:rPr>
        <w:t>means such person as any Director shall designate from time to time, acting severally;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Transmission Event </w:t>
      </w:r>
      <w:r>
        <w:rPr>
          <w:rFonts w:ascii="Times New Roman" w:cs="Times New Roman" w:eastAsia="Times New Roman" w:hAnsi="Times New Roman"/>
          <w:sz w:val="18"/>
          <w:szCs w:val="18"/>
          <w:color w:val="auto"/>
        </w:rPr>
        <w:t>has the meaning given to it at Article 12.2;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Treasury Share </w:t>
      </w:r>
      <w:r>
        <w:rPr>
          <w:rFonts w:ascii="Times New Roman" w:cs="Times New Roman" w:eastAsia="Times New Roman" w:hAnsi="Times New Roman"/>
          <w:sz w:val="18"/>
          <w:szCs w:val="18"/>
          <w:color w:val="auto"/>
        </w:rPr>
        <w:t>means a Share that has been repurchased, redeemed, surrendered to, or otherwise acquired by the Company and not cancelled;</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 Account </w:t>
      </w:r>
      <w:r>
        <w:rPr>
          <w:rFonts w:ascii="Times New Roman" w:cs="Times New Roman" w:eastAsia="Times New Roman" w:hAnsi="Times New Roman"/>
          <w:sz w:val="18"/>
          <w:szCs w:val="18"/>
          <w:color w:val="auto"/>
        </w:rPr>
        <w:t>means the trust account established by the Company upon the consummation of the IPO and into which a certain amount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proceeds of the IPO, together with a certain amount of the proceeds of the sale of the Private Placement Units, will be deposited;</w:t>
      </w:r>
    </w:p>
    <w:p>
      <w:pPr>
        <w:spacing w:after="0" w:line="47" w:lineRule="exact"/>
        <w:rPr>
          <w:sz w:val="20"/>
          <w:szCs w:val="20"/>
          <w:color w:val="auto"/>
        </w:rPr>
      </w:pPr>
    </w:p>
    <w:p>
      <w:pPr>
        <w:ind w:left="4" w:right="3460"/>
        <w:spacing w:after="0" w:line="401"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Underwriter </w:t>
      </w:r>
      <w:r>
        <w:rPr>
          <w:rFonts w:ascii="Times New Roman" w:cs="Times New Roman" w:eastAsia="Times New Roman" w:hAnsi="Times New Roman"/>
          <w:sz w:val="18"/>
          <w:szCs w:val="18"/>
          <w:color w:val="auto"/>
        </w:rPr>
        <w:t>means an underwriter of the IPO from time to time and any successor Underwriter;</w:t>
      </w:r>
      <w:r>
        <w:rPr>
          <w:rFonts w:ascii="Times New Roman" w:cs="Times New Roman" w:eastAsia="Times New Roman" w:hAnsi="Times New Roman"/>
          <w:sz w:val="18"/>
          <w:szCs w:val="18"/>
          <w:b w:val="1"/>
          <w:bCs w:val="1"/>
          <w:i w:val="1"/>
          <w:iCs w:val="1"/>
          <w:color w:val="auto"/>
        </w:rPr>
        <w:t xml:space="preserve"> Underwriter Representative </w:t>
      </w:r>
      <w:r>
        <w:rPr>
          <w:rFonts w:ascii="Times New Roman" w:cs="Times New Roman" w:eastAsia="Times New Roman" w:hAnsi="Times New Roman"/>
          <w:sz w:val="18"/>
          <w:szCs w:val="18"/>
          <w:color w:val="auto"/>
        </w:rPr>
        <w:t>means a representative of the Underwriter;</w:t>
      </w:r>
    </w:p>
    <w:p>
      <w:pPr>
        <w:spacing w:after="0" w:line="1"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04"/>
          </w:cols>
          <w:pgMar w:left="976" w:top="266" w:right="519" w:bottom="1440" w:gutter="0" w:footer="0" w:header="0"/>
        </w:sectPr>
      </w:pPr>
    </w:p>
    <w:bookmarkStart w:id="61" w:name="page62"/>
    <w:bookmarkEnd w:id="61"/>
    <w:p>
      <w:pPr>
        <w:jc w:val="both"/>
        <w:ind w:left="5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w:t>
      </w:r>
      <w:r>
        <w:rPr>
          <w:rFonts w:ascii="Times New Roman" w:cs="Times New Roman" w:eastAsia="Times New Roman" w:hAnsi="Times New Roman"/>
          <w:sz w:val="18"/>
          <w:szCs w:val="18"/>
          <w:color w:val="auto"/>
        </w:rPr>
        <w:t>includes information generated, sent, received, or stored by Electronic, electrical, digital, magnetic, optical, electromagnetic, biometric,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photonic means, including electronic data interchange and electronic mail in accordance with the Electronic Transactions Act and in writing shall be construed accordingly.</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Interpretation. </w:t>
      </w:r>
      <w:r>
        <w:rPr>
          <w:rFonts w:ascii="Times New Roman" w:cs="Times New Roman" w:eastAsia="Times New Roman" w:hAnsi="Times New Roman"/>
          <w:sz w:val="17"/>
          <w:szCs w:val="17"/>
          <w:color w:val="auto"/>
        </w:rPr>
        <w:t>In the Memorandum and these Articles, unless the context otherwise requires a reference to:</w:t>
      </w:r>
    </w:p>
    <w:p>
      <w:pPr>
        <w:spacing w:after="0" w:line="135" w:lineRule="exact"/>
        <w:rPr>
          <w:sz w:val="20"/>
          <w:szCs w:val="20"/>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is a reference to such law or regulation as amended or re-enacted from time to time;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all legal persons and natural persons; and</w:t>
      </w:r>
    </w:p>
    <w:p>
      <w:pPr>
        <w:spacing w:after="0" w:line="130" w:lineRule="exact"/>
        <w:rPr>
          <w:rFonts w:ascii="Times New Roman" w:cs="Times New Roman" w:eastAsia="Times New Roman" w:hAnsi="Times New Roman"/>
          <w:sz w:val="18"/>
          <w:szCs w:val="18"/>
          <w:color w:val="auto"/>
        </w:rPr>
      </w:pPr>
    </w:p>
    <w:p>
      <w:pPr>
        <w:ind w:left="1180" w:right="64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persons include all forms of corporate entity and any other person having capacity to act in its own name created by or in accordance with the laws or regulations of any jurisdiction.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130"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67"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or “in particular” or similar expression shall be construed as illustrative and shall not limit the sense of the words preceding those terms;</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81" w:lineRule="exact"/>
        <w:rPr>
          <w:rFonts w:ascii="Times New Roman" w:cs="Times New Roman" w:eastAsia="Times New Roman" w:hAnsi="Times New Roman"/>
          <w:sz w:val="18"/>
          <w:szCs w:val="18"/>
          <w:color w:val="auto"/>
        </w:rPr>
      </w:pPr>
    </w:p>
    <w:p>
      <w:pPr>
        <w:ind w:left="1180" w:right="116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62" w:name="page63"/>
    <w:bookmarkEnd w:id="62"/>
    <w:p>
      <w:pPr>
        <w:ind w:left="1184" w:right="100" w:hanging="644"/>
        <w:spacing w:after="0" w:line="282" w:lineRule="auto"/>
        <w:tabs>
          <w:tab w:leader="none" w:pos="1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requirements as to execution or signature under the Articles, including the execution of the Articles themselves, can be satisfied in the form of an electronic signature as defined in the Electronic Transactions Act;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127" w:lineRule="exact"/>
        <w:rPr>
          <w:sz w:val="20"/>
          <w:szCs w:val="20"/>
          <w:color w:val="auto"/>
        </w:rPr>
      </w:pPr>
    </w:p>
    <w:p>
      <w:pPr>
        <w:ind w:left="544" w:right="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 xml:space="preserve">Companies Act. </w:t>
      </w:r>
      <w:r>
        <w:rPr>
          <w:rFonts w:ascii="Times New Roman" w:cs="Times New Roman" w:eastAsia="Times New Roman" w:hAnsi="Times New Roman"/>
          <w:sz w:val="18"/>
          <w:szCs w:val="18"/>
          <w:color w:val="auto"/>
        </w:rPr>
        <w:t>Subject to this Article 1, any words defined in the Companies Act shall, if not inconsistent with the subject or context, bear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meaning in these Articles.</w:t>
      </w:r>
    </w:p>
    <w:p>
      <w:pPr>
        <w:spacing w:after="0" w:line="303" w:lineRule="exact"/>
        <w:rPr>
          <w:sz w:val="20"/>
          <w:szCs w:val="20"/>
          <w:color w:val="auto"/>
        </w:rPr>
      </w:pPr>
    </w:p>
    <w:p>
      <w:pPr>
        <w:ind w:left="544" w:hanging="544"/>
        <w:spacing w:after="0"/>
        <w:tabs>
          <w:tab w:leader="none" w:pos="54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The business of the Company may be commenced at such time as determined by the Directors.</w:t>
      </w:r>
    </w:p>
    <w:p>
      <w:pPr>
        <w:spacing w:after="0" w:line="131" w:lineRule="exact"/>
        <w:rPr>
          <w:sz w:val="20"/>
          <w:szCs w:val="20"/>
          <w:color w:val="auto"/>
        </w:rPr>
      </w:pPr>
    </w:p>
    <w:p>
      <w:pPr>
        <w:ind w:left="544"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Commencement Costs and Expenses</w:t>
      </w:r>
      <w:r>
        <w:rPr>
          <w:rFonts w:ascii="Times New Roman" w:cs="Times New Roman" w:eastAsia="Times New Roman" w:hAnsi="Times New Roman"/>
          <w:sz w:val="18"/>
          <w:szCs w:val="18"/>
          <w:color w:val="auto"/>
        </w:rPr>
        <w:t>. The Directors may pay, out of capital or other money of the Company, all costs and expenses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establishment and registration of the Company.</w:t>
      </w:r>
    </w:p>
    <w:p>
      <w:pPr>
        <w:spacing w:after="0" w:line="303" w:lineRule="exact"/>
        <w:rPr>
          <w:sz w:val="20"/>
          <w:szCs w:val="20"/>
          <w:color w:val="auto"/>
        </w:rPr>
      </w:pPr>
    </w:p>
    <w:p>
      <w:pPr>
        <w:ind w:left="544" w:hanging="544"/>
        <w:spacing w:after="0"/>
        <w:tabs>
          <w:tab w:leader="none" w:pos="54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w:t>
      </w:r>
    </w:p>
    <w:p>
      <w:pPr>
        <w:spacing w:after="0" w:line="131" w:lineRule="exact"/>
        <w:rPr>
          <w:sz w:val="20"/>
          <w:szCs w:val="20"/>
          <w:color w:val="auto"/>
        </w:rPr>
      </w:pPr>
    </w:p>
    <w:p>
      <w:pPr>
        <w:ind w:left="544"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Share Certificates</w:t>
      </w:r>
      <w:r>
        <w:rPr>
          <w:rFonts w:ascii="Times New Roman" w:cs="Times New Roman" w:eastAsia="Times New Roman" w:hAnsi="Times New Roman"/>
          <w:sz w:val="18"/>
          <w:szCs w:val="18"/>
          <w:color w:val="auto"/>
        </w:rPr>
        <w:t>. Unless and until the Directors resolve to issue share certificates, no share certificate shall be issued, and the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shareholdings of each Member shall be in uncertified book entry form. If the Directors do resolve to issue share certificates in respect of any one or more classes of Shares, then every Member holding such Shares shall be entitled, upon written request only, to a certificate signed by a Director or Secretary, or any other person authorised by a resolution of the Directors, or under the Seal specifying the number of Shares held by them and the signature of the Director, Secretary or authorised person and the Seal may be facsimiles or affixed by Electronic means pursuant to the Electronic Transactions Act.</w:t>
      </w:r>
    </w:p>
    <w:p>
      <w:pPr>
        <w:spacing w:after="0" w:line="88"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Indemnity and Replacement</w:t>
      </w:r>
      <w:r>
        <w:rPr>
          <w:rFonts w:ascii="Times New Roman" w:cs="Times New Roman" w:eastAsia="Times New Roman" w:hAnsi="Times New Roman"/>
          <w:sz w:val="18"/>
          <w:szCs w:val="18"/>
          <w:color w:val="auto"/>
        </w:rPr>
        <w:t>. Any Member receiving a certificate shall indemnify and hold the Company and its Directors and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from any loss or liability which it or they may incur by reason of any wrongful or fraudulent use or representation made by any person by virtue of the possession thereof. If a certificate for Shares is worn out or lost it may be renewed or, in connection with any proposed Share transfer, a new certificate may be issued, on production of the worn out certificate or on satisfactory proof of its loss together with such indemnity as may be required by the Directors.</w:t>
      </w:r>
    </w:p>
    <w:p>
      <w:pPr>
        <w:spacing w:after="0" w:line="85" w:lineRule="exact"/>
        <w:rPr>
          <w:sz w:val="20"/>
          <w:szCs w:val="20"/>
          <w:color w:val="auto"/>
        </w:rPr>
      </w:pPr>
    </w:p>
    <w:p>
      <w:pPr>
        <w:ind w:left="544" w:right="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If several Members are registered as joint holders of any Shares, any one of such Members may give an effectual receipt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certificate.</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63" w:name="page64"/>
    <w:bookmarkEnd w:id="63"/>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OF SHARES</w:t>
      </w:r>
    </w:p>
    <w:p>
      <w:pPr>
        <w:spacing w:after="0" w:line="131"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Issue</w:t>
      </w:r>
      <w:r>
        <w:rPr>
          <w:rFonts w:ascii="Times New Roman" w:cs="Times New Roman" w:eastAsia="Times New Roman" w:hAnsi="Times New Roman"/>
          <w:sz w:val="18"/>
          <w:szCs w:val="18"/>
          <w:color w:val="auto"/>
        </w:rPr>
        <w:t>. Subject to the provisions, if any, in the Memorandum (and to any direction that may be given by the Company in general meeting)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applicable, the rules and regulations of the Designated Stock Exchange, the SEC,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Distributions, voting, return of capital or otherwise and to such persons, at such times and on such other terms as they thing proper, and may also (subject to the Companies Act and the Articles) vary such rights, save that the Directors shall not allot, issue, grant options over, or otherwise dispose of Shares (including fractions of a Share) to the extent that it may affect the ability of the Company to carry out a Class B Share Conversion.</w:t>
      </w:r>
    </w:p>
    <w:p>
      <w:pPr>
        <w:spacing w:after="0" w:line="90" w:lineRule="exact"/>
        <w:rPr>
          <w:sz w:val="20"/>
          <w:szCs w:val="20"/>
          <w:color w:val="auto"/>
        </w:rPr>
      </w:pPr>
    </w:p>
    <w:p>
      <w:pPr>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The Company may issue rights, options, warrant or convertible securities of similar nature conferring the right upon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subscribe for, purchase or receive any class of Shares or other securities in the Company on such terms as the Directors may from time to time determine.</w:t>
      </w:r>
    </w:p>
    <w:p>
      <w:pPr>
        <w:spacing w:after="0" w:line="76" w:lineRule="exact"/>
        <w:rPr>
          <w:sz w:val="20"/>
          <w:szCs w:val="20"/>
          <w:color w:val="auto"/>
        </w:rPr>
      </w:pPr>
    </w:p>
    <w:p>
      <w:pPr>
        <w:ind w:left="544" w:right="20" w:hanging="539"/>
        <w:spacing w:after="0"/>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Units. </w:t>
      </w:r>
      <w:r>
        <w:rPr>
          <w:rFonts w:ascii="Times New Roman" w:cs="Times New Roman" w:eastAsia="Times New Roman" w:hAnsi="Times New Roman"/>
          <w:sz w:val="18"/>
          <w:szCs w:val="18"/>
          <w:color w:val="auto"/>
        </w:rPr>
        <w:t>The Company may issue units of securities in the Company, which may be comprised of whole or fractional Shares, rights,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convertible securities or securities of similar nature conferring the right upon the holders thereof to subscribe for, purchase, or receive any class of Shares or other securities in the Company, upon such terms as the Directors may from time to time determine. The securities comprising any such units which are issued pursuant to the IPO can only be traded separately from one another on the fifty second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day following the date of the prospectus relating to the IPO unless the Underwriter Representative(s) determines that an earlier date is acceptable, subject to the Company having filed a current report on Form 8-K with the SEC, containing an audited balance sheet reflecting the Company’s receipt of the gross proceeds of the IPO, and a press release announcing when such separate trading will being. Prior to such date, the units can be traded, but the securities comprising such units cannot be traded separately from one another.</w:t>
      </w:r>
    </w:p>
    <w:p>
      <w:pPr>
        <w:spacing w:after="0" w:line="10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color w:val="auto"/>
        </w:rPr>
        <w:t xml:space="preserve">Unissued Shares. </w:t>
      </w:r>
      <w:r>
        <w:rPr>
          <w:rFonts w:ascii="Times New Roman" w:cs="Times New Roman" w:eastAsia="Times New Roman" w:hAnsi="Times New Roman"/>
          <w:sz w:val="17"/>
          <w:szCs w:val="17"/>
          <w:color w:val="auto"/>
        </w:rPr>
        <w:t>The Directors may so deal with the unissued Shares:</w:t>
      </w:r>
    </w:p>
    <w:p>
      <w:pPr>
        <w:spacing w:after="0" w:line="135" w:lineRule="exact"/>
        <w:rPr>
          <w:sz w:val="20"/>
          <w:szCs w:val="20"/>
          <w:color w:val="auto"/>
        </w:rPr>
      </w:pPr>
    </w:p>
    <w:p>
      <w:pPr>
        <w:ind w:left="1184" w:hanging="644"/>
        <w:spacing w:after="0"/>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and</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63" w:lineRule="exact"/>
        <w:rPr>
          <w:sz w:val="20"/>
          <w:szCs w:val="20"/>
          <w:color w:val="auto"/>
        </w:rPr>
      </w:pPr>
    </w:p>
    <w:p>
      <w:pPr>
        <w:ind w:left="544" w:right="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Consideration for Share Issue</w:t>
      </w:r>
      <w:r>
        <w:rPr>
          <w:rFonts w:ascii="Times New Roman" w:cs="Times New Roman" w:eastAsia="Times New Roman" w:hAnsi="Times New Roman"/>
          <w:sz w:val="18"/>
          <w:szCs w:val="18"/>
          <w:color w:val="auto"/>
        </w:rPr>
        <w:t>. A Share may be issued for consideration in any form, including money, a promissory note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contribute money or property, real property, personal property (including goodwill and know-how), services rendered, or a contract for future services.</w:t>
      </w:r>
    </w:p>
    <w:p>
      <w:pPr>
        <w:spacing w:after="0" w:line="76" w:lineRule="exact"/>
        <w:rPr>
          <w:sz w:val="20"/>
          <w:szCs w:val="20"/>
          <w:color w:val="auto"/>
        </w:rPr>
      </w:pPr>
    </w:p>
    <w:p>
      <w:pPr>
        <w:ind w:left="544" w:right="1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 xml:space="preserve">Power to issue fractions of a Share. </w:t>
      </w:r>
      <w:r>
        <w:rPr>
          <w:rFonts w:ascii="Times New Roman" w:cs="Times New Roman" w:eastAsia="Times New Roman" w:hAnsi="Times New Roman"/>
          <w:sz w:val="18"/>
          <w:szCs w:val="18"/>
          <w:color w:val="auto"/>
        </w:rPr>
        <w:t>Subject to the Companies Act, the Company may issue fractions of a Share of any class. A fraction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64" w:name="page65"/>
    <w:bookmarkEnd w:id="64"/>
    <w:p>
      <w:pPr>
        <w:jc w:val="both"/>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4.7</w:t>
      </w:r>
      <w:r>
        <w:rPr>
          <w:sz w:val="20"/>
          <w:szCs w:val="20"/>
          <w:color w:val="auto"/>
        </w:rPr>
        <w:tab/>
      </w:r>
      <w:r>
        <w:rPr>
          <w:rFonts w:ascii="Times New Roman" w:cs="Times New Roman" w:eastAsia="Times New Roman" w:hAnsi="Times New Roman"/>
          <w:sz w:val="18"/>
          <w:szCs w:val="18"/>
          <w:b w:val="1"/>
          <w:bCs w:val="1"/>
          <w:color w:val="auto"/>
        </w:rPr>
        <w:t xml:space="preserve">No fractional shares for rights. </w:t>
      </w:r>
      <w:r>
        <w:rPr>
          <w:rFonts w:ascii="Times New Roman" w:cs="Times New Roman" w:eastAsia="Times New Roman" w:hAnsi="Times New Roman"/>
          <w:sz w:val="18"/>
          <w:szCs w:val="18"/>
          <w:color w:val="auto"/>
        </w:rPr>
        <w:t>No fractional Class A Shares will be issued in connection with an exchange of rights. If, upon an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 holder would be entitled to receive a fractional interest in a Class A Share, the Company will, upon exercise, round down to the nearest whole number of Class A Shares to be issued to the right holder.</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b w:val="1"/>
          <w:bCs w:val="1"/>
          <w:color w:val="auto"/>
        </w:rPr>
        <w:t>Register of Members</w:t>
      </w:r>
      <w:r>
        <w:rPr>
          <w:rFonts w:ascii="Times New Roman" w:cs="Times New Roman" w:eastAsia="Times New Roman" w:hAnsi="Times New Roman"/>
          <w:sz w:val="17"/>
          <w:szCs w:val="17"/>
          <w:color w:val="auto"/>
        </w:rPr>
        <w:t>. The Register of Members kept by the Company shall contain:</w:t>
      </w:r>
    </w:p>
    <w:p>
      <w:pPr>
        <w:spacing w:after="0" w:line="135" w:lineRule="exact"/>
        <w:rPr>
          <w:sz w:val="20"/>
          <w:szCs w:val="20"/>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each Member;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Shares held by each Member;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distinguishing numbers of the Shares of each Member (if any);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or agreed to be considered as paid, on the Shares of each Member;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each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27" w:lineRule="exact"/>
        <w:rPr>
          <w:sz w:val="20"/>
          <w:szCs w:val="20"/>
          <w:color w:val="auto"/>
        </w:rPr>
      </w:pPr>
    </w:p>
    <w:p>
      <w:pPr>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 Company is authorised to pay a commission to any person in consideration of their subscribing or agreeing to subscribe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absolutely or conditionally) for any Shares or procuring or agreeing to procure subscriptions (whether absolute or conditional) for any Shares. The Company may employ a broker in the issue of its capital and pay them any proper commission or brokerage.</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b w:val="1"/>
          <w:bCs w:val="1"/>
          <w:color w:val="auto"/>
        </w:rPr>
        <w:t xml:space="preserve">Trusts not recognised. </w:t>
      </w:r>
      <w:r>
        <w:rPr>
          <w:rFonts w:ascii="Times New Roman" w:cs="Times New Roman" w:eastAsia="Times New Roman" w:hAnsi="Times New Roman"/>
          <w:sz w:val="17"/>
          <w:szCs w:val="17"/>
          <w:color w:val="auto"/>
        </w:rPr>
        <w:t>Except as required by Applicable Law:</w:t>
      </w:r>
    </w:p>
    <w:p>
      <w:pPr>
        <w:spacing w:after="0" w:line="135" w:lineRule="exact"/>
        <w:rPr>
          <w:sz w:val="20"/>
          <w:szCs w:val="20"/>
          <w:color w:val="auto"/>
        </w:rPr>
      </w:pPr>
    </w:p>
    <w:p>
      <w:pPr>
        <w:ind w:left="1180" w:right="160" w:hanging="644"/>
        <w:spacing w:after="0" w:line="266"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Companies Act) any other rights in respect of any Share other than an absolute right to the entirety thereof in the holder; and</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127"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 xml:space="preserve">Capital contributions without issue of further Shares. </w:t>
      </w:r>
      <w:r>
        <w:rPr>
          <w:rFonts w:ascii="Times New Roman" w:cs="Times New Roman" w:eastAsia="Times New Roman" w:hAnsi="Times New Roman"/>
          <w:sz w:val="18"/>
          <w:szCs w:val="18"/>
          <w:color w:val="auto"/>
        </w:rPr>
        <w:t>With the consent of a Member, the Directors may accept a voluntary contribution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of the Company from that Member without issuing Shares in consideration for that contribution. In that event, the contribution shall be dealt with in the following manner:</w:t>
      </w:r>
    </w:p>
    <w:p>
      <w:pPr>
        <w:spacing w:after="0" w:line="80" w:lineRule="exact"/>
        <w:rPr>
          <w:sz w:val="20"/>
          <w:szCs w:val="20"/>
          <w:color w:val="auto"/>
        </w:rPr>
      </w:pPr>
    </w:p>
    <w:p>
      <w:pPr>
        <w:ind w:left="1180" w:hanging="644"/>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treated as if it were a share premium;</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Member agrees otherwise: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65" w:name="page66"/>
    <w:bookmarkEnd w:id="65"/>
    <w:p>
      <w:pPr>
        <w:ind w:left="1744" w:right="80" w:hanging="543"/>
        <w:spacing w:after="0" w:line="282" w:lineRule="auto"/>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Member holds Shares in a single class of Shares, it shall be credited to the share premium account for that class of Shares; and</w:t>
      </w:r>
    </w:p>
    <w:p>
      <w:pPr>
        <w:spacing w:after="0" w:line="67" w:lineRule="exact"/>
        <w:rPr>
          <w:rFonts w:ascii="Times New Roman" w:cs="Times New Roman" w:eastAsia="Times New Roman" w:hAnsi="Times New Roman"/>
          <w:sz w:val="18"/>
          <w:szCs w:val="18"/>
          <w:color w:val="auto"/>
        </w:rPr>
      </w:pPr>
    </w:p>
    <w:p>
      <w:pPr>
        <w:ind w:left="1744" w:hanging="543"/>
        <w:spacing w:after="0" w:line="266" w:lineRule="auto"/>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holds Shares of more than one class, it shall be credited ratably to the share premium accounts for those classes of Shares (in the proportion that the sum of the issue prices for each class of Shares that the Member holds bears to the total issue prices for all classes of Shares that the Member holds);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subject to the provisions of the Companies Act and these Articles applicable to share premiums.</w:t>
      </w:r>
    </w:p>
    <w:p>
      <w:pPr>
        <w:spacing w:after="0" w:line="370" w:lineRule="exact"/>
        <w:rPr>
          <w:sz w:val="20"/>
          <w:szCs w:val="20"/>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RIGHTS</w:t>
      </w:r>
    </w:p>
    <w:p>
      <w:pPr>
        <w:spacing w:after="0" w:line="131" w:lineRule="exact"/>
        <w:rPr>
          <w:sz w:val="20"/>
          <w:szCs w:val="20"/>
          <w:color w:val="auto"/>
        </w:rPr>
      </w:pPr>
    </w:p>
    <w:p>
      <w:pPr>
        <w:ind w:left="544" w:right="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The rights attaching to the Class A Shares and Class B Shares shall 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respects, and the Class A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Shares shall vote together as a single class on all matters (subject to Article 6 and the Article 23) with the exception that the holder of a Class B Share shall have the conversion rights referred to in this Article 5.</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 xml:space="preserve">Class B Share Conversion. </w:t>
      </w:r>
      <w:r>
        <w:rPr>
          <w:rFonts w:ascii="Times New Roman" w:cs="Times New Roman" w:eastAsia="Times New Roman" w:hAnsi="Times New Roman"/>
          <w:sz w:val="17"/>
          <w:szCs w:val="17"/>
          <w:color w:val="auto"/>
        </w:rPr>
        <w:t>Class B Shares shall automatically convert into Class A Shares on a one-for-one basis (</w:t>
      </w:r>
      <w:r>
        <w:rPr>
          <w:rFonts w:ascii="Times New Roman" w:cs="Times New Roman" w:eastAsia="Times New Roman" w:hAnsi="Times New Roman"/>
          <w:sz w:val="17"/>
          <w:szCs w:val="17"/>
          <w:b w:val="1"/>
          <w:bCs w:val="1"/>
          <w:i w:val="1"/>
          <w:iCs w:val="1"/>
          <w:color w:val="auto"/>
        </w:rPr>
        <w:t>Initial Conversion Ratio</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184" w:hanging="644"/>
        <w:spacing w:after="0"/>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at the option of the holders thereof; or</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 Business Combination (with such conversion taking place immediately prior to, simultaneously with, or immediately following the time of the Business Combination, as may be determined by the Directors).</w:t>
      </w:r>
    </w:p>
    <w:p>
      <w:pPr>
        <w:spacing w:after="0" w:line="63"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Adjustment of Ratio. </w:t>
      </w:r>
      <w:r>
        <w:rPr>
          <w:rFonts w:ascii="Times New Roman" w:cs="Times New Roman" w:eastAsia="Times New Roman" w:hAnsi="Times New Roman"/>
          <w:sz w:val="18"/>
          <w:szCs w:val="18"/>
          <w:color w:val="auto"/>
        </w:rPr>
        <w:t>Notwithstanding the Initial Conversion Ratio, in the case that additional Class A Shares or any other Equity-Linked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issued, or deemed issued, by the Company in excess of the amounts offered in the IPO and in connection with the consummation of a Business Combination, all Class B Shares in issue shall automatically convert into Class A Shares in connection with the consummation of the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thirty per cent (30%) of the sum of:</w:t>
      </w:r>
    </w:p>
    <w:p>
      <w:pPr>
        <w:spacing w:after="0" w:line="92" w:lineRule="exact"/>
        <w:rPr>
          <w:sz w:val="20"/>
          <w:szCs w:val="20"/>
          <w:color w:val="auto"/>
        </w:rPr>
      </w:pPr>
    </w:p>
    <w:p>
      <w:pPr>
        <w:ind w:left="1184" w:right="40" w:hanging="644"/>
        <w:spacing w:after="0" w:line="282" w:lineRule="auto"/>
        <w:tabs>
          <w:tab w:leader="none" w:pos="1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A Shares and Class B Shares in issue at the time of the IPO (including pursuant to any Over-Allotment Option but excluding any Class A Shares underlying any Private Placement Units); plus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66" w:name="page67"/>
    <w:bookmarkEnd w:id="66"/>
    <w:p>
      <w:pPr>
        <w:ind w:left="1180" w:right="760" w:hanging="644"/>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number of Class A Shares issued or deemed issued, or issuable upon the conversion or exercise of any Equity-Linked Securities issued or deemed issued, by the Company in connection with the initial Business Combination, excluding:</w:t>
      </w:r>
    </w:p>
    <w:p>
      <w:pPr>
        <w:spacing w:after="0" w:line="67" w:lineRule="exact"/>
        <w:rPr>
          <w:rFonts w:ascii="Times New Roman" w:cs="Times New Roman" w:eastAsia="Times New Roman" w:hAnsi="Times New Roman"/>
          <w:sz w:val="18"/>
          <w:szCs w:val="18"/>
          <w:color w:val="auto"/>
        </w:rPr>
      </w:pPr>
    </w:p>
    <w:p>
      <w:pPr>
        <w:ind w:left="1740" w:right="80" w:hanging="543"/>
        <w:spacing w:after="0" w:line="282" w:lineRule="auto"/>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Shares or Equity-Linked Securities exercisable for or convertible into Class A Shares issued, or to be issued, to any seller in the initial Business Combination; and</w:t>
      </w:r>
    </w:p>
    <w:p>
      <w:pPr>
        <w:spacing w:after="0" w:line="67"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underlying, or issuable upon exercise of rights included in, any Private Placement Units issued to the Sponsor or any members of the Company’s management team upon conversion of working capital loans; minus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redemptions of Public Shares in connection with an initial Business Combination.</w:t>
      </w:r>
    </w:p>
    <w:p>
      <w:pPr>
        <w:spacing w:after="0" w:line="127" w:lineRule="exact"/>
        <w:rPr>
          <w:sz w:val="20"/>
          <w:szCs w:val="20"/>
          <w:color w:val="auto"/>
        </w:rPr>
      </w:pPr>
    </w:p>
    <w:p>
      <w:pPr>
        <w:ind w:left="540" w:right="1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 xml:space="preserve">Waiver of Adjustment. </w:t>
      </w:r>
      <w:r>
        <w:rPr>
          <w:rFonts w:ascii="Times New Roman" w:cs="Times New Roman" w:eastAsia="Times New Roman" w:hAnsi="Times New Roman"/>
          <w:sz w:val="18"/>
          <w:szCs w:val="18"/>
          <w:color w:val="auto"/>
        </w:rPr>
        <w:t>Notwithstanding anything to the contrary contained herein, the foregoing adjustment to the Initial Conversion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Article 6.</w:t>
      </w:r>
    </w:p>
    <w:p>
      <w:pPr>
        <w:spacing w:after="0" w:line="82" w:lineRule="exact"/>
        <w:rPr>
          <w:sz w:val="20"/>
          <w:szCs w:val="20"/>
          <w:color w:val="auto"/>
        </w:rPr>
      </w:pPr>
    </w:p>
    <w:p>
      <w:pPr>
        <w:ind w:left="5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color w:val="auto"/>
        </w:rPr>
        <w:t xml:space="preserve">Subdivision. </w:t>
      </w:r>
      <w:r>
        <w:rPr>
          <w:rFonts w:ascii="Times New Roman" w:cs="Times New Roman" w:eastAsia="Times New Roman" w:hAnsi="Times New Roman"/>
          <w:sz w:val="18"/>
          <w:szCs w:val="18"/>
          <w:color w:val="auto"/>
        </w:rPr>
        <w:t>The foregoing conversion ratio shall also be adjusted to account for any subdivision (by share subdivision, exchange, capitalisation,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5" w:lineRule="exact"/>
        <w:rPr>
          <w:sz w:val="20"/>
          <w:szCs w:val="20"/>
          <w:color w:val="auto"/>
        </w:rPr>
      </w:pPr>
    </w:p>
    <w:p>
      <w:pPr>
        <w:ind w:left="540" w:right="2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color w:val="auto"/>
        </w:rPr>
        <w:t xml:space="preserve">Pro Rata Determination. </w:t>
      </w:r>
      <w:r>
        <w:rPr>
          <w:rFonts w:ascii="Times New Roman" w:cs="Times New Roman" w:eastAsia="Times New Roman" w:hAnsi="Times New Roman"/>
          <w:sz w:val="18"/>
          <w:szCs w:val="18"/>
          <w:color w:val="auto"/>
        </w:rPr>
        <w:t>Each Class B Shares shall convert into its pro rata number of Class A Shares pursuant to this Article 5. The 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each holder of Class B Shares will be determined as follows:</w:t>
      </w:r>
    </w:p>
    <w:p>
      <w:pPr>
        <w:spacing w:after="0" w:line="64" w:lineRule="exact"/>
        <w:rPr>
          <w:sz w:val="20"/>
          <w:szCs w:val="20"/>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shall convert into such number of Class A Shares as is equal to:</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1 multiplied by a fraction:</w:t>
      </w:r>
    </w:p>
    <w:p>
      <w:pPr>
        <w:spacing w:after="0" w:line="130" w:lineRule="exact"/>
        <w:rPr>
          <w:rFonts w:ascii="Times New Roman" w:cs="Times New Roman" w:eastAsia="Times New Roman" w:hAnsi="Times New Roman"/>
          <w:sz w:val="18"/>
          <w:szCs w:val="18"/>
          <w:color w:val="auto"/>
        </w:rPr>
      </w:pPr>
    </w:p>
    <w:p>
      <w:pPr>
        <w:ind w:left="2400" w:right="20" w:hanging="649"/>
        <w:spacing w:after="0" w:line="282" w:lineRule="auto"/>
        <w:tabs>
          <w:tab w:leader="none" w:pos="24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Class A Shares into which all of the Class B shares in issue shall be converted pursuant to this Article 5; and</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Class B Shares in issue at the time of conversion.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67" w:name="page68"/>
    <w:bookmarkEnd w:id="67"/>
    <w:p>
      <w:pPr>
        <w:ind w:left="544"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Times New Roman" w:cs="Times New Roman" w:eastAsia="Times New Roman" w:hAnsi="Times New Roman"/>
          <w:sz w:val="18"/>
          <w:szCs w:val="18"/>
          <w:b w:val="1"/>
          <w:bCs w:val="1"/>
          <w:color w:val="auto"/>
        </w:rPr>
        <w:t xml:space="preserve">Process of Conversion. </w:t>
      </w:r>
      <w:r>
        <w:rPr>
          <w:rFonts w:ascii="Times New Roman" w:cs="Times New Roman" w:eastAsia="Times New Roman" w:hAnsi="Times New Roman"/>
          <w:sz w:val="18"/>
          <w:szCs w:val="18"/>
          <w:color w:val="auto"/>
        </w:rPr>
        <w:t>References in this Article 5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converted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compulsory redemption without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88" w:lineRule="exact"/>
        <w:rPr>
          <w:sz w:val="20"/>
          <w:szCs w:val="20"/>
          <w:color w:val="auto"/>
        </w:rPr>
      </w:pPr>
    </w:p>
    <w:p>
      <w:pPr>
        <w:ind w:left="544" w:right="58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b w:val="1"/>
          <w:bCs w:val="1"/>
          <w:color w:val="auto"/>
        </w:rPr>
        <w:t xml:space="preserve">Minimum Conversion Ratio. </w:t>
      </w:r>
      <w:r>
        <w:rPr>
          <w:rFonts w:ascii="Times New Roman" w:cs="Times New Roman" w:eastAsia="Times New Roman" w:hAnsi="Times New Roman"/>
          <w:sz w:val="18"/>
          <w:szCs w:val="18"/>
          <w:color w:val="auto"/>
        </w:rPr>
        <w:t>Notwithstanding anything to the contrary in this Article 5, in no event may any Class B Share convert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Shares at a ratio that is less than one-for-one.</w:t>
      </w:r>
    </w:p>
    <w:p>
      <w:pPr>
        <w:spacing w:after="0" w:line="60" w:lineRule="exact"/>
        <w:rPr>
          <w:sz w:val="20"/>
          <w:szCs w:val="20"/>
          <w:color w:val="auto"/>
        </w:rPr>
      </w:pPr>
    </w:p>
    <w:p>
      <w:pPr>
        <w:ind w:left="544" w:right="5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b w:val="1"/>
          <w:bCs w:val="1"/>
          <w:color w:val="auto"/>
        </w:rPr>
        <w:t xml:space="preserve">No Right to Trust Account. </w:t>
      </w:r>
      <w:r>
        <w:rPr>
          <w:rFonts w:ascii="Times New Roman" w:cs="Times New Roman" w:eastAsia="Times New Roman" w:hAnsi="Times New Roman"/>
          <w:sz w:val="18"/>
          <w:szCs w:val="18"/>
          <w:color w:val="auto"/>
        </w:rPr>
        <w:t>Class A Shares issued upon a Class B Share Conversion will not have any redemption rights or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liquidation from the Trust Account.</w:t>
      </w:r>
    </w:p>
    <w:p>
      <w:pPr>
        <w:spacing w:after="0" w:line="60" w:lineRule="exact"/>
        <w:rPr>
          <w:sz w:val="20"/>
          <w:szCs w:val="20"/>
          <w:color w:val="auto"/>
        </w:rPr>
      </w:pPr>
    </w:p>
    <w:p>
      <w:pPr>
        <w:ind w:left="544" w:right="10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Shares and other securities of the Company may be issued by the Directors with such preferred, deferred, or other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restrictions, or privileges whether in regard to voting, Distributions, a return of capital, or otherwise and in such classes and series, if any, as the Directors may determine.</w:t>
      </w:r>
    </w:p>
    <w:p>
      <w:pPr>
        <w:spacing w:after="0" w:line="319" w:lineRule="exact"/>
        <w:rPr>
          <w:sz w:val="20"/>
          <w:szCs w:val="20"/>
          <w:color w:val="auto"/>
        </w:rPr>
      </w:pPr>
    </w:p>
    <w:p>
      <w:pPr>
        <w:ind w:left="544" w:hanging="544"/>
        <w:spacing w:after="0"/>
        <w:tabs>
          <w:tab w:leader="none" w:pos="54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31" w:lineRule="exact"/>
        <w:rPr>
          <w:sz w:val="20"/>
          <w:szCs w:val="20"/>
          <w:color w:val="auto"/>
        </w:rPr>
      </w:pPr>
    </w:p>
    <w:p>
      <w:pPr>
        <w:ind w:left="544" w:right="12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Class Variation</w:t>
      </w:r>
      <w:r>
        <w:rPr>
          <w:rFonts w:ascii="Times New Roman" w:cs="Times New Roman" w:eastAsia="Times New Roman" w:hAnsi="Times New Roman"/>
          <w:sz w:val="18"/>
          <w:szCs w:val="18"/>
          <w:color w:val="auto"/>
        </w:rPr>
        <w:t>. Subject to Article 4.1, if at any time the share capital of the Company is divided into different classes of Shares, all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attached to any class (unless otherwise provided by the terms of issue of the Shares of that class) may, whether or not the Company is being wound up, be varied without the consent of the holders of the issued Shares of that class where such variation shall be made only with the consent in writing of the holders of not less than two-thirds (2/3) of the issued Shares of that class (other than with respect to a waiver of the provisions of Article 5, which as stated therein shall only require the consent in writing of the holders of a majority of the issued Shares of that class), or with the approval of a resolution passed by a majority of not less than two-thirds (2/3)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mutatis mutandis, except that the necessary quorum shall be one (1) person holding or representing by proxy at least one-third (1/3) of the issued Shares of the class and that any holder of Shares of the class present in person or by proxy may demand a poll.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6" w:right="439" w:bottom="1440" w:gutter="0" w:footer="0" w:header="0"/>
        </w:sectPr>
      </w:pPr>
    </w:p>
    <w:bookmarkStart w:id="68" w:name="page69"/>
    <w:bookmarkEnd w:id="68"/>
    <w:p>
      <w:pPr>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b w:val="1"/>
          <w:bCs w:val="1"/>
          <w:color w:val="auto"/>
        </w:rPr>
        <w:t xml:space="preserve">Grouping of classes. </w:t>
      </w:r>
      <w:r>
        <w:rPr>
          <w:rFonts w:ascii="Times New Roman" w:cs="Times New Roman" w:eastAsia="Times New Roman" w:hAnsi="Times New Roman"/>
          <w:sz w:val="18"/>
          <w:szCs w:val="18"/>
          <w:color w:val="auto"/>
        </w:rPr>
        <w:t>For the purposes of a separate class meeting, the Directors may treat two (2) or more or all the classes of Shares as 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(1) class of Shares if the Directors consider that such class of Shares would be affected in the same way by the proposals under consideration, but in any other case shall treat them as separate classes of Shares.</w:t>
      </w:r>
    </w:p>
    <w:p>
      <w:pPr>
        <w:spacing w:after="0" w:line="76" w:lineRule="exact"/>
        <w:rPr>
          <w:sz w:val="20"/>
          <w:szCs w:val="20"/>
          <w:color w:val="auto"/>
        </w:rPr>
      </w:pPr>
    </w:p>
    <w:p>
      <w:pPr>
        <w:ind w:left="544" w:right="3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No Variation</w:t>
      </w:r>
      <w:r>
        <w:rPr>
          <w:rFonts w:ascii="Times New Roman" w:cs="Times New Roman" w:eastAsia="Times New Roman" w:hAnsi="Times New Roman"/>
          <w:sz w:val="18"/>
          <w:szCs w:val="18"/>
          <w:color w:val="auto"/>
        </w:rPr>
        <w:t>. The rights conferred upon the holders of the Shares of any class shall not, unless otherwise expressly provided by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of the Shares of that class, be deemed to be varied by:</w:t>
      </w:r>
    </w:p>
    <w:p>
      <w:pPr>
        <w:spacing w:after="0" w:line="62" w:lineRule="exact"/>
        <w:rPr>
          <w:sz w:val="20"/>
          <w:szCs w:val="20"/>
          <w:color w:val="auto"/>
        </w:rPr>
      </w:pPr>
    </w:p>
    <w:p>
      <w:pPr>
        <w:ind w:left="1184" w:hanging="644"/>
        <w:spacing w:after="0"/>
        <w:tabs>
          <w:tab w:leader="none" w:pos="1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32"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constitutional documents of the Company are amended or new constitutional documents of the Company are adopted, in each case, as a result of the Company registering by way of continuation as a body corporate under the laws of any jurisdiction outside the Cayman Islands;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conversion of any Class B Shares pursuant to Article 5.</w:t>
      </w:r>
    </w:p>
    <w:p>
      <w:pPr>
        <w:spacing w:after="0" w:line="370"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PURCHASE, AND SURRENDER OF SHARES AND TREASURY SHARES</w:t>
      </w:r>
    </w:p>
    <w:p>
      <w:pPr>
        <w:spacing w:after="0" w:line="131" w:lineRule="exact"/>
        <w:rPr>
          <w:sz w:val="20"/>
          <w:szCs w:val="20"/>
          <w:color w:val="auto"/>
        </w:rPr>
      </w:pPr>
    </w:p>
    <w:p>
      <w:pPr>
        <w:jc w:val="both"/>
        <w:ind w:left="544" w:right="8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Public and Class B Shares. </w:t>
      </w:r>
      <w:r>
        <w:rPr>
          <w:rFonts w:ascii="Times New Roman" w:cs="Times New Roman" w:eastAsia="Times New Roman" w:hAnsi="Times New Roman"/>
          <w:sz w:val="18"/>
          <w:szCs w:val="18"/>
          <w:color w:val="auto"/>
        </w:rPr>
        <w:t>Subject to the provisions of the Companies Act, and, where applicable, the rules and regulations of the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the SEC,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by Ordinary Resolution, may determine before the issue of such Shares. With respect to redeeming or repurchasing Shares:</w:t>
      </w:r>
    </w:p>
    <w:p>
      <w:pPr>
        <w:spacing w:after="0" w:line="89" w:lineRule="exact"/>
        <w:rPr>
          <w:sz w:val="20"/>
          <w:szCs w:val="20"/>
          <w:color w:val="auto"/>
        </w:rPr>
      </w:pPr>
    </w:p>
    <w:p>
      <w:pPr>
        <w:ind w:left="1184" w:hanging="644"/>
        <w:spacing w:after="0"/>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hold Public Share are entitled to request the redemption of such Shares in the circumstances described in Article 52;</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66"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Shares held by the Founders shall be surrendered for no consideration to the extent that the Over-Allotment Option is not exercised in full so that the Founders will own thirty per cent (30%) of the Company’s issued Shares after the IPO (exclusive of any securities purchased in a private placement simultaneously with the IPO);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shall be repurchased by way of tender offer in the circumstances set out in Article 52.</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69" w:name="page70"/>
    <w:bookmarkEnd w:id="69"/>
    <w:p>
      <w:pPr>
        <w:ind w:left="540" w:right="2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b w:val="1"/>
          <w:bCs w:val="1"/>
          <w:color w:val="auto"/>
        </w:rPr>
        <w:t>Redemption, Purchase, and Surrender</w:t>
      </w:r>
      <w:r>
        <w:rPr>
          <w:rFonts w:ascii="Times New Roman" w:cs="Times New Roman" w:eastAsia="Times New Roman" w:hAnsi="Times New Roman"/>
          <w:sz w:val="18"/>
          <w:szCs w:val="18"/>
          <w:color w:val="auto"/>
        </w:rPr>
        <w:t>. Subject to the provisions of the Companies Act, the rules of the Designated Stock Exchange,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competent regulatory authority, and to the rights attaching to any class of Share, the Company may by its Directors:</w:t>
      </w:r>
    </w:p>
    <w:p>
      <w:pPr>
        <w:spacing w:after="0" w:line="64" w:lineRule="exact"/>
        <w:rPr>
          <w:sz w:val="20"/>
          <w:szCs w:val="20"/>
          <w:color w:val="auto"/>
        </w:rPr>
      </w:pPr>
    </w:p>
    <w:p>
      <w:pPr>
        <w:ind w:left="1180" w:right="260" w:hanging="644"/>
        <w:spacing w:after="0" w:line="282"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as the Directors determine;</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surrender of fully paid Shares for no consideration.</w:t>
      </w:r>
    </w:p>
    <w:p>
      <w:pPr>
        <w:spacing w:after="0" w:line="117"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Companies Act, including out of any combination of the following: capital, its profits, and the proceeds of a fresh issue of Shares.</w:t>
      </w:r>
    </w:p>
    <w:p>
      <w:pPr>
        <w:spacing w:after="0" w:line="63" w:lineRule="exact"/>
        <w:rPr>
          <w:sz w:val="20"/>
          <w:szCs w:val="20"/>
          <w:color w:val="auto"/>
        </w:rPr>
      </w:pPr>
    </w:p>
    <w:p>
      <w:pPr>
        <w:ind w:left="540" w:right="3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Effect of Redemption, Purchase, and Surrender</w:t>
      </w:r>
      <w:r>
        <w:rPr>
          <w:rFonts w:ascii="Times New Roman" w:cs="Times New Roman" w:eastAsia="Times New Roman" w:hAnsi="Times New Roman"/>
          <w:sz w:val="18"/>
          <w:szCs w:val="18"/>
          <w:color w:val="auto"/>
        </w:rPr>
        <w:t>. Shares that the Company redeems, purchases, accepts by way of surrender,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pursuant to Article 7.1 may:</w:t>
      </w:r>
    </w:p>
    <w:p>
      <w:pPr>
        <w:spacing w:after="0" w:line="64" w:lineRule="exact"/>
        <w:rPr>
          <w:sz w:val="20"/>
          <w:szCs w:val="20"/>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w:t>
      </w:r>
    </w:p>
    <w:p>
      <w:pPr>
        <w:spacing w:after="0" w:line="127"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Power to pay for redemption or purchase in cash or in specie. </w:t>
      </w:r>
      <w:r>
        <w:rPr>
          <w:rFonts w:ascii="Times New Roman" w:cs="Times New Roman" w:eastAsia="Times New Roman" w:hAnsi="Times New Roman"/>
          <w:sz w:val="18"/>
          <w:szCs w:val="18"/>
          <w:color w:val="auto"/>
        </w:rPr>
        <w:t>When making a payment in respect of the redemption or purchase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may make the payment in cash or in specie (or partly in one and partly in the other) if so authorised by the terms of the allotment of those Shares, or by the terms applying to those Shares in accordance with Article 7.1, or otherwise by agreement with the Member holding those Shares.</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 xml:space="preserve">Effect of redemption or purchase of a Share. </w:t>
      </w:r>
      <w:r>
        <w:rPr>
          <w:rFonts w:ascii="Times New Roman" w:cs="Times New Roman" w:eastAsia="Times New Roman" w:hAnsi="Times New Roman"/>
          <w:sz w:val="17"/>
          <w:szCs w:val="17"/>
          <w:color w:val="auto"/>
        </w:rPr>
        <w:t>Upon the date of redemption or purchase of a Share:</w:t>
      </w:r>
    </w:p>
    <w:p>
      <w:pPr>
        <w:spacing w:after="0" w:line="135" w:lineRule="exact"/>
        <w:rPr>
          <w:sz w:val="20"/>
          <w:szCs w:val="20"/>
          <w:color w:val="auto"/>
        </w:rPr>
      </w:pPr>
    </w:p>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70" w:name="page71"/>
    <w:bookmarkEnd w:id="70"/>
    <w:p>
      <w:pPr>
        <w:ind w:left="1180" w:hanging="644"/>
        <w:spacing w:after="0"/>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 shall be cancelled or held as a Treasury Shares, as the Directors may determine.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this Article 7.5, the date of redemption or purchase is the date when the redemption or purchase falls due.</w:t>
      </w:r>
    </w:p>
    <w:p>
      <w:pPr>
        <w:spacing w:after="0" w:line="127" w:lineRule="exact"/>
        <w:rPr>
          <w:sz w:val="20"/>
          <w:szCs w:val="20"/>
          <w:color w:val="auto"/>
        </w:rPr>
      </w:pPr>
    </w:p>
    <w:p>
      <w:pPr>
        <w:ind w:left="540" w:right="3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 All rights and obligations attaching to a Treasury Share are suspended and shall not be exercised by the Company while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the Share as a Treasury Share, other than as set out in this Article 7. The Company may:</w:t>
      </w:r>
    </w:p>
    <w:p>
      <w:pPr>
        <w:spacing w:after="0" w:line="64" w:lineRule="exact"/>
        <w:rPr>
          <w:sz w:val="20"/>
          <w:szCs w:val="20"/>
          <w:color w:val="auto"/>
        </w:rPr>
      </w:pPr>
    </w:p>
    <w:p>
      <w:pPr>
        <w:ind w:left="1180" w:hanging="644"/>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in accordance with Article 13.</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Rights attaching to Treasury Shares and related matters.</w:t>
      </w:r>
    </w:p>
    <w:p>
      <w:pPr>
        <w:spacing w:after="0" w:line="135" w:lineRule="exact"/>
        <w:rPr>
          <w:sz w:val="20"/>
          <w:szCs w:val="20"/>
          <w:color w:val="auto"/>
        </w:rPr>
      </w:pPr>
    </w:p>
    <w:p>
      <w:pPr>
        <w:ind w:left="1180" w:right="18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entered in the Register of Members as the holder of the Treasury Shares. However:</w:t>
      </w:r>
    </w:p>
    <w:p>
      <w:pPr>
        <w:spacing w:after="0" w:line="130"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67" w:lineRule="exact"/>
        <w:rPr>
          <w:rFonts w:ascii="Times New Roman" w:cs="Times New Roman" w:eastAsia="Times New Roman" w:hAnsi="Times New Roman"/>
          <w:sz w:val="18"/>
          <w:szCs w:val="18"/>
          <w:color w:val="auto"/>
        </w:rPr>
      </w:pPr>
    </w:p>
    <w:p>
      <w:pPr>
        <w:ind w:left="1740" w:right="260" w:hanging="543"/>
        <w:spacing w:after="0" w:line="266" w:lineRule="auto"/>
        <w:tabs>
          <w:tab w:leader="none" w:pos="1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Companies Act.</w:t>
      </w:r>
    </w:p>
    <w:p>
      <w:pPr>
        <w:spacing w:after="0" w:line="81"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Article 7.7(b) prevents an allotment of Shares as fully paid bonus Shares in respect of a Treasury Share and Shares allotted as fully paid bonus Shares in respect of a Treasury Share shall be treated as Treasury Shares.</w:t>
      </w:r>
    </w:p>
    <w:p>
      <w:pPr>
        <w:spacing w:after="0" w:line="67" w:lineRule="exact"/>
        <w:rPr>
          <w:rFonts w:ascii="Times New Roman" w:cs="Times New Roman" w:eastAsia="Times New Roman" w:hAnsi="Times New Roman"/>
          <w:sz w:val="18"/>
          <w:szCs w:val="18"/>
          <w:color w:val="auto"/>
        </w:rPr>
      </w:pPr>
    </w:p>
    <w:p>
      <w:pPr>
        <w:ind w:left="1180" w:right="76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Company in accordance with the Companies Act and otherwise on such terms and conditions as the Directors determine.</w:t>
      </w:r>
    </w:p>
    <w:p>
      <w:pPr>
        <w:spacing w:after="0" w:line="63" w:lineRule="exact"/>
        <w:rPr>
          <w:sz w:val="20"/>
          <w:szCs w:val="20"/>
          <w:color w:val="auto"/>
        </w:rPr>
      </w:pPr>
    </w:p>
    <w:p>
      <w:pPr>
        <w:ind w:left="540" w:right="3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b w:val="1"/>
          <w:bCs w:val="1"/>
          <w:color w:val="auto"/>
        </w:rPr>
        <w:t>No Participation</w:t>
      </w:r>
      <w:r>
        <w:rPr>
          <w:rFonts w:ascii="Times New Roman" w:cs="Times New Roman" w:eastAsia="Times New Roman" w:hAnsi="Times New Roman"/>
          <w:sz w:val="18"/>
          <w:szCs w:val="18"/>
          <w:color w:val="auto"/>
        </w:rPr>
        <w:t>. Any Share in respect of which notice of redemption has been given shall not be entitled to participate in the profits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respect of the period after the date specified as the date of redemption in the notice of redemption.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1" w:name="page72"/>
    <w:bookmarkEnd w:id="71"/>
    <w:p>
      <w:pPr>
        <w:ind w:left="544" w:right="3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7.9</w:t>
      </w:r>
      <w:r>
        <w:rPr>
          <w:sz w:val="20"/>
          <w:szCs w:val="20"/>
          <w:color w:val="auto"/>
        </w:rPr>
        <w:tab/>
      </w:r>
      <w:r>
        <w:rPr>
          <w:rFonts w:ascii="Times New Roman" w:cs="Times New Roman" w:eastAsia="Times New Roman" w:hAnsi="Times New Roman"/>
          <w:sz w:val="18"/>
          <w:szCs w:val="18"/>
          <w:b w:val="1"/>
          <w:bCs w:val="1"/>
          <w:color w:val="auto"/>
        </w:rPr>
        <w:t>No other Redemption</w:t>
      </w:r>
      <w:r>
        <w:rPr>
          <w:rFonts w:ascii="Times New Roman" w:cs="Times New Roman" w:eastAsia="Times New Roman" w:hAnsi="Times New Roman"/>
          <w:sz w:val="18"/>
          <w:szCs w:val="18"/>
          <w:color w:val="auto"/>
        </w:rPr>
        <w:t>. The redemption, purchase, or surrender of any Share shall not be deemed to give rise to the redemption,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of any other Share.</w:t>
      </w:r>
    </w:p>
    <w:p>
      <w:pPr>
        <w:spacing w:after="0" w:line="60" w:lineRule="exact"/>
        <w:rPr>
          <w:sz w:val="20"/>
          <w:szCs w:val="20"/>
          <w:color w:val="auto"/>
        </w:rPr>
      </w:pPr>
    </w:p>
    <w:p>
      <w:pPr>
        <w:ind w:left="544" w:right="1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b w:val="1"/>
          <w:bCs w:val="1"/>
          <w:color w:val="auto"/>
        </w:rPr>
        <w:t>Redemption in Kind</w:t>
      </w:r>
      <w:r>
        <w:rPr>
          <w:rFonts w:ascii="Times New Roman" w:cs="Times New Roman" w:eastAsia="Times New Roman" w:hAnsi="Times New Roman"/>
          <w:sz w:val="18"/>
          <w:szCs w:val="18"/>
          <w:color w:val="auto"/>
        </w:rPr>
        <w:t>. The Directors may, when making payments in respect of redemption or purchase of Shares, if authorised by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of the Shares being redeemed or purchased or with the agreement of the holder of such Shares, make such payments either in cash or in kind.</w:t>
      </w:r>
    </w:p>
    <w:p>
      <w:pPr>
        <w:spacing w:after="0" w:line="319" w:lineRule="exact"/>
        <w:rPr>
          <w:sz w:val="20"/>
          <w:szCs w:val="20"/>
          <w:color w:val="auto"/>
        </w:rPr>
      </w:pPr>
    </w:p>
    <w:p>
      <w:pPr>
        <w:ind w:left="544" w:hanging="544"/>
        <w:spacing w:after="0"/>
        <w:tabs>
          <w:tab w:leader="none" w:pos="54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UNTRACEABLE MEMBERS</w:t>
      </w:r>
    </w:p>
    <w:p>
      <w:pPr>
        <w:spacing w:after="0" w:line="131"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Unclaimed Distributions. </w:t>
      </w:r>
      <w:r>
        <w:rPr>
          <w:rFonts w:ascii="Times New Roman" w:cs="Times New Roman" w:eastAsia="Times New Roman" w:hAnsi="Times New Roman"/>
          <w:sz w:val="18"/>
          <w:szCs w:val="18"/>
          <w:color w:val="auto"/>
        </w:rPr>
        <w:t>Any Distribution which cannot be paid to a Member and/or which remains unclaimed after six (6)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on which such Distribution becomes payable may, in the discretion of the Directors, be paid into a separate account in the Company’s name, provided that the Company shall not be constituted as a trustee in respect of that account and the Distribution shall remain as a debt due to the Member. Any Distribution which remains unclaimed after a period of six (6) years from the date on which such Distribution becomes payable shall be forfeited and shall revert to the Company.</w:t>
      </w:r>
    </w:p>
    <w:p>
      <w:pPr>
        <w:spacing w:after="0" w:line="85" w:lineRule="exact"/>
        <w:rPr>
          <w:sz w:val="20"/>
          <w:szCs w:val="20"/>
          <w:color w:val="auto"/>
        </w:rPr>
      </w:pPr>
    </w:p>
    <w:p>
      <w:pPr>
        <w:ind w:left="544" w:right="1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Sale of Shares. </w:t>
      </w:r>
      <w:r>
        <w:rPr>
          <w:rFonts w:ascii="Times New Roman" w:cs="Times New Roman" w:eastAsia="Times New Roman" w:hAnsi="Times New Roman"/>
          <w:sz w:val="18"/>
          <w:szCs w:val="18"/>
          <w:color w:val="auto"/>
        </w:rPr>
        <w:t>The Company shall have the power to sell, in such manner as the Board thinks fit, any Shares of a Member who is untraceable,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 such sale shall be made unless:</w:t>
      </w:r>
    </w:p>
    <w:p>
      <w:pPr>
        <w:spacing w:after="0" w:line="64" w:lineRule="exact"/>
        <w:rPr>
          <w:sz w:val="20"/>
          <w:szCs w:val="20"/>
          <w:color w:val="auto"/>
        </w:rPr>
      </w:pPr>
    </w:p>
    <w:p>
      <w:pPr>
        <w:ind w:left="1184" w:right="140" w:hanging="644"/>
        <w:spacing w:after="0" w:line="266" w:lineRule="auto"/>
        <w:tabs>
          <w:tab w:leader="none" w:pos="1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(3) in total number, for any sum payable in cash to the holder of such Shares in respect of them sent during the relevant period in the manner authorised by the Articles have remained uncashed;</w:t>
      </w:r>
    </w:p>
    <w:p>
      <w:pPr>
        <w:spacing w:after="0" w:line="81"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81"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68" w:lineRule="exact"/>
        <w:rPr>
          <w:sz w:val="20"/>
          <w:szCs w:val="20"/>
          <w:color w:val="auto"/>
        </w:rPr>
      </w:pPr>
    </w:p>
    <w:p>
      <w:pPr>
        <w:ind w:left="544" w:right="480"/>
        <w:spacing w:after="0" w:line="286" w:lineRule="auto"/>
        <w:rPr>
          <w:sz w:val="20"/>
          <w:szCs w:val="20"/>
          <w:color w:val="auto"/>
        </w:rPr>
      </w:pPr>
      <w:r>
        <w:rPr>
          <w:rFonts w:ascii="Times New Roman" w:cs="Times New Roman" w:eastAsia="Times New Roman" w:hAnsi="Times New Roman"/>
          <w:sz w:val="18"/>
          <w:szCs w:val="18"/>
          <w:color w:val="auto"/>
        </w:rPr>
        <w:t xml:space="preserve">For the purpose of the foregoing, the </w:t>
      </w:r>
      <w:r>
        <w:rPr>
          <w:rFonts w:ascii="Times New Roman" w:cs="Times New Roman" w:eastAsia="Times New Roman" w:hAnsi="Times New Roman"/>
          <w:sz w:val="18"/>
          <w:szCs w:val="18"/>
          <w:b w:val="1"/>
          <w:bCs w:val="1"/>
          <w:i w:val="1"/>
          <w:iCs w:val="1"/>
          <w:color w:val="auto"/>
        </w:rPr>
        <w:t>relevant period</w:t>
      </w:r>
      <w:r>
        <w:rPr>
          <w:rFonts w:ascii="Times New Roman" w:cs="Times New Roman" w:eastAsia="Times New Roman" w:hAnsi="Times New Roman"/>
          <w:sz w:val="18"/>
          <w:szCs w:val="18"/>
          <w:color w:val="auto"/>
        </w:rPr>
        <w:t xml:space="preserve"> means the period commencing twelve (12) years before the date of publication of the advertisement referred to in Article 8.2(c) and ending at the expiry of the period referred to in Article 8.2(c).</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72" w:name="page73"/>
    <w:bookmarkEnd w:id="72"/>
    <w:p>
      <w:pPr>
        <w:ind w:left="544" w:right="2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8"/>
          <w:szCs w:val="18"/>
          <w:b w:val="1"/>
          <w:bCs w:val="1"/>
          <w:color w:val="auto"/>
        </w:rPr>
        <w:t xml:space="preserve">Authority to Sell. </w:t>
      </w:r>
      <w:r>
        <w:rPr>
          <w:rFonts w:ascii="Times New Roman" w:cs="Times New Roman" w:eastAsia="Times New Roman" w:hAnsi="Times New Roman"/>
          <w:sz w:val="18"/>
          <w:szCs w:val="18"/>
          <w:color w:val="auto"/>
        </w:rPr>
        <w:t>To give effect to any such sale the Board may authorise some person to transfer the said Shares and an instrument of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their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8.3 shall be valid and effective notwithstanding that the Member holding the Shares sold is dead, bankrupt, or otherwise under any legal disability or incapacity.</w:t>
      </w:r>
    </w:p>
    <w:p>
      <w:pPr>
        <w:spacing w:after="0" w:line="337" w:lineRule="exact"/>
        <w:rPr>
          <w:sz w:val="20"/>
          <w:szCs w:val="20"/>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w:t>
      </w:r>
    </w:p>
    <w:p>
      <w:pPr>
        <w:spacing w:after="0" w:line="131" w:lineRule="exact"/>
        <w:rPr>
          <w:sz w:val="20"/>
          <w:szCs w:val="20"/>
          <w:color w:val="auto"/>
        </w:rPr>
      </w:pPr>
    </w:p>
    <w:p>
      <w:pPr>
        <w:ind w:left="544"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All Monies Payable</w:t>
      </w:r>
      <w:r>
        <w:rPr>
          <w:rFonts w:ascii="Times New Roman" w:cs="Times New Roman" w:eastAsia="Times New Roman" w:hAnsi="Times New Roman"/>
          <w:sz w:val="18"/>
          <w:szCs w:val="18"/>
          <w:color w:val="auto"/>
        </w:rPr>
        <w:t>. The Company shall have a first and paramount lien on every Share, whether or not it is a fully paid Share, for all moneys,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whether presently payable or not, called or payable at a fixed time in respect of that Share and for all debts, liabilities, or other obligations owed, whether presently or not, by the Member or by one or more joint Members or by any of their estates to the Company (together, </w:t>
      </w:r>
      <w:r>
        <w:rPr>
          <w:rFonts w:ascii="Times New Roman" w:cs="Times New Roman" w:eastAsia="Times New Roman" w:hAnsi="Times New Roman"/>
          <w:sz w:val="18"/>
          <w:szCs w:val="18"/>
          <w:b w:val="1"/>
          <w:bCs w:val="1"/>
          <w:i w:val="1"/>
          <w:iCs w:val="1"/>
          <w:color w:val="auto"/>
        </w:rPr>
        <w:t>Lien Amounts</w:t>
      </w:r>
      <w:r>
        <w:rPr>
          <w:rFonts w:ascii="Times New Roman" w:cs="Times New Roman" w:eastAsia="Times New Roman" w:hAnsi="Times New Roman"/>
          <w:sz w:val="18"/>
          <w:szCs w:val="18"/>
          <w:color w:val="auto"/>
        </w:rPr>
        <w:t>) but the Directors may, at any time, declare any Share to be wholly or in part exempt from this Article 9. The Company’s lien, if any, on a Share shall extend to all Distributions payable thereon. Any registration of the transfer of a Share shall operate to extinguish the Company’s lien on that Share.</w:t>
      </w:r>
    </w:p>
    <w:p>
      <w:pPr>
        <w:spacing w:after="0" w:line="88" w:lineRule="exact"/>
        <w:rPr>
          <w:sz w:val="20"/>
          <w:szCs w:val="20"/>
          <w:color w:val="auto"/>
        </w:rPr>
      </w:pPr>
    </w:p>
    <w:p>
      <w:pPr>
        <w:jc w:val="both"/>
        <w:ind w:left="544" w:right="20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The Company may sell, in such manner as the Directors think fit, any Shares in which the Company has a lien, but no sale shall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some amount in respect of which the lien exists is presently payable and the period of fourteen (14) days has elapsed after the Company has given a notice in writing, stating and demanding payment of such part of the presently payable amount, to the relevant Member.</w:t>
      </w:r>
    </w:p>
    <w:p>
      <w:pPr>
        <w:spacing w:after="0" w:line="76" w:lineRule="exact"/>
        <w:rPr>
          <w:sz w:val="20"/>
          <w:szCs w:val="20"/>
          <w:color w:val="auto"/>
        </w:rPr>
      </w:pPr>
    </w:p>
    <w:p>
      <w:pPr>
        <w:ind w:left="544"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Registration of Purchase</w:t>
      </w:r>
      <w:r>
        <w:rPr>
          <w:rFonts w:ascii="Times New Roman" w:cs="Times New Roman" w:eastAsia="Times New Roman" w:hAnsi="Times New Roman"/>
          <w:sz w:val="18"/>
          <w:szCs w:val="18"/>
          <w:color w:val="auto"/>
        </w:rPr>
        <w:t>. The Directors may authorise any person to transfer the Shares sold in accordance with this Article 9 to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Shares. The purchaser shall be registered as the holder of the Shares so transferred and they shall not be bound to see to the application of the purchase money, nor shall their title to the Shares be affected by any irregularity or invalidity in the sale of the Shares in accordance with this Article 9.</w:t>
      </w:r>
    </w:p>
    <w:p>
      <w:pPr>
        <w:spacing w:after="0" w:line="82"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Application of Proceeds</w:t>
      </w:r>
      <w:r>
        <w:rPr>
          <w:rFonts w:ascii="Times New Roman" w:cs="Times New Roman" w:eastAsia="Times New Roman" w:hAnsi="Times New Roman"/>
          <w:sz w:val="18"/>
          <w:szCs w:val="18"/>
          <w:color w:val="auto"/>
        </w:rPr>
        <w:t>. The proceeds of the sale, net of any costs incurred by the Company in relation to the sale, shall be applied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payment of such part of the amount in respect of which the lien exists as is presently payable. The Company shall retain and have a lien over such part of the remainder of the proceeds as is equal to the Lien Amounts which exist but are not presently payable by the Member and may apply such proceeds against the Lien Amounts as and when they become payable and the residue shall be paid to the person entitled to the Shares at the date of the sale.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73" w:name="page74"/>
    <w:bookmarkEnd w:id="7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CALLS ON SHARES</w:t>
      </w:r>
    </w:p>
    <w:p>
      <w:pPr>
        <w:spacing w:after="0" w:line="131" w:lineRule="exact"/>
        <w:rPr>
          <w:sz w:val="20"/>
          <w:szCs w:val="20"/>
          <w:color w:val="auto"/>
        </w:rPr>
      </w:pPr>
    </w:p>
    <w:p>
      <w:pPr>
        <w:ind w:left="540" w:right="440" w:hanging="539"/>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Calls</w:t>
      </w:r>
      <w:r>
        <w:rPr>
          <w:rFonts w:ascii="Times New Roman" w:cs="Times New Roman" w:eastAsia="Times New Roman" w:hAnsi="Times New Roman"/>
          <w:sz w:val="17"/>
          <w:szCs w:val="17"/>
          <w:color w:val="auto"/>
        </w:rPr>
        <w:t>. The Directors may, from time to time, make calls upon the Members in respect of some or all of any moneys unpaid on their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in respect of their par value or the premium payable on those Shares; each Member shall (subject to receiving at least fourteen</w:t>
      </w:r>
    </w:p>
    <w:p>
      <w:pPr>
        <w:spacing w:after="0" w:line="1" w:lineRule="exact"/>
        <w:rPr>
          <w:sz w:val="20"/>
          <w:szCs w:val="20"/>
          <w:color w:val="auto"/>
        </w:rPr>
      </w:pPr>
    </w:p>
    <w:p>
      <w:pPr>
        <w:ind w:left="540" w:right="500" w:hanging="4"/>
        <w:spacing w:after="0" w:line="260" w:lineRule="auto"/>
        <w:tabs>
          <w:tab w:leader="none" w:pos="8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specifying the time or times of payment) pay to the Company at the time or times so specified the amount called on their Shares. A call may be required to be paid in instalments. The Directors may revoke or postpone a call at any time.</w:t>
      </w:r>
    </w:p>
    <w:p>
      <w:pPr>
        <w:spacing w:after="0" w:line="83"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The joint holders of a Share shall be jointly and severally liable to pay calls in respect thereof and the holder or joint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at the time of a call shall remain liable to pay the call on that Share, notwithstanding any subsequent transfer of the Share being registered by the Company.</w:t>
      </w:r>
    </w:p>
    <w:p>
      <w:pPr>
        <w:spacing w:after="0" w:line="76"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Interest on Calls</w:t>
      </w:r>
      <w:r>
        <w:rPr>
          <w:rFonts w:ascii="Times New Roman" w:cs="Times New Roman" w:eastAsia="Times New Roman" w:hAnsi="Times New Roman"/>
          <w:sz w:val="18"/>
          <w:szCs w:val="18"/>
          <w:color w:val="auto"/>
        </w:rPr>
        <w:t>. If a sum called in respect of a Share is not paid before or on the day appointed for payment of that call, the Member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such amount is due shall pay interest upon the sum at such rate as the Directors may determine from the day appointed for payment of the call to the time of the actual payment. The Directors shall have the discretion to waive payment of any such interest in full or in part.</w:t>
      </w:r>
    </w:p>
    <w:p>
      <w:pPr>
        <w:spacing w:after="0" w:line="76"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b w:val="1"/>
          <w:bCs w:val="1"/>
          <w:color w:val="auto"/>
        </w:rPr>
        <w:t>Fixed Payment Dates</w:t>
      </w:r>
      <w:r>
        <w:rPr>
          <w:rFonts w:ascii="Times New Roman" w:cs="Times New Roman" w:eastAsia="Times New Roman" w:hAnsi="Times New Roman"/>
          <w:sz w:val="18"/>
          <w:szCs w:val="18"/>
          <w:color w:val="auto"/>
        </w:rPr>
        <w:t>. The provisions contained in these Articles in respect of calls shall apply to payments, whether on account of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 or by way of premium, to be made on the allotment of a Share or any date fixed on the issue of the Share as if the same had become payable by virtue of a call duly made and notified.</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FORFEITURE</w:t>
      </w:r>
    </w:p>
    <w:p>
      <w:pPr>
        <w:spacing w:after="0" w:line="13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Failure to pay Call</w:t>
      </w:r>
      <w:r>
        <w:rPr>
          <w:rFonts w:ascii="Times New Roman" w:cs="Times New Roman" w:eastAsia="Times New Roman" w:hAnsi="Times New Roman"/>
          <w:sz w:val="18"/>
          <w:szCs w:val="18"/>
          <w:color w:val="auto"/>
        </w:rPr>
        <w:t>. If a Member fails to pay any call or instalment of a call in respect of Shares on the day appointed for payment, the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serve a notice on such Member naming a further date not earlier than the expiration of fourteen (14) days from the date of service on or before which the payment required by the notice is to be made and containing a statement that in the event of non-payment the Shares, or any of them, will be liable to be forfeited.</w:t>
      </w:r>
    </w:p>
    <w:p>
      <w:pPr>
        <w:spacing w:after="0" w:line="82" w:lineRule="exact"/>
        <w:rPr>
          <w:sz w:val="20"/>
          <w:szCs w:val="20"/>
          <w:color w:val="auto"/>
        </w:rPr>
      </w:pPr>
    </w:p>
    <w:p>
      <w:pPr>
        <w:ind w:left="540" w:right="3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Forfeiture</w:t>
      </w:r>
      <w:r>
        <w:rPr>
          <w:rFonts w:ascii="Times New Roman" w:cs="Times New Roman" w:eastAsia="Times New Roman" w:hAnsi="Times New Roman"/>
          <w:sz w:val="18"/>
          <w:szCs w:val="18"/>
          <w:color w:val="auto"/>
        </w:rPr>
        <w:t>. If the requirements of the notice referenced in this Article 11 are not complied with the Company may forfeit the Shares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Distributions declared payable in respect of the forfeited Shares and not paid at any time before tender of payment.</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No Refund</w:t>
      </w:r>
      <w:r>
        <w:rPr>
          <w:rFonts w:ascii="Times New Roman" w:cs="Times New Roman" w:eastAsia="Times New Roman" w:hAnsi="Times New Roman"/>
          <w:sz w:val="17"/>
          <w:szCs w:val="17"/>
          <w:color w:val="auto"/>
        </w:rPr>
        <w:t>. The Company is under no obligation to refund any moneys to the Member whose Shares have been forfeited.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74" w:name="page75"/>
    <w:bookmarkEnd w:id="74"/>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w:t>
      </w:r>
      <w:r>
        <w:rPr>
          <w:sz w:val="20"/>
          <w:szCs w:val="20"/>
          <w:color w:val="auto"/>
        </w:rPr>
        <w:tab/>
      </w:r>
      <w:r>
        <w:rPr>
          <w:rFonts w:ascii="Times New Roman" w:cs="Times New Roman" w:eastAsia="Times New Roman" w:hAnsi="Times New Roman"/>
          <w:sz w:val="18"/>
          <w:szCs w:val="18"/>
          <w:b w:val="1"/>
          <w:bCs w:val="1"/>
          <w:color w:val="auto"/>
        </w:rPr>
        <w:t>Sale of Forfeited Share</w:t>
      </w:r>
      <w:r>
        <w:rPr>
          <w:rFonts w:ascii="Times New Roman" w:cs="Times New Roman" w:eastAsia="Times New Roman" w:hAnsi="Times New Roman"/>
          <w:sz w:val="18"/>
          <w:szCs w:val="18"/>
          <w:color w:val="auto"/>
        </w:rPr>
        <w:t>. A forfeited Share may be sold or otherwise disposed of on such terms and in such manner as the Directors think fit,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before a sale or disposition the forfeiture may be cancelled on such terms as the Directors think fit. The proceeds of any sale or disposition of the forfeited Share may be received and used by the Company as the Directors determine.</w:t>
      </w:r>
    </w:p>
    <w:p>
      <w:pPr>
        <w:spacing w:after="0" w:line="76"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b w:val="1"/>
          <w:bCs w:val="1"/>
          <w:color w:val="auto"/>
        </w:rPr>
        <w:t>Outstanding Liability</w:t>
      </w:r>
      <w:r>
        <w:rPr>
          <w:rFonts w:ascii="Times New Roman" w:cs="Times New Roman" w:eastAsia="Times New Roman" w:hAnsi="Times New Roman"/>
          <w:sz w:val="18"/>
          <w:szCs w:val="18"/>
          <w:color w:val="auto"/>
        </w:rPr>
        <w:t>. A person whose Shares have been forfeited shall cease to be a Member in respect of the forfeited Shares, but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remain liable to pay to the Company all moneys which at the date of forfeiture were payable by them to the Company in respect of the Shares together with interest.</w:t>
      </w:r>
    </w:p>
    <w:p>
      <w:pPr>
        <w:spacing w:after="0" w:line="76"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Certificate of Forfeiture</w:t>
      </w:r>
      <w:r>
        <w:rPr>
          <w:rFonts w:ascii="Times New Roman" w:cs="Times New Roman" w:eastAsia="Times New Roman" w:hAnsi="Times New Roman"/>
          <w:sz w:val="18"/>
          <w:szCs w:val="18"/>
          <w:color w:val="auto"/>
        </w:rPr>
        <w:t>. A certificate in writing under the hand of a Director or Officer stating that a Share has been duly forfeited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in the certificate shall be conclusive evidence of the facts stated in the certificate as against all persons claiming to be entitled to the Share. The Directors may authorise any person to transfer the Shares sold in accordance with this Article 11 to the purchaser of such Shares. The purchaser shall be registered as the holder of the Shares so transferred and they shall not be bound to see to the application of the purchase money, nor shall their title to the Shares be affected by any irregularity or invalidity in the sale of the Shares in accordance with this Article 11.</w:t>
      </w:r>
    </w:p>
    <w:p>
      <w:pPr>
        <w:spacing w:after="0" w:line="85"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b w:val="1"/>
          <w:bCs w:val="1"/>
          <w:color w:val="auto"/>
        </w:rPr>
        <w:t>Fixed Payment Dates</w:t>
      </w:r>
      <w:r>
        <w:rPr>
          <w:rFonts w:ascii="Times New Roman" w:cs="Times New Roman" w:eastAsia="Times New Roman" w:hAnsi="Times New Roman"/>
          <w:sz w:val="18"/>
          <w:szCs w:val="18"/>
          <w:color w:val="auto"/>
        </w:rPr>
        <w:t>. The provisions of this Article 11 applying to forfeiture for failure to pay any call or instalment of a call shall apply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make payments, whether on account of the amount of the Share, or by way of premium, to be made on the allotment of a Share or any date fixed on the issue of the Share as if the same had become payable by virtue of a call duly made and notified.</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b w:val="1"/>
          <w:bCs w:val="1"/>
          <w:color w:val="auto"/>
        </w:rPr>
        <w:t>Legal Personal Representative</w:t>
      </w:r>
      <w:r>
        <w:rPr>
          <w:rFonts w:ascii="Times New Roman" w:cs="Times New Roman" w:eastAsia="Times New Roman" w:hAnsi="Times New Roman"/>
          <w:sz w:val="18"/>
          <w:szCs w:val="18"/>
          <w:color w:val="auto"/>
        </w:rPr>
        <w:t>. The legal personal representative of a deceased sole holder of a Share shall be the only person recognised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having any title to the Share. In the case of a Share registered in the names of two (2) or more holders, the survivors, survivor, or the legal personal representatives of the deceased survivor, shall be the only person(s) recognised by the Company as having any title to the Share.</w:t>
      </w:r>
    </w:p>
    <w:p>
      <w:pPr>
        <w:spacing w:after="0" w:line="82"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Transmission</w:t>
      </w:r>
      <w:r>
        <w:rPr>
          <w:rFonts w:ascii="Times New Roman" w:cs="Times New Roman" w:eastAsia="Times New Roman" w:hAnsi="Times New Roman"/>
          <w:sz w:val="18"/>
          <w:szCs w:val="18"/>
          <w:color w:val="auto"/>
        </w:rPr>
        <w:t>. Any person becoming entitled to a Share in consequence of the death or bankruptcy of or any analogous event affecting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 (each such event a </w:t>
      </w:r>
      <w:r>
        <w:rPr>
          <w:rFonts w:ascii="Times New Roman" w:cs="Times New Roman" w:eastAsia="Times New Roman" w:hAnsi="Times New Roman"/>
          <w:sz w:val="18"/>
          <w:szCs w:val="18"/>
          <w:b w:val="1"/>
          <w:bCs w:val="1"/>
          <w:i w:val="1"/>
          <w:iCs w:val="1"/>
          <w:color w:val="auto"/>
        </w:rPr>
        <w:t>Transmission Event</w:t>
      </w:r>
      <w:r>
        <w:rPr>
          <w:rFonts w:ascii="Times New Roman" w:cs="Times New Roman" w:eastAsia="Times New Roman" w:hAnsi="Times New Roman"/>
          <w:sz w:val="18"/>
          <w:szCs w:val="18"/>
          <w:color w:val="auto"/>
        </w:rPr>
        <w:t xml:space="preserve"> and each such person a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shall, upon such evidence being produced as may from time to time be required by the Directors, have the right either to be registered as a Member in respect of the Share or, instead of being registered themself, to make such transfer of the Share as the Member could have made; but the Directors shall, in either case, have the same right to decline or suspend registration as they would have had in the case of a transfer of the Share by such Member before the occurrence of a Transmission Event.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75" w:name="page76"/>
    <w:bookmarkEnd w:id="75"/>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12.3</w:t>
      </w:r>
      <w:r>
        <w:rPr>
          <w:sz w:val="20"/>
          <w:szCs w:val="20"/>
          <w:color w:val="auto"/>
        </w:rPr>
        <w:tab/>
      </w:r>
      <w:r>
        <w:rPr>
          <w:rFonts w:ascii="Times New Roman" w:cs="Times New Roman" w:eastAsia="Times New Roman" w:hAnsi="Times New Roman"/>
          <w:sz w:val="18"/>
          <w:szCs w:val="18"/>
          <w:b w:val="1"/>
          <w:bCs w:val="1"/>
          <w:color w:val="auto"/>
        </w:rPr>
        <w:t>Pre-Registration Status</w:t>
      </w:r>
      <w:r>
        <w:rPr>
          <w:rFonts w:ascii="Times New Roman" w:cs="Times New Roman" w:eastAsia="Times New Roman" w:hAnsi="Times New Roman"/>
          <w:sz w:val="18"/>
          <w:szCs w:val="18"/>
          <w:color w:val="auto"/>
        </w:rPr>
        <w:t>. Representatives shall be entitled to the same notices, dividends and other advantages to which they would be entitled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were the registered holder of the Share, except that they shall not, before being registered as a Member in respect of the Share, be entitled in respect of it to exercise any right conferred by membership in relation to meetings of the Company.</w:t>
      </w:r>
    </w:p>
    <w:p>
      <w:pPr>
        <w:spacing w:after="0" w:line="76"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b w:val="1"/>
          <w:bCs w:val="1"/>
          <w:color w:val="auto"/>
        </w:rPr>
        <w:t>Requirement for Registration</w:t>
      </w:r>
      <w:r>
        <w:rPr>
          <w:rFonts w:ascii="Times New Roman" w:cs="Times New Roman" w:eastAsia="Times New Roman" w:hAnsi="Times New Roman"/>
          <w:sz w:val="18"/>
          <w:szCs w:val="18"/>
          <w:color w:val="auto"/>
        </w:rPr>
        <w:t>. The Directors may at any time give notice requiring a Representative to elect either to be registered themself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some person nominated by them become the holder of the Share (but the Directors shall, in either case, have the same right to decline or suspend registration as they would have had in the case of a transfer of the Share by the relevant Member before the Transmission Event). If the notice is not complied with within ninety (90) days the Directors may thereafter withhold payment of all dividends, bonuses, or other monies payable in respect of the Share until the requirements of the notice have been complied with.</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TRANSFER OF SHARES</w:t>
      </w:r>
    </w:p>
    <w:p>
      <w:pPr>
        <w:spacing w:after="0" w:line="131"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Right to Transfer. </w:t>
      </w:r>
      <w:r>
        <w:rPr>
          <w:rFonts w:ascii="Times New Roman" w:cs="Times New Roman" w:eastAsia="Times New Roman" w:hAnsi="Times New Roman"/>
          <w:sz w:val="18"/>
          <w:szCs w:val="18"/>
          <w:color w:val="auto"/>
        </w:rPr>
        <w:t>Subject to these Articles and the rules or regulations of the Designated Stock Exchange or any relevant rules of the SEC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(including, but not limited to the Exchange Act), a Member may transfer all or any of their Shares.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85"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Directors’ Consent</w:t>
      </w:r>
      <w:r>
        <w:rPr>
          <w:rFonts w:ascii="Times New Roman" w:cs="Times New Roman" w:eastAsia="Times New Roman" w:hAnsi="Times New Roman"/>
          <w:sz w:val="18"/>
          <w:szCs w:val="18"/>
          <w:color w:val="auto"/>
        </w:rPr>
        <w:t>. Shares and Treasury Shares are transferable, subject to the consent of the Directors who may, subject to the terms of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the rules or regulations of the Designated Stock Exchange or any relevant rules of the SEC or securities laws (including, but not limited to the Exchange Act), in their absolute discretion, refuse to consent to any transfer and decline to register the transfer without giving any reason.</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Instrument of Transfer</w:t>
      </w:r>
      <w:r>
        <w:rPr>
          <w:rFonts w:ascii="Times New Roman" w:cs="Times New Roman" w:eastAsia="Times New Roman" w:hAnsi="Times New Roman"/>
          <w:sz w:val="17"/>
          <w:szCs w:val="17"/>
          <w:color w:val="auto"/>
        </w:rPr>
        <w:t>. The instrument of transfer of any Share shall be in:</w:t>
      </w:r>
    </w:p>
    <w:p>
      <w:pPr>
        <w:spacing w:after="0" w:line="135" w:lineRule="exact"/>
        <w:rPr>
          <w:sz w:val="20"/>
          <w:szCs w:val="20"/>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usual or common form;</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form as is prescribed by the Designated Stock Exchange;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form as the Directors may determine,</w:t>
      </w:r>
    </w:p>
    <w:p>
      <w:pPr>
        <w:spacing w:after="0" w:line="117"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76" w:name="page77"/>
    <w:bookmarkEnd w:id="76"/>
    <w:p>
      <w:pPr>
        <w:ind w:left="540" w:right="2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13.4</w:t>
      </w:r>
      <w:r>
        <w:rPr>
          <w:sz w:val="20"/>
          <w:szCs w:val="20"/>
          <w:color w:val="auto"/>
        </w:rPr>
        <w:tab/>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Subject to Article 3.2, where the Company has issued a certificate in respect of a Share proposed to be transferred, the transferor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lodge, with the instrument of transfer, the original certificate relating to the Share being transferred.</w:t>
      </w:r>
    </w:p>
    <w:p>
      <w:pPr>
        <w:spacing w:after="0" w:line="60" w:lineRule="exact"/>
        <w:rPr>
          <w:sz w:val="20"/>
          <w:szCs w:val="20"/>
          <w:color w:val="auto"/>
        </w:rPr>
      </w:pPr>
    </w:p>
    <w:p>
      <w:pPr>
        <w:ind w:left="540" w:right="1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transfer of a Share is effective when the name of the transferee is entered on the Register of Members. Until such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transferor shall be deemed to remain a Member.</w:t>
      </w:r>
    </w:p>
    <w:p>
      <w:pPr>
        <w:spacing w:after="0" w:line="60"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b w:val="1"/>
          <w:bCs w:val="1"/>
          <w:color w:val="auto"/>
        </w:rPr>
        <w:t>Lost Certificate</w:t>
      </w:r>
      <w:r>
        <w:rPr>
          <w:rFonts w:ascii="Times New Roman" w:cs="Times New Roman" w:eastAsia="Times New Roman" w:hAnsi="Times New Roman"/>
          <w:sz w:val="18"/>
          <w:szCs w:val="18"/>
          <w:color w:val="auto"/>
        </w:rPr>
        <w:t>. If the Directors are satisfied that an instrument of transfer relating to Shares has been signed but that the instrument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lost or destroyed, they may, on receipt of such indemnities as they may require:</w:t>
      </w:r>
    </w:p>
    <w:p>
      <w:pPr>
        <w:spacing w:after="0" w:line="64" w:lineRule="exact"/>
        <w:rPr>
          <w:sz w:val="20"/>
          <w:szCs w:val="20"/>
          <w:color w:val="auto"/>
        </w:rPr>
      </w:pPr>
    </w:p>
    <w:p>
      <w:pPr>
        <w:ind w:left="1180" w:hanging="644"/>
        <w:spacing w:after="0"/>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such evidence of the transfer of Shares as they consider appropriate;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to register the transferee’s name in the Register of Members.</w:t>
      </w:r>
    </w:p>
    <w:p>
      <w:pPr>
        <w:spacing w:after="0" w:line="127" w:lineRule="exact"/>
        <w:rPr>
          <w:sz w:val="20"/>
          <w:szCs w:val="20"/>
          <w:color w:val="auto"/>
        </w:rPr>
      </w:pPr>
    </w:p>
    <w:p>
      <w:pPr>
        <w:ind w:left="5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b w:val="1"/>
          <w:bCs w:val="1"/>
          <w:color w:val="auto"/>
        </w:rPr>
        <w:t>Notification of Refusal</w:t>
      </w:r>
      <w:r>
        <w:rPr>
          <w:rFonts w:ascii="Times New Roman" w:cs="Times New Roman" w:eastAsia="Times New Roman" w:hAnsi="Times New Roman"/>
          <w:sz w:val="18"/>
          <w:szCs w:val="18"/>
          <w:color w:val="auto"/>
        </w:rPr>
        <w:t>. Where the Directors refuse to register a transfer of a Share, they shall, within two (2) months after the date on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was lodged with the Company, notify the transferee of the refusal.</w:t>
      </w:r>
    </w:p>
    <w:p>
      <w:pPr>
        <w:spacing w:after="0" w:line="60"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b w:val="1"/>
          <w:bCs w:val="1"/>
          <w:color w:val="auto"/>
        </w:rPr>
        <w:t>Transfer of Treasury Shares</w:t>
      </w:r>
      <w:r>
        <w:rPr>
          <w:rFonts w:ascii="Times New Roman" w:cs="Times New Roman" w:eastAsia="Times New Roman" w:hAnsi="Times New Roman"/>
          <w:sz w:val="18"/>
          <w:szCs w:val="18"/>
          <w:color w:val="auto"/>
        </w:rPr>
        <w:t>. The transfer of Treasury Shares may be for valuable consideration or otherwise, and at a discount to the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REGISTERED HOLDER DEEMED ABSOLUTE OWNER</w:t>
      </w:r>
    </w:p>
    <w:p>
      <w:pPr>
        <w:spacing w:after="0" w:line="131" w:lineRule="exact"/>
        <w:rPr>
          <w:sz w:val="20"/>
          <w:szCs w:val="20"/>
          <w:color w:val="auto"/>
        </w:rPr>
      </w:pPr>
    </w:p>
    <w:p>
      <w:pPr>
        <w:ind w:left="540" w:right="14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 xml:space="preserve">Absolute Owner. </w:t>
      </w:r>
      <w:r>
        <w:rPr>
          <w:rFonts w:ascii="Times New Roman" w:cs="Times New Roman" w:eastAsia="Times New Roman" w:hAnsi="Times New Roman"/>
          <w:sz w:val="17"/>
          <w:szCs w:val="17"/>
          <w:color w:val="auto"/>
        </w:rPr>
        <w:t>The registered holder of a Share shall be treated as the absolute owner of such Share. No person shall be recognised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as holding any Share upon trust and the Company shall not register nor be bound by or required to recognise any equitable or other interest of whatever nature in a Share other than an absolute right to the Share, irrespective of whether the Company has notice of such interest.</w:t>
      </w:r>
    </w:p>
    <w:p>
      <w:pPr>
        <w:spacing w:after="0" w:line="3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ALTERATION OF SHARE CAPITAL</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Increase or Amendment</w:t>
      </w:r>
      <w:r>
        <w:rPr>
          <w:rFonts w:ascii="Times New Roman" w:cs="Times New Roman" w:eastAsia="Times New Roman" w:hAnsi="Times New Roman"/>
          <w:sz w:val="17"/>
          <w:szCs w:val="17"/>
          <w:color w:val="auto"/>
        </w:rPr>
        <w:t>. The Company may by Ordinary Resolution:</w:t>
      </w:r>
    </w:p>
    <w:p>
      <w:pPr>
        <w:spacing w:after="0" w:line="135" w:lineRule="exact"/>
        <w:rPr>
          <w:sz w:val="20"/>
          <w:szCs w:val="20"/>
          <w:color w:val="auto"/>
        </w:rPr>
      </w:pPr>
    </w:p>
    <w:p>
      <w:pPr>
        <w:ind w:left="1180" w:right="60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amount, and with such rights, privileges, priorities, and restrictions attached to them as the resolution shall prescribe;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 of the Companies Act, sub-divide its existing Shares, or any of them, into Shares of smaller amounts than is fixed by the Memorandum;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77" w:name="page78"/>
    <w:bookmarkEnd w:id="77"/>
    <w:p>
      <w:pPr>
        <w:ind w:left="540" w:right="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15.2</w:t>
      </w:r>
      <w:r>
        <w:rPr>
          <w:sz w:val="20"/>
          <w:szCs w:val="20"/>
          <w:color w:val="auto"/>
        </w:rPr>
        <w:tab/>
      </w:r>
      <w:r>
        <w:rPr>
          <w:rFonts w:ascii="Times New Roman" w:cs="Times New Roman" w:eastAsia="Times New Roman" w:hAnsi="Times New Roman"/>
          <w:sz w:val="18"/>
          <w:szCs w:val="18"/>
          <w:b w:val="1"/>
          <w:bCs w:val="1"/>
          <w:color w:val="auto"/>
        </w:rPr>
        <w:t>Reduction</w:t>
      </w:r>
      <w:r>
        <w:rPr>
          <w:rFonts w:ascii="Times New Roman" w:cs="Times New Roman" w:eastAsia="Times New Roman" w:hAnsi="Times New Roman"/>
          <w:sz w:val="18"/>
          <w:szCs w:val="18"/>
          <w:color w:val="auto"/>
        </w:rPr>
        <w:t>. Subject to the provisions of the Companies Act and these Articles, the Company may, by Special Resolution, reduce its share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capital redemption reserve in any manner.</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MEETINGS AND CONSENTS OF MEMBERS</w:t>
      </w:r>
    </w:p>
    <w:p>
      <w:pPr>
        <w:spacing w:after="0" w:line="131" w:lineRule="exact"/>
        <w:rPr>
          <w:sz w:val="20"/>
          <w:szCs w:val="20"/>
          <w:color w:val="auto"/>
        </w:rPr>
      </w:pPr>
    </w:p>
    <w:p>
      <w:pPr>
        <w:ind w:left="540" w:right="5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All meetings of Members shall be referred to as extraordinary general meetings unless the general meeting is an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60" w:lineRule="exact"/>
        <w:rPr>
          <w:sz w:val="20"/>
          <w:szCs w:val="20"/>
          <w:color w:val="auto"/>
        </w:rPr>
      </w:pPr>
    </w:p>
    <w:p>
      <w:pPr>
        <w:jc w:val="both"/>
        <w:ind w:left="540" w:right="10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The Company may, but shall not (unless required by the Companies Act or the Designated Stock Exchange) be obliged to, in each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58" w:lineRule="exact"/>
        <w:rPr>
          <w:sz w:val="20"/>
          <w:szCs w:val="20"/>
          <w:color w:val="auto"/>
        </w:rPr>
      </w:pPr>
    </w:p>
    <w:p>
      <w:pPr>
        <w:ind w:left="540" w:hanging="539"/>
        <w:spacing w:after="0" w:line="221" w:lineRule="auto"/>
        <w:tabs>
          <w:tab w:leader="none" w:pos="5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b w:val="1"/>
          <w:bCs w:val="1"/>
          <w:color w:val="auto"/>
        </w:rPr>
        <w:t xml:space="preserve">Members AGM Business. </w:t>
      </w:r>
      <w:r>
        <w:rPr>
          <w:rFonts w:ascii="Times New Roman" w:cs="Times New Roman" w:eastAsia="Times New Roman" w:hAnsi="Times New Roman"/>
          <w:sz w:val="18"/>
          <w:szCs w:val="18"/>
          <w:color w:val="auto"/>
        </w:rPr>
        <w:t>Members seeking to bring business before an annual general meeting of the Company, or to nominate candidates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as directors at an annual general meeting, must provide written notice of such business to the Company. Such notice must be received by the Secretary at the Company’s principal office no later than the close of business on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nor earlier than the close of business on the one-hundred and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the anniversary date of the immediately preceding annual general meeting. Pursuant to Rule 14a-8 under the Exchange Act, proposals seeking inclusion in the annual proxy statement must comply with the notice periods contained therein.</w:t>
      </w:r>
    </w:p>
    <w:p>
      <w:pPr>
        <w:spacing w:after="0" w:line="104" w:lineRule="exact"/>
        <w:rPr>
          <w:sz w:val="20"/>
          <w:szCs w:val="20"/>
          <w:color w:val="auto"/>
        </w:rPr>
      </w:pPr>
    </w:p>
    <w:p>
      <w:pPr>
        <w:ind w:left="540" w:right="4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b w:val="1"/>
          <w:bCs w:val="1"/>
          <w:color w:val="auto"/>
        </w:rPr>
        <w:t>Agenda</w:t>
      </w:r>
      <w:r>
        <w:rPr>
          <w:rFonts w:ascii="Times New Roman" w:cs="Times New Roman" w:eastAsia="Times New Roman" w:hAnsi="Times New Roman"/>
          <w:sz w:val="18"/>
          <w:szCs w:val="18"/>
          <w:color w:val="auto"/>
        </w:rPr>
        <w:t>. The agenda of the annual general meeting shall be set by the Directors and shall include the presentation of the Company’s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and the report of the Directors (if any).</w:t>
      </w:r>
    </w:p>
    <w:p>
      <w:pPr>
        <w:spacing w:after="0" w:line="60" w:lineRule="exact"/>
        <w:rPr>
          <w:sz w:val="20"/>
          <w:szCs w:val="20"/>
          <w:color w:val="auto"/>
        </w:rPr>
      </w:pPr>
    </w:p>
    <w:p>
      <w:pPr>
        <w:jc w:val="both"/>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b w:val="1"/>
          <w:bCs w:val="1"/>
          <w:color w:val="auto"/>
        </w:rPr>
        <w:t>Directors Convene and Cancel</w:t>
      </w:r>
      <w:r>
        <w:rPr>
          <w:rFonts w:ascii="Times New Roman" w:cs="Times New Roman" w:eastAsia="Times New Roman" w:hAnsi="Times New Roman"/>
          <w:sz w:val="18"/>
          <w:szCs w:val="18"/>
          <w:color w:val="auto"/>
        </w:rPr>
        <w:t>. The Board (by majority approval) may convene a general meeting at such time and in such manner and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or outside the Cayman Islands as they consider necessary or desirable and the applicable person may cancel a general meeting with such notice, in such manner and for such reason as they consider necessary. Members shall not have the ability to call general meetings.</w:t>
      </w:r>
    </w:p>
    <w:p>
      <w:pPr>
        <w:spacing w:after="0" w:line="76" w:lineRule="exact"/>
        <w:rPr>
          <w:sz w:val="20"/>
          <w:szCs w:val="20"/>
          <w:color w:val="auto"/>
        </w:rPr>
      </w:pPr>
    </w:p>
    <w:p>
      <w:pPr>
        <w:jc w:val="right"/>
        <w:ind w:right="40"/>
        <w:spacing w:after="0" w:line="286"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b w:val="1"/>
          <w:bCs w:val="1"/>
          <w:color w:val="auto"/>
        </w:rPr>
        <w:t>Meeting for Appointing Additional Directors</w:t>
      </w:r>
      <w:r>
        <w:rPr>
          <w:rFonts w:ascii="Times New Roman" w:cs="Times New Roman" w:eastAsia="Times New Roman" w:hAnsi="Times New Roman"/>
          <w:sz w:val="18"/>
          <w:szCs w:val="18"/>
          <w:color w:val="auto"/>
        </w:rPr>
        <w:t>. 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78" w:name="page79"/>
    <w:bookmarkEnd w:id="7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16.7</w:t>
      </w:r>
      <w:r>
        <w:rPr>
          <w:sz w:val="20"/>
          <w:szCs w:val="20"/>
          <w:color w:val="auto"/>
        </w:rPr>
        <w:tab/>
      </w:r>
      <w:r>
        <w:rPr>
          <w:rFonts w:ascii="Times New Roman" w:cs="Times New Roman" w:eastAsia="Times New Roman" w:hAnsi="Times New Roman"/>
          <w:sz w:val="17"/>
          <w:szCs w:val="17"/>
          <w:b w:val="1"/>
          <w:bCs w:val="1"/>
          <w:color w:val="auto"/>
        </w:rPr>
        <w:t>Notice of Meeting</w:t>
      </w:r>
      <w:r>
        <w:rPr>
          <w:rFonts w:ascii="Times New Roman" w:cs="Times New Roman" w:eastAsia="Times New Roman" w:hAnsi="Times New Roman"/>
          <w:sz w:val="17"/>
          <w:szCs w:val="17"/>
          <w:color w:val="auto"/>
        </w:rPr>
        <w:t>. The person convening a meeting shall give not less than five (5) clear days’ notice of a meeting of Members to:</w:t>
      </w:r>
    </w:p>
    <w:p>
      <w:pPr>
        <w:spacing w:after="0" w:line="135" w:lineRule="exact"/>
        <w:rPr>
          <w:sz w:val="20"/>
          <w:szCs w:val="20"/>
          <w:color w:val="auto"/>
        </w:rPr>
      </w:pPr>
    </w:p>
    <w:p>
      <w:pPr>
        <w:ind w:left="1180" w:right="14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Members whose names on the date the notice is given appear as Members in the Register of Members and are entitled to vote at the meeting;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Directors.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Every notice shall specify:</w:t>
      </w:r>
    </w:p>
    <w:p>
      <w:pPr>
        <w:spacing w:after="0" w:line="131" w:lineRule="exact"/>
        <w:rPr>
          <w:sz w:val="20"/>
          <w:szCs w:val="20"/>
          <w:color w:val="auto"/>
        </w:rPr>
      </w:pPr>
    </w:p>
    <w:p>
      <w:pPr>
        <w:ind w:left="1740" w:hanging="543"/>
        <w:spacing w:after="0"/>
        <w:tabs>
          <w:tab w:leader="none" w:pos="1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day, and the hour of the meeting;</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(2) or more places, the technology that will be used to facilitate the meeting;</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16.7 (iv), the general nature of the business to be conducted at the general meeting;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127" w:lineRule="exact"/>
        <w:rPr>
          <w:sz w:val="20"/>
          <w:szCs w:val="20"/>
          <w:color w:val="auto"/>
        </w:rPr>
      </w:pPr>
    </w:p>
    <w:p>
      <w:pPr>
        <w:ind w:left="540" w:right="5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b w:val="1"/>
          <w:bCs w:val="1"/>
          <w:color w:val="auto"/>
        </w:rPr>
        <w:t xml:space="preserve">Publication of a Notice on a Website. </w:t>
      </w:r>
      <w:r>
        <w:rPr>
          <w:rFonts w:ascii="Times New Roman" w:cs="Times New Roman" w:eastAsia="Times New Roman" w:hAnsi="Times New Roman"/>
          <w:sz w:val="18"/>
          <w:szCs w:val="18"/>
          <w:color w:val="auto"/>
        </w:rPr>
        <w:t>Subject to the Companies Act or the rules of the Designated Stock Exchange, a notice of 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may be published on a website providing the recipient is given separate notice of:</w:t>
      </w:r>
    </w:p>
    <w:p>
      <w:pPr>
        <w:spacing w:after="0" w:line="64" w:lineRule="exact"/>
        <w:rPr>
          <w:sz w:val="20"/>
          <w:szCs w:val="20"/>
          <w:color w:val="auto"/>
        </w:rPr>
      </w:pPr>
    </w:p>
    <w:p>
      <w:pPr>
        <w:ind w:left="1180" w:hanging="644"/>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on the website;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the website where the notice may be accessed;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may be accessed;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date, and time of the general meeting.</w:t>
      </w:r>
    </w:p>
    <w:p>
      <w:pPr>
        <w:spacing w:after="0" w:line="127"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b w:val="1"/>
          <w:bCs w:val="1"/>
          <w:color w:val="auto"/>
        </w:rPr>
        <w:t xml:space="preserve">Inability to Access Website. </w:t>
      </w:r>
      <w:r>
        <w:rPr>
          <w:rFonts w:ascii="Times New Roman" w:cs="Times New Roman" w:eastAsia="Times New Roman" w:hAnsi="Times New Roman"/>
          <w:sz w:val="18"/>
          <w:szCs w:val="18"/>
          <w:color w:val="auto"/>
        </w:rPr>
        <w:t>If a Member notifies the Company that they are unable for any reason to access the website, the Company must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practicable give notice of the meeting to that Member by any other means permitted by these Articles. This will not affect when that Member is deemed to have received notice of the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b w:val="1"/>
          <w:bCs w:val="1"/>
          <w:color w:val="auto"/>
        </w:rPr>
        <w:t>Time a Website Notice is Deemed to be Given.</w:t>
      </w:r>
      <w:r>
        <w:rPr>
          <w:rFonts w:ascii="Times New Roman" w:cs="Times New Roman" w:eastAsia="Times New Roman" w:hAnsi="Times New Roman"/>
          <w:sz w:val="18"/>
          <w:szCs w:val="18"/>
          <w:color w:val="auto"/>
        </w:rPr>
        <w:t xml:space="preserve"> A website notice is deemed to be given when the Member is given notice of its publication.</w:t>
      </w:r>
    </w:p>
    <w:p>
      <w:pPr>
        <w:spacing w:after="0" w:line="131" w:lineRule="exact"/>
        <w:rPr>
          <w:sz w:val="20"/>
          <w:szCs w:val="20"/>
          <w:color w:val="auto"/>
        </w:rPr>
      </w:pPr>
    </w:p>
    <w:p>
      <w:pPr>
        <w:ind w:left="540" w:hanging="539"/>
        <w:spacing w:after="0" w:line="286" w:lineRule="auto"/>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b w:val="1"/>
          <w:bCs w:val="1"/>
          <w:color w:val="auto"/>
        </w:rPr>
        <w:t>Required Duration of Publication on a Website.</w:t>
      </w:r>
      <w:r>
        <w:rPr>
          <w:rFonts w:ascii="Times New Roman" w:cs="Times New Roman" w:eastAsia="Times New Roman" w:hAnsi="Times New Roman"/>
          <w:sz w:val="18"/>
          <w:szCs w:val="18"/>
          <w:color w:val="auto"/>
        </w:rPr>
        <w:t xml:space="preserve"> Where the notice of meeting is published on a website, it shall continue to be published in the same place on that website from the date of the notification until at least the conclusion of the meeting to which the notice relates.</w:t>
      </w:r>
    </w:p>
    <w:p>
      <w:pPr>
        <w:spacing w:after="0" w:line="60" w:lineRule="exact"/>
        <w:rPr>
          <w:sz w:val="20"/>
          <w:szCs w:val="20"/>
          <w:color w:val="auto"/>
        </w:rPr>
      </w:pPr>
    </w:p>
    <w:p>
      <w:pPr>
        <w:ind w:left="540" w:right="120" w:hanging="539"/>
        <w:spacing w:after="0" w:line="268" w:lineRule="auto"/>
        <w:rPr>
          <w:sz w:val="20"/>
          <w:szCs w:val="20"/>
          <w:color w:val="auto"/>
        </w:rPr>
      </w:pPr>
      <w:r>
        <w:rPr>
          <w:rFonts w:ascii="Times New Roman" w:cs="Times New Roman" w:eastAsia="Times New Roman" w:hAnsi="Times New Roman"/>
          <w:sz w:val="18"/>
          <w:szCs w:val="18"/>
          <w:color w:val="auto"/>
        </w:rPr>
        <w:t xml:space="preserve">16.12 </w:t>
      </w:r>
      <w:r>
        <w:rPr>
          <w:rFonts w:ascii="Times New Roman" w:cs="Times New Roman" w:eastAsia="Times New Roman" w:hAnsi="Times New Roman"/>
          <w:sz w:val="18"/>
          <w:szCs w:val="18"/>
          <w:b w:val="1"/>
          <w:bCs w:val="1"/>
          <w:color w:val="auto"/>
        </w:rPr>
        <w:t>Failure to Give General Notice</w:t>
      </w:r>
      <w:r>
        <w:rPr>
          <w:rFonts w:ascii="Times New Roman" w:cs="Times New Roman" w:eastAsia="Times New Roman" w:hAnsi="Times New Roman"/>
          <w:sz w:val="18"/>
          <w:szCs w:val="18"/>
          <w:color w:val="auto"/>
        </w:rPr>
        <w:t>. A meeting of Members held in contravention of the requirement to give notice is valid if Members holding at least ninety five per cent (95%) of the total voting rights on all the matters to be considered at the meeting have waived notice of the meeting and, for this purpose, the presence of a Member at the meeting shall constitute waiver in relation to all the Shares which that Member holds.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6" w:right="499" w:bottom="1440" w:gutter="0" w:footer="0" w:header="0"/>
        </w:sectPr>
      </w:pPr>
    </w:p>
    <w:bookmarkStart w:id="79" w:name="page80"/>
    <w:bookmarkEnd w:id="79"/>
    <w:p>
      <w:pPr>
        <w:ind w:left="540" w:right="280" w:hanging="5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16.13 </w:t>
      </w:r>
      <w:r>
        <w:rPr>
          <w:rFonts w:ascii="Times New Roman" w:cs="Times New Roman" w:eastAsia="Times New Roman" w:hAnsi="Times New Roman"/>
          <w:sz w:val="18"/>
          <w:szCs w:val="18"/>
          <w:b w:val="1"/>
          <w:bCs w:val="1"/>
          <w:color w:val="auto"/>
        </w:rPr>
        <w:t>Failure to Give Individual Notice</w:t>
      </w:r>
      <w:r>
        <w:rPr>
          <w:rFonts w:ascii="Times New Roman" w:cs="Times New Roman" w:eastAsia="Times New Roman" w:hAnsi="Times New Roman"/>
          <w:sz w:val="18"/>
          <w:szCs w:val="18"/>
          <w:color w:val="auto"/>
        </w:rPr>
        <w:t>. The inadvertent failure of a Director who convenes a meeting to give notice of a meeting to a Member or another Director, or the fact that a Member or another Director has not received notice, does not invalidate the meeting.</w:t>
      </w:r>
    </w:p>
    <w:p>
      <w:pPr>
        <w:spacing w:after="0" w:line="60" w:lineRule="exact"/>
        <w:rPr>
          <w:sz w:val="20"/>
          <w:szCs w:val="20"/>
          <w:color w:val="auto"/>
        </w:rPr>
      </w:pPr>
    </w:p>
    <w:p>
      <w:pPr>
        <w:ind w:left="540" w:right="120" w:hanging="539"/>
        <w:spacing w:after="0" w:line="262" w:lineRule="auto"/>
        <w:rPr>
          <w:sz w:val="20"/>
          <w:szCs w:val="20"/>
          <w:color w:val="auto"/>
        </w:rPr>
      </w:pPr>
      <w:r>
        <w:rPr>
          <w:rFonts w:ascii="Times New Roman" w:cs="Times New Roman" w:eastAsia="Times New Roman" w:hAnsi="Times New Roman"/>
          <w:sz w:val="18"/>
          <w:szCs w:val="18"/>
          <w:color w:val="auto"/>
        </w:rPr>
        <w:t xml:space="preserve">16.14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No person shall be entitled to vote at any meeting of Members unless they are registered as a Member on the record date for such meeting and all calls or other moneys payable by them in respect of Shares have been paid at or before the record date. Subject to the rights and restrictions attached to any Shares and the provisions of this Article 16, each Member who is present in person, by its duly authorised representative or by proxy, shall have one vote and on a poll each Member shall have one vote for every Share of which they are the holder.</w:t>
      </w:r>
    </w:p>
    <w:p>
      <w:pPr>
        <w:spacing w:after="0" w:line="82" w:lineRule="exact"/>
        <w:rPr>
          <w:sz w:val="20"/>
          <w:szCs w:val="20"/>
          <w:color w:val="auto"/>
        </w:rPr>
      </w:pPr>
    </w:p>
    <w:p>
      <w:pPr>
        <w:ind w:left="540" w:right="240" w:hanging="539"/>
        <w:spacing w:after="0" w:line="259" w:lineRule="auto"/>
        <w:rPr>
          <w:sz w:val="20"/>
          <w:szCs w:val="20"/>
          <w:color w:val="auto"/>
        </w:rPr>
      </w:pPr>
      <w:r>
        <w:rPr>
          <w:rFonts w:ascii="Times New Roman" w:cs="Times New Roman" w:eastAsia="Times New Roman" w:hAnsi="Times New Roman"/>
          <w:sz w:val="18"/>
          <w:szCs w:val="18"/>
          <w:color w:val="auto"/>
        </w:rPr>
        <w:t xml:space="preserve">16.15 </w:t>
      </w:r>
      <w:r>
        <w:rPr>
          <w:rFonts w:ascii="Times New Roman" w:cs="Times New Roman" w:eastAsia="Times New Roman" w:hAnsi="Times New Roman"/>
          <w:sz w:val="18"/>
          <w:szCs w:val="18"/>
          <w:b w:val="1"/>
          <w:bCs w:val="1"/>
          <w:color w:val="auto"/>
        </w:rPr>
        <w:t>Meeting Prior to a Business Combination.</w:t>
      </w:r>
      <w:r>
        <w:rPr>
          <w:rFonts w:ascii="Times New Roman" w:cs="Times New Roman" w:eastAsia="Times New Roman" w:hAnsi="Times New Roman"/>
          <w:sz w:val="18"/>
          <w:szCs w:val="18"/>
          <w:color w:val="auto"/>
        </w:rPr>
        <w:t xml:space="preserve"> 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5" w:lineRule="exact"/>
        <w:rPr>
          <w:sz w:val="20"/>
          <w:szCs w:val="20"/>
          <w:color w:val="auto"/>
        </w:rPr>
      </w:pPr>
    </w:p>
    <w:p>
      <w:pPr>
        <w:ind w:left="540" w:hanging="539"/>
        <w:spacing w:after="0" w:line="262" w:lineRule="auto"/>
        <w:rPr>
          <w:sz w:val="20"/>
          <w:szCs w:val="20"/>
          <w:color w:val="auto"/>
        </w:rPr>
      </w:pPr>
      <w:r>
        <w:rPr>
          <w:rFonts w:ascii="Times New Roman" w:cs="Times New Roman" w:eastAsia="Times New Roman" w:hAnsi="Times New Roman"/>
          <w:sz w:val="18"/>
          <w:szCs w:val="18"/>
          <w:color w:val="auto"/>
        </w:rPr>
        <w:t xml:space="preserve">16.16 </w:t>
      </w:r>
      <w:r>
        <w:rPr>
          <w:rFonts w:ascii="Times New Roman" w:cs="Times New Roman" w:eastAsia="Times New Roman" w:hAnsi="Times New Roman"/>
          <w:sz w:val="18"/>
          <w:szCs w:val="18"/>
          <w:b w:val="1"/>
          <w:bCs w:val="1"/>
          <w:color w:val="auto"/>
        </w:rPr>
        <w:t>Postponed Meeting.</w:t>
      </w:r>
      <w:r>
        <w:rPr>
          <w:rFonts w:ascii="Times New Roman" w:cs="Times New Roman" w:eastAsia="Times New Roman" w:hAnsi="Times New Roman"/>
          <w:sz w:val="18"/>
          <w:szCs w:val="18"/>
          <w:color w:val="auto"/>
        </w:rPr>
        <w:t xml:space="preserve"> When a general meeting is postponed for thirty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3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ADVANCE NOTICE FOR BUSINESS</w:t>
      </w:r>
    </w:p>
    <w:p>
      <w:pPr>
        <w:spacing w:after="0" w:line="131"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b w:val="1"/>
          <w:bCs w:val="1"/>
          <w:color w:val="auto"/>
        </w:rPr>
        <w:t xml:space="preserve">Proper Business. </w:t>
      </w:r>
      <w:r>
        <w:rPr>
          <w:rFonts w:ascii="Times New Roman" w:cs="Times New Roman" w:eastAsia="Times New Roman" w:hAnsi="Times New Roman"/>
          <w:sz w:val="18"/>
          <w:szCs w:val="18"/>
          <w:color w:val="auto"/>
        </w:rPr>
        <w:t>To be properly brought before an annual general meeting, business (other than nominations of Directors, which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compliance with, and shall be exclusively governed by, Article 22) must be:</w:t>
      </w:r>
    </w:p>
    <w:p>
      <w:pPr>
        <w:spacing w:after="0" w:line="64" w:lineRule="exact"/>
        <w:rPr>
          <w:sz w:val="20"/>
          <w:szCs w:val="20"/>
          <w:color w:val="auto"/>
        </w:rPr>
      </w:pPr>
    </w:p>
    <w:p>
      <w:pPr>
        <w:ind w:left="1180" w:right="660" w:hanging="644"/>
        <w:spacing w:after="0" w:line="282"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the annual general meeting (or any supplement thereto) given to Members by or at the direction of the Directors in accordance with the Articles;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general meeting by or at the direction of the Directors.</w:t>
      </w:r>
    </w:p>
    <w:p>
      <w:pPr>
        <w:spacing w:after="0" w:line="127"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b w:val="1"/>
          <w:bCs w:val="1"/>
          <w:color w:val="auto"/>
        </w:rPr>
        <w:t xml:space="preserve">Compliance with the Exchange Act. </w:t>
      </w:r>
      <w:r>
        <w:rPr>
          <w:rFonts w:ascii="Times New Roman" w:cs="Times New Roman" w:eastAsia="Times New Roman" w:hAnsi="Times New Roman"/>
          <w:sz w:val="18"/>
          <w:szCs w:val="18"/>
          <w:color w:val="auto"/>
        </w:rPr>
        <w:t>In addition to the provisions of this Article 17, and not withstanding, a Member shall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requirements of the Exchange Act and the rules and regulations thereunder with respect to the matters set forth herein. Nothing in this Article 17 shall be deemed to affect any rights of:</w:t>
      </w:r>
    </w:p>
    <w:p>
      <w:pPr>
        <w:spacing w:after="0" w:line="80" w:lineRule="exact"/>
        <w:rPr>
          <w:sz w:val="20"/>
          <w:szCs w:val="20"/>
          <w:color w:val="auto"/>
        </w:rPr>
      </w:pPr>
    </w:p>
    <w:p>
      <w:pPr>
        <w:ind w:left="1180" w:right="340" w:hanging="644"/>
        <w:spacing w:after="0" w:line="282"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to request inclusion of proposals in the Company’s proxy statement pursuant to applicable rules and regulations under the Exchange Act;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80" w:name="page81"/>
    <w:bookmarkEnd w:id="80"/>
    <w:p>
      <w:pPr>
        <w:ind w:left="1180" w:hanging="644"/>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class of Shares authorised to be issued by the Company, to make proposals pursuant to any applicable provisions thereof.</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b w:val="1"/>
          <w:bCs w:val="1"/>
          <w:color w:val="auto"/>
        </w:rPr>
        <w:t>Proxies</w:t>
      </w:r>
      <w:r>
        <w:rPr>
          <w:rFonts w:ascii="Times New Roman" w:cs="Times New Roman" w:eastAsia="Times New Roman" w:hAnsi="Times New Roman"/>
          <w:sz w:val="17"/>
          <w:szCs w:val="17"/>
          <w:color w:val="auto"/>
        </w:rPr>
        <w:t>. A Member may be represented at a meeting of Members by a proxy who may speak and vote on behalf of the Member.</w:t>
      </w:r>
    </w:p>
    <w:p>
      <w:pPr>
        <w:spacing w:after="0" w:line="131" w:lineRule="exact"/>
        <w:rPr>
          <w:sz w:val="20"/>
          <w:szCs w:val="20"/>
          <w:color w:val="auto"/>
        </w:rPr>
      </w:pPr>
    </w:p>
    <w:p>
      <w:pPr>
        <w:ind w:left="540" w:right="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b w:val="1"/>
          <w:bCs w:val="1"/>
          <w:color w:val="auto"/>
        </w:rPr>
        <w:t>Production of Proxies</w:t>
      </w:r>
      <w:r>
        <w:rPr>
          <w:rFonts w:ascii="Times New Roman" w:cs="Times New Roman" w:eastAsia="Times New Roman" w:hAnsi="Times New Roman"/>
          <w:sz w:val="18"/>
          <w:szCs w:val="18"/>
          <w:color w:val="auto"/>
        </w:rPr>
        <w:t>. The instrument appointing a proxy shall be produced at the place designated for the meeting before the time for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at which the person named in such instrument proposes to vote. The notice of the meeting may specify an alternative or additional place or time at which the proxy shall be presented.</w:t>
      </w:r>
    </w:p>
    <w:p>
      <w:pPr>
        <w:spacing w:after="0" w:line="76"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b w:val="1"/>
          <w:bCs w:val="1"/>
          <w:color w:val="auto"/>
        </w:rPr>
        <w:t>Form of Proxy</w:t>
      </w:r>
      <w:r>
        <w:rPr>
          <w:rFonts w:ascii="Times New Roman" w:cs="Times New Roman" w:eastAsia="Times New Roman" w:hAnsi="Times New Roman"/>
          <w:sz w:val="17"/>
          <w:szCs w:val="17"/>
          <w:color w:val="auto"/>
        </w:rPr>
        <w:t>. An instrument appointing a proxy may be in any usual or common form (or such other form as the Directors may approve) and</w:t>
      </w:r>
    </w:p>
    <w:p>
      <w:pPr>
        <w:spacing w:after="0" w:line="31" w:lineRule="exact"/>
        <w:rPr>
          <w:sz w:val="20"/>
          <w:szCs w:val="20"/>
          <w:color w:val="auto"/>
        </w:rPr>
      </w:pPr>
    </w:p>
    <w:p>
      <w:pPr>
        <w:ind w:left="540" w:right="620"/>
        <w:spacing w:after="0" w:line="260" w:lineRule="auto"/>
        <w:rPr>
          <w:sz w:val="20"/>
          <w:szCs w:val="20"/>
          <w:color w:val="auto"/>
        </w:rPr>
      </w:pPr>
      <w:r>
        <w:rPr>
          <w:rFonts w:ascii="Times New Roman" w:cs="Times New Roman" w:eastAsia="Times New Roman" w:hAnsi="Times New Roman"/>
          <w:sz w:val="18"/>
          <w:szCs w:val="18"/>
          <w:color w:val="auto"/>
        </w:rPr>
        <w:t>may be expressed to be for a particular meeting or any adjournment thereof or may appoint a standing proxy until notice of revocation is received at the Registered Office or at such place or places as the Directors may otherwise specify for the purpose.</w:t>
      </w:r>
    </w:p>
    <w:p>
      <w:pPr>
        <w:spacing w:after="0" w:line="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b w:val="1"/>
          <w:bCs w:val="1"/>
          <w:color w:val="auto"/>
        </w:rPr>
        <w:t>Joint Ownership and Proxies</w:t>
      </w:r>
      <w:r>
        <w:rPr>
          <w:rFonts w:ascii="Times New Roman" w:cs="Times New Roman" w:eastAsia="Times New Roman" w:hAnsi="Times New Roman"/>
          <w:sz w:val="17"/>
          <w:szCs w:val="17"/>
          <w:color w:val="auto"/>
        </w:rPr>
        <w:t>. Where Shares are jointly owned:</w:t>
      </w:r>
    </w:p>
    <w:p>
      <w:pPr>
        <w:spacing w:after="0" w:line="135" w:lineRule="exact"/>
        <w:rPr>
          <w:sz w:val="20"/>
          <w:szCs w:val="20"/>
          <w:color w:val="auto"/>
        </w:rPr>
      </w:pPr>
    </w:p>
    <w:p>
      <w:pPr>
        <w:ind w:left="1180" w:right="260" w:hanging="644"/>
        <w:spacing w:after="0" w:line="282"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(2) or more persons hold Shares jointly, each of them may be present in person or by proxy at a meeting of Members and may speak as a Member;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of the joint owners is present in person or by proxy they may vote on behalf of all joint owners;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(2) or more of the joint owners are present in person or by proxy they must vote as one.</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CORPORATIONS ACTING BY REPRESENTATIVES AT MEETINGS</w:t>
      </w:r>
    </w:p>
    <w:p>
      <w:pPr>
        <w:spacing w:after="0" w:line="13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b w:val="1"/>
          <w:bCs w:val="1"/>
          <w:color w:val="auto"/>
        </w:rPr>
        <w:t xml:space="preserve">Corporations Acting by Representatives at Meetings. </w:t>
      </w:r>
      <w:r>
        <w:rPr>
          <w:rFonts w:ascii="Times New Roman" w:cs="Times New Roman" w:eastAsia="Times New Roman" w:hAnsi="Times New Roman"/>
          <w:sz w:val="18"/>
          <w:szCs w:val="18"/>
          <w:color w:val="auto"/>
        </w:rPr>
        <w:t>Any corporation which is a Member or a Director may by resolution of its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they represent as that corporation could exercise if it were an individual Member or Director.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81" w:name="page82"/>
    <w:bookmarkEnd w:id="8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w:t>
      </w:r>
      <w:r>
        <w:rPr>
          <w:sz w:val="20"/>
          <w:szCs w:val="20"/>
          <w:color w:val="auto"/>
        </w:rPr>
        <w:tab/>
      </w:r>
      <w:r>
        <w:rPr>
          <w:rFonts w:ascii="Times New Roman" w:cs="Times New Roman" w:eastAsia="Times New Roman" w:hAnsi="Times New Roman"/>
          <w:sz w:val="18"/>
          <w:szCs w:val="18"/>
          <w:b w:val="1"/>
          <w:bCs w:val="1"/>
          <w:color w:val="auto"/>
        </w:rPr>
        <w:t>CLEARING HOUSES</w:t>
      </w:r>
    </w:p>
    <w:p>
      <w:pPr>
        <w:spacing w:after="0" w:line="131"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b w:val="1"/>
          <w:bCs w:val="1"/>
          <w:color w:val="auto"/>
        </w:rPr>
        <w:t xml:space="preserve">Clearing Houses. </w:t>
      </w:r>
      <w:r>
        <w:rPr>
          <w:rFonts w:ascii="Times New Roman" w:cs="Times New Roman" w:eastAsia="Times New Roman" w:hAnsi="Times New Roman"/>
          <w:sz w:val="18"/>
          <w:szCs w:val="18"/>
          <w:color w:val="auto"/>
        </w:rPr>
        <w:t>If a Clearing House (or its nominee) is a Member it may, by resolution of its directors or other governing body or by power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authorise such person or persons as it thinks fit to act as its representative or representatives at any general meeting of the Company or at any general meeting of any class of Members; provided that, if more than one person is so authorised, the authorisation shall specify the number and class of Shares in respect of which each such person is so authorised. A person so authorised pursuant to this Article 20 shall be entitled to exercise the same powers on behalf of the Clearing House (or its nominee) which they represent as that Clearing House (or its nominee) could exercise if it were an individual Member holding the number and class of Shares specified in such authorisation.</w:t>
      </w:r>
    </w:p>
    <w:p>
      <w:pPr>
        <w:spacing w:after="0" w:line="3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PROCEEDINGS OF MEMBER MEETINGS</w:t>
      </w:r>
    </w:p>
    <w:p>
      <w:pPr>
        <w:spacing w:after="0" w:line="131"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Chair of Member Meeting</w:t>
      </w:r>
      <w:r>
        <w:rPr>
          <w:rFonts w:ascii="Times New Roman" w:cs="Times New Roman" w:eastAsia="Times New Roman" w:hAnsi="Times New Roman"/>
          <w:sz w:val="18"/>
          <w:szCs w:val="18"/>
          <w:color w:val="auto"/>
        </w:rPr>
        <w:t>. At every meeting of Members, the chair of the Board shall preside as chair of the meeting. If there is no chair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if they are not present at the meeting within fifteen (15) minutes of the time appointed after the meeting, or if they are unwilling to act, the Directors present shall elect the chair of the meeting.</w:t>
      </w:r>
    </w:p>
    <w:p>
      <w:pPr>
        <w:spacing w:after="0" w:line="76" w:lineRule="exact"/>
        <w:rPr>
          <w:sz w:val="20"/>
          <w:szCs w:val="20"/>
          <w:color w:val="auto"/>
        </w:rPr>
      </w:pPr>
    </w:p>
    <w:p>
      <w:pPr>
        <w:ind w:left="540" w:right="6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color w:val="auto"/>
        </w:rPr>
        <w:t>Adjournment</w:t>
      </w:r>
      <w:r>
        <w:rPr>
          <w:rFonts w:ascii="Times New Roman" w:cs="Times New Roman" w:eastAsia="Times New Roman" w:hAnsi="Times New Roman"/>
          <w:sz w:val="17"/>
          <w:szCs w:val="17"/>
          <w:color w:val="auto"/>
        </w:rPr>
        <w:t>. The chair may, with the consent of the meeting, adjourn any meeting from time to time, and from place to place, but no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transacted at any adjourned meeting other than the business left unfinished at the meeting from which the adjournment took place.</w:t>
      </w:r>
    </w:p>
    <w:p>
      <w:pPr>
        <w:spacing w:after="0" w:line="37" w:lineRule="exact"/>
        <w:rPr>
          <w:sz w:val="20"/>
          <w:szCs w:val="20"/>
          <w:color w:val="auto"/>
        </w:rPr>
      </w:pPr>
    </w:p>
    <w:p>
      <w:pPr>
        <w:jc w:val="right"/>
        <w:ind w:right="300"/>
        <w:spacing w:after="0" w:line="28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Conference Call</w:t>
      </w:r>
      <w:r>
        <w:rPr>
          <w:rFonts w:ascii="Times New Roman" w:cs="Times New Roman" w:eastAsia="Times New Roman" w:hAnsi="Times New Roman"/>
          <w:sz w:val="18"/>
          <w:szCs w:val="18"/>
          <w:color w:val="auto"/>
        </w:rPr>
        <w:t>. A Member, or their duly authorised representative or proxy, shall be deemed to be present at a meeting of Members if they participate by telephone or other Electronic means by means of which all the persons participating in the meeting are able to hear each other.</w:t>
      </w:r>
    </w:p>
    <w:p>
      <w:pPr>
        <w:spacing w:after="0" w:line="60" w:lineRule="exact"/>
        <w:rPr>
          <w:sz w:val="20"/>
          <w:szCs w:val="20"/>
          <w:color w:val="auto"/>
        </w:rPr>
      </w:pPr>
    </w:p>
    <w:p>
      <w:pPr>
        <w:jc w:val="both"/>
        <w:ind w:left="540" w:right="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color w:val="auto"/>
        </w:rPr>
        <w:t>Objections</w:t>
      </w:r>
      <w:r>
        <w:rPr>
          <w:rFonts w:ascii="Times New Roman" w:cs="Times New Roman" w:eastAsia="Times New Roman" w:hAnsi="Times New Roman"/>
          <w:sz w:val="18"/>
          <w:szCs w:val="18"/>
          <w:color w:val="auto"/>
        </w:rPr>
        <w:t>. No objection shall be raised to the qualification of any voter except at the meeting of Members or adjourned meeting of Members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vote objected to is given or tendered and every vote not disallowed at the meeting shall be valid. Any objection made in due time shall be referred to the chair whose decision shall be final and binding on all parties.</w:t>
      </w:r>
    </w:p>
    <w:p>
      <w:pPr>
        <w:spacing w:after="0" w:line="76" w:lineRule="exact"/>
        <w:rPr>
          <w:sz w:val="20"/>
          <w:szCs w:val="20"/>
          <w:color w:val="auto"/>
        </w:rPr>
      </w:pPr>
    </w:p>
    <w:p>
      <w:pPr>
        <w:jc w:val="both"/>
        <w:ind w:left="540" w:right="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b w:val="1"/>
          <w:bCs w:val="1"/>
          <w:color w:val="auto"/>
        </w:rPr>
        <w:t>Casting of Votes</w:t>
      </w:r>
      <w:r>
        <w:rPr>
          <w:rFonts w:ascii="Times New Roman" w:cs="Times New Roman" w:eastAsia="Times New Roman" w:hAnsi="Times New Roman"/>
          <w:sz w:val="18"/>
          <w:szCs w:val="18"/>
          <w:color w:val="auto"/>
        </w:rPr>
        <w:t>. A Member holding more than one (1) Share need not cast the votes in respect of the Shares held by them in the same way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resolution for which a poll is taken. A person appointed as the authorised representative or proxy of a Member may cast the votes in respect of the Shares for which they are appointed in a like manner.</w:t>
      </w:r>
    </w:p>
    <w:p>
      <w:pPr>
        <w:spacing w:after="0" w:line="76"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A meeting of Members is duly constituted if, at the commencement of the meeting, there are present in person, through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authorised representative or by proxy, Members holding Shares entitled to vote which represent a majority of all votes, except where there is only one (1) Member entitled to vote on resolutions of Members to be considered at the meeting in which case the quorum shall be one Member. Where a quorum comprises a single Member or proxy, such person may pass a resolution of Members and a certificate signed by such person accompanied, where such person be a proxy, by a copy of the proxy instrument shall constitute a valid resolution of Members.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82" w:name="page83"/>
    <w:bookmarkEnd w:id="82"/>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21.7</w:t>
      </w:r>
      <w:r>
        <w:rPr>
          <w:sz w:val="20"/>
          <w:szCs w:val="20"/>
          <w:color w:val="auto"/>
        </w:rPr>
        <w:tab/>
      </w:r>
      <w:r>
        <w:rPr>
          <w:rFonts w:ascii="Times New Roman" w:cs="Times New Roman" w:eastAsia="Times New Roman" w:hAnsi="Times New Roman"/>
          <w:sz w:val="18"/>
          <w:szCs w:val="18"/>
          <w:b w:val="1"/>
          <w:bCs w:val="1"/>
          <w:color w:val="auto"/>
        </w:rPr>
        <w:t>No Quorum</w:t>
      </w:r>
      <w:r>
        <w:rPr>
          <w:rFonts w:ascii="Times New Roman" w:cs="Times New Roman" w:eastAsia="Times New Roman" w:hAnsi="Times New Roman"/>
          <w:sz w:val="18"/>
          <w:szCs w:val="18"/>
          <w:color w:val="auto"/>
        </w:rPr>
        <w:t>. If within thirty (30) minutes from the time appointed for the meeting a quorum is not present, the meeting shall stand adjourned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next business day in the jurisdiction in which the meeting was to have been held at the same time and place or to such other time and place as the Directors may determine. New notice will be required to be given if the meeting is adjourned for thirty (30) days or more.</w:t>
      </w:r>
    </w:p>
    <w:p>
      <w:pPr>
        <w:spacing w:after="0" w:line="76" w:lineRule="exact"/>
        <w:rPr>
          <w:sz w:val="20"/>
          <w:szCs w:val="20"/>
          <w:color w:val="auto"/>
        </w:rPr>
      </w:pPr>
    </w:p>
    <w:p>
      <w:pPr>
        <w:ind w:left="540" w:right="2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b w:val="1"/>
          <w:bCs w:val="1"/>
          <w:color w:val="auto"/>
        </w:rPr>
        <w:t>Polls</w:t>
      </w:r>
      <w:r>
        <w:rPr>
          <w:rFonts w:ascii="Times New Roman" w:cs="Times New Roman" w:eastAsia="Times New Roman" w:hAnsi="Times New Roman"/>
          <w:sz w:val="18"/>
          <w:szCs w:val="18"/>
          <w:color w:val="auto"/>
        </w:rPr>
        <w:t>. At any meeting of the Members the chair is responsible for deciding in such manner as they consider appropriate whether any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has been carried or not and the result of their decision shall be announced to the meeting and recorded in the minutes of the meeting. If the chair has any doubt as to the outcome of the vote on a proposed resolution, they shall cause a poll to be taken of all votes cast upon such resolution. If the chair fails to take a poll then any Member present in person or by proxy who disputes the announcement by the chair of the result of any vote may immediately following such announcement demand that a poll be taken and the chair shall cause a poll to be taken. If a poll is taken at any meeting, the result shall be announced to the meeting and recorded in the minutes of the meeting. The minutes of the meeting shall be conclusive evidence of the fact that a resolution was carried or not without proof of the number or proportion of the votes recorded in favour of or against such resolution.</w:t>
      </w:r>
    </w:p>
    <w:p>
      <w:pPr>
        <w:spacing w:after="0" w:line="90"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b w:val="1"/>
          <w:bCs w:val="1"/>
          <w:color w:val="auto"/>
        </w:rPr>
        <w:t>Director Participation</w:t>
      </w:r>
      <w:r>
        <w:rPr>
          <w:rFonts w:ascii="Times New Roman" w:cs="Times New Roman" w:eastAsia="Times New Roman" w:hAnsi="Times New Roman"/>
          <w:sz w:val="18"/>
          <w:szCs w:val="18"/>
          <w:color w:val="auto"/>
        </w:rPr>
        <w:t>. Directors may attend and speak at any meeting of Members and at any separate meeting of the holders of any class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Shares.</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131"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color w:val="auto"/>
        </w:rPr>
        <w:t xml:space="preserve">Number of Directors. </w:t>
      </w:r>
      <w:r>
        <w:rPr>
          <w:rFonts w:ascii="Times New Roman" w:cs="Times New Roman" w:eastAsia="Times New Roman" w:hAnsi="Times New Roman"/>
          <w:sz w:val="18"/>
          <w:szCs w:val="18"/>
          <w:color w:val="auto"/>
        </w:rPr>
        <w:t>Subject to Article 22.2, there shall be up to nine (9) Directors of the Company and the Directors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 the maximum and minimum number of Directors to be appointed by resolution of the Board.</w:t>
      </w:r>
    </w:p>
    <w:p>
      <w:pPr>
        <w:spacing w:after="0" w:line="60"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Each Director holds office for the term, if any, fixed by the terms of their appointment or until their earlier death, bankruptcy, insanity,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or removal. If no term is fixed on the appointment of a Director, the Director serves indefinitely until their earlier death, bankruptcy, insanity, resignation or removal.</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b w:val="1"/>
          <w:bCs w:val="1"/>
          <w:color w:val="auto"/>
        </w:rPr>
        <w:t xml:space="preserve">Appointment by Members. </w:t>
      </w:r>
      <w:r>
        <w:rPr>
          <w:rFonts w:ascii="Times New Roman" w:cs="Times New Roman" w:eastAsia="Times New Roman" w:hAnsi="Times New Roman"/>
          <w:sz w:val="17"/>
          <w:szCs w:val="17"/>
          <w:color w:val="auto"/>
        </w:rPr>
        <w:t>Prior to the closing of an initial Business Combination:</w:t>
      </w:r>
    </w:p>
    <w:p>
      <w:pPr>
        <w:spacing w:after="0" w:line="135" w:lineRule="exact"/>
        <w:rPr>
          <w:sz w:val="20"/>
          <w:szCs w:val="20"/>
          <w:color w:val="auto"/>
        </w:rPr>
      </w:pPr>
    </w:p>
    <w:p>
      <w:pPr>
        <w:ind w:left="1180" w:right="160" w:hanging="644"/>
        <w:spacing w:after="0" w:line="282"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of the holders of the Class B Shares (only) appoint any person to be a Director and remove any Director for any reason;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Shares shall have no right to vote on the appointment or removal of any Director,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6" w:right="479" w:bottom="1440" w:gutter="0" w:footer="0" w:header="0"/>
        </w:sectPr>
      </w:pPr>
    </w:p>
    <w:bookmarkStart w:id="83" w:name="page84"/>
    <w:bookmarkEnd w:id="83"/>
    <w:p>
      <w:pPr>
        <w:ind w:left="54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if all of the Class B Shares are converted prior to the date of the initial Business Combination, the holders of Class A Shares will have the right to vote on the election of Directors.</w:t>
      </w:r>
    </w:p>
    <w:p>
      <w:pPr>
        <w:spacing w:after="0" w:line="63"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b w:val="1"/>
          <w:bCs w:val="1"/>
          <w:color w:val="auto"/>
        </w:rPr>
        <w:t xml:space="preserve">Pre Business Combination. </w:t>
      </w:r>
      <w:r>
        <w:rPr>
          <w:rFonts w:ascii="Times New Roman" w:cs="Times New Roman" w:eastAsia="Times New Roman" w:hAnsi="Times New Roman"/>
          <w:sz w:val="18"/>
          <w:szCs w:val="18"/>
          <w:color w:val="auto"/>
        </w:rPr>
        <w:t>Prior to the consummation of a Business Combination, Articles 23.1, 23.5, and this Article 23.2 may only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a Special Resolution passed by at least ninety per cent (90%)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82" w:lineRule="exact"/>
        <w:rPr>
          <w:sz w:val="20"/>
          <w:szCs w:val="20"/>
          <w:color w:val="auto"/>
        </w:rPr>
      </w:pPr>
    </w:p>
    <w:p>
      <w:pPr>
        <w:ind w:left="540" w:right="4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b w:val="1"/>
          <w:bCs w:val="1"/>
          <w:color w:val="auto"/>
        </w:rPr>
        <w:t xml:space="preserve">Post Business Combination. </w:t>
      </w:r>
      <w:r>
        <w:rPr>
          <w:rFonts w:ascii="Times New Roman" w:cs="Times New Roman" w:eastAsia="Times New Roman" w:hAnsi="Times New Roman"/>
          <w:sz w:val="18"/>
          <w:szCs w:val="18"/>
          <w:color w:val="auto"/>
        </w:rPr>
        <w:t>After the consummation of a Business Combination, the Company may by Ordinary Resolution appoint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to be a Director, may by Ordinary Resolution remove any Director, and may amend Article 23.1 by Special Resolution.</w:t>
      </w:r>
    </w:p>
    <w:p>
      <w:pPr>
        <w:spacing w:after="0" w:line="60" w:lineRule="exact"/>
        <w:rPr>
          <w:sz w:val="20"/>
          <w:szCs w:val="20"/>
          <w:color w:val="auto"/>
        </w:rPr>
      </w:pPr>
    </w:p>
    <w:p>
      <w:pPr>
        <w:jc w:val="both"/>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b w:val="1"/>
          <w:bCs w:val="1"/>
          <w:color w:val="auto"/>
        </w:rPr>
        <w:t xml:space="preserve">Appointment by Director. </w:t>
      </w:r>
      <w:r>
        <w:rPr>
          <w:rFonts w:ascii="Times New Roman" w:cs="Times New Roman" w:eastAsia="Times New Roman" w:hAnsi="Times New Roman"/>
          <w:sz w:val="18"/>
          <w:szCs w:val="18"/>
          <w:color w:val="auto"/>
        </w:rPr>
        <w:t>The Directors may appoint any person to be a Director, either to fill a vacancy or as an additional Director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appointment does not cause the number of Directors to exceed any number fixed by or in accordance with the Articles as the maximum number of Directors.</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b w:val="1"/>
          <w:bCs w:val="1"/>
          <w:color w:val="auto"/>
        </w:rPr>
        <w:t xml:space="preserve">Vacation of Office. </w:t>
      </w:r>
      <w:r>
        <w:rPr>
          <w:rFonts w:ascii="Times New Roman" w:cs="Times New Roman" w:eastAsia="Times New Roman" w:hAnsi="Times New Roman"/>
          <w:sz w:val="17"/>
          <w:szCs w:val="17"/>
          <w:color w:val="auto"/>
        </w:rPr>
        <w:t>The office of a Director shall be vacated if:</w:t>
      </w:r>
    </w:p>
    <w:p>
      <w:pPr>
        <w:spacing w:after="0" w:line="135" w:lineRule="exact"/>
        <w:rPr>
          <w:sz w:val="20"/>
          <w:szCs w:val="20"/>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they resign the office of Director; or</w:t>
      </w:r>
    </w:p>
    <w:p>
      <w:pPr>
        <w:spacing w:after="0" w:line="130"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(for the avoidance of doubt, without being represented by proxy) from three (3) consecutive meetings of the Board without special leave of absence from the Directors, and the Directors pass a resolution that they have by reason of such absence vacated office; or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their creditors generally;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30"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(2) in number) determine that the Director should be removed as a Director, either by a resolution passed by all of the other Directors at a meeting of the Directors duly convened and held in accordance with the Articles or by a resolution in writing signed by all of the other Directors; or</w:t>
      </w:r>
    </w:p>
    <w:p>
      <w:pPr>
        <w:spacing w:after="0" w:line="81"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an initial Business Combination, is removed from office by Ordinary Resolution of the holders of the Class B Shares (only); or</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 initial Business Combination, is removed from office by Ordinary Resolution of all Members entitled to vote.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70" w:right="539" w:bottom="1440" w:gutter="0" w:footer="0" w:header="0"/>
        </w:sectPr>
      </w:pPr>
    </w:p>
    <w:bookmarkStart w:id="84" w:name="page85"/>
    <w:bookmarkEnd w:id="84"/>
    <w:p>
      <w:pPr>
        <w:ind w:left="540" w:right="2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23.6</w:t>
      </w:r>
      <w:r>
        <w:rPr>
          <w:sz w:val="20"/>
          <w:szCs w:val="20"/>
          <w:color w:val="auto"/>
        </w:rPr>
        <w:tab/>
      </w:r>
      <w:r>
        <w:rPr>
          <w:rFonts w:ascii="Times New Roman" w:cs="Times New Roman" w:eastAsia="Times New Roman" w:hAnsi="Times New Roman"/>
          <w:sz w:val="18"/>
          <w:szCs w:val="18"/>
          <w:b w:val="1"/>
          <w:bCs w:val="1"/>
          <w:color w:val="auto"/>
        </w:rPr>
        <w:t>Resignation of Directors</w:t>
      </w:r>
      <w:r>
        <w:rPr>
          <w:rFonts w:ascii="Times New Roman" w:cs="Times New Roman" w:eastAsia="Times New Roman" w:hAnsi="Times New Roman"/>
          <w:sz w:val="18"/>
          <w:szCs w:val="18"/>
          <w:color w:val="auto"/>
        </w:rPr>
        <w:t>. A Director may at any time resign office by giving to the Company notice in writing or, if permitted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provisions, in an Electronic Record delivered in either case in accordance with those provisions. Unless the notice specifies a different date, the Director shall be deemed to have resigned on the date that the notice is delivered to the Company.</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REGISTER OF DIRECTORS AND OFFICERS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b w:val="1"/>
          <w:bCs w:val="1"/>
          <w:color w:val="auto"/>
        </w:rPr>
        <w:t>Details</w:t>
      </w:r>
      <w:r>
        <w:rPr>
          <w:rFonts w:ascii="Times New Roman" w:cs="Times New Roman" w:eastAsia="Times New Roman" w:hAnsi="Times New Roman"/>
          <w:sz w:val="17"/>
          <w:szCs w:val="17"/>
          <w:color w:val="auto"/>
        </w:rPr>
        <w:t>. The Register of Directors and Officers shall contain:</w:t>
      </w:r>
    </w:p>
    <w:p>
      <w:pPr>
        <w:spacing w:after="0" w:line="135" w:lineRule="exact"/>
        <w:rPr>
          <w:sz w:val="20"/>
          <w:szCs w:val="20"/>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are Directors and Officers;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whose name is entered in the register was appointed as a Director or Officer;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named as a Director or Officer ceased to be a Director or Officer.</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131"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b w:val="1"/>
          <w:bCs w:val="1"/>
          <w:color w:val="auto"/>
        </w:rPr>
        <w:t>Management by Directors</w:t>
      </w:r>
      <w:r>
        <w:rPr>
          <w:rFonts w:ascii="Times New Roman" w:cs="Times New Roman" w:eastAsia="Times New Roman" w:hAnsi="Times New Roman"/>
          <w:sz w:val="18"/>
          <w:szCs w:val="18"/>
          <w:color w:val="auto"/>
        </w:rPr>
        <w:t>. Subject to the provisions of the Companies Act, the Memorandum, these Articles and any directions given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Resolution, the business and affairs of the Company shall be managed by, or under the direction or supervision of, the Directors. The Directors shall have all the powers necessary for managing, and for directing and supervising, the business and affairs of the Company as are not by the Companies Act, the Memorandum, these Articles, or the terms of any Special Resolution required to be exercised by the Members. No alteration of the Memorandum or these Articles or any direction given by Ordinary or Special Resolution shall invalidate any prior act of the Directors that was valid at the time undertaken. A duly convened meeting of Directors at which a quorum is present may exercise all powers exercisable by the Directors.</w:t>
      </w:r>
    </w:p>
    <w:p>
      <w:pPr>
        <w:spacing w:after="0" w:line="88"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b w:val="1"/>
          <w:bCs w:val="1"/>
          <w:color w:val="auto"/>
        </w:rPr>
        <w:t>Good Faith</w:t>
      </w:r>
      <w:r>
        <w:rPr>
          <w:rFonts w:ascii="Times New Roman" w:cs="Times New Roman" w:eastAsia="Times New Roman" w:hAnsi="Times New Roman"/>
          <w:sz w:val="18"/>
          <w:szCs w:val="18"/>
          <w:color w:val="auto"/>
        </w:rPr>
        <w:t>. Each Director shall exercise their powers for a proper purpose. Each Director, in exercising their powers or performing their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act honestly and in good faith in what the Director believes to be the best interests of the Company.</w:t>
      </w:r>
    </w:p>
    <w:p>
      <w:pPr>
        <w:spacing w:after="0" w:line="60" w:lineRule="exact"/>
        <w:rPr>
          <w:sz w:val="20"/>
          <w:szCs w:val="20"/>
          <w:color w:val="auto"/>
        </w:rPr>
      </w:pPr>
    </w:p>
    <w:p>
      <w:pPr>
        <w:jc w:val="both"/>
        <w:ind w:left="54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7"/>
          <w:szCs w:val="17"/>
          <w:b w:val="1"/>
          <w:bCs w:val="1"/>
          <w:color w:val="auto"/>
        </w:rPr>
        <w:t>Acting in Vacancy</w:t>
      </w:r>
      <w:r>
        <w:rPr>
          <w:rFonts w:ascii="Times New Roman" w:cs="Times New Roman" w:eastAsia="Times New Roman" w:hAnsi="Times New Roman"/>
          <w:sz w:val="17"/>
          <w:szCs w:val="17"/>
          <w:color w:val="auto"/>
        </w:rPr>
        <w:t>. The continuing Directors may act notwithstanding any vacancy in their body, but if and for so long as their number is below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minimum number of Directors fixed by or pursuant to these Articles, the continuing Directors may act for the purpose of passing a resolution to appoint further Directors to the Board and of convening a meeting of Members to appoint further Directors but for no other purpose.</w:t>
      </w:r>
    </w:p>
    <w:p>
      <w:pPr>
        <w:spacing w:after="0" w:line="58" w:lineRule="exact"/>
        <w:rPr>
          <w:sz w:val="20"/>
          <w:szCs w:val="20"/>
          <w:color w:val="auto"/>
        </w:rPr>
      </w:pPr>
    </w:p>
    <w:p>
      <w:pPr>
        <w:jc w:val="both"/>
        <w:ind w:left="540" w:right="2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b w:val="1"/>
          <w:bCs w:val="1"/>
          <w:color w:val="auto"/>
        </w:rPr>
        <w:t>Indebtedness and Security</w:t>
      </w:r>
      <w:r>
        <w:rPr>
          <w:rFonts w:ascii="Times New Roman" w:cs="Times New Roman" w:eastAsia="Times New Roman" w:hAnsi="Times New Roman"/>
          <w:sz w:val="18"/>
          <w:szCs w:val="18"/>
          <w:color w:val="auto"/>
        </w:rPr>
        <w:t>. The Directors may exercise all the powers of the Company to incur indebtedness, liabilities, or obligations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debentures, debenture stock, mortgages, bonds, and other such securities and to secure indebtedness, liabilities, or obligations whether of the Company or of any third party.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85" w:name="page86"/>
    <w:bookmarkEnd w:id="8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131"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The quorum for the transaction of the business of the Directors may be fixed by the Directors and, unless so fixed, shall be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there are two (2) or more Directors and shall be one (1) if there is only one (1) Director. A person who holds office as an alternate Director shall be counted in the quorum. A Director who also acts as an alternate Director shall count twice towards the quorum.</w:t>
      </w:r>
    </w:p>
    <w:p>
      <w:pPr>
        <w:spacing w:after="0" w:line="76" w:lineRule="exact"/>
        <w:rPr>
          <w:sz w:val="20"/>
          <w:szCs w:val="20"/>
          <w:color w:val="auto"/>
        </w:rPr>
      </w:pPr>
    </w:p>
    <w:p>
      <w:pPr>
        <w:ind w:left="540" w:right="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Subject to the provisions of these Articles, the Directors may regulate their proceedings as they think fit. Questions arising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shall be decided by a majority of votes. A Director who is also an alternate Director shall be entitled to a separate vote on behalf of their appointor in addition to their own vote.</w:t>
      </w:r>
    </w:p>
    <w:p>
      <w:pPr>
        <w:spacing w:after="0" w:line="76" w:lineRule="exact"/>
        <w:rPr>
          <w:sz w:val="20"/>
          <w:szCs w:val="20"/>
          <w:color w:val="auto"/>
        </w:rPr>
      </w:pPr>
    </w:p>
    <w:p>
      <w:pPr>
        <w:ind w:left="540" w:right="1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b w:val="1"/>
          <w:bCs w:val="1"/>
          <w:color w:val="auto"/>
        </w:rPr>
        <w:t>Conference Call</w:t>
      </w:r>
      <w:r>
        <w:rPr>
          <w:rFonts w:ascii="Times New Roman" w:cs="Times New Roman" w:eastAsia="Times New Roman" w:hAnsi="Times New Roman"/>
          <w:sz w:val="18"/>
          <w:szCs w:val="18"/>
          <w:color w:val="auto"/>
        </w:rPr>
        <w:t>. A person may participate and vote in a meeting of the Directors or committee of Directors by telephone or other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by means of which all the persons participating in the meeting are able to hear each other. Unless otherwise determined by the Directors the meeting shall be deemed to be held at the place where the chair is at the start of the meeting.</w:t>
      </w:r>
    </w:p>
    <w:p>
      <w:pPr>
        <w:spacing w:after="0" w:line="76" w:lineRule="exact"/>
        <w:rPr>
          <w:sz w:val="20"/>
          <w:szCs w:val="20"/>
          <w:color w:val="auto"/>
        </w:rPr>
      </w:pPr>
    </w:p>
    <w:p>
      <w:pPr>
        <w:jc w:val="both"/>
        <w:ind w:left="540" w:right="5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8"/>
          <w:szCs w:val="18"/>
          <w:b w:val="1"/>
          <w:bCs w:val="1"/>
          <w:color w:val="auto"/>
        </w:rPr>
        <w:t>Unanimous Written Resolution</w:t>
      </w:r>
      <w:r>
        <w:rPr>
          <w:rFonts w:ascii="Times New Roman" w:cs="Times New Roman" w:eastAsia="Times New Roman" w:hAnsi="Times New Roman"/>
          <w:sz w:val="18"/>
          <w:szCs w:val="18"/>
          <w:color w:val="auto"/>
        </w:rPr>
        <w:t>. A resolution in writing (in one or more counterparts) signed by all the Directors or all the members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Directors (an alternate Director being entitled to sign any such resolution on behalf of their appointor) shall be as valid and effectual as if it had been passed at a meeting of the Directors, or committee of Directors as the case may be, duly convened and held.</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b w:val="1"/>
          <w:bCs w:val="1"/>
          <w:color w:val="auto"/>
        </w:rPr>
        <w:t>Notice of Meetings</w:t>
      </w:r>
      <w:r>
        <w:rPr>
          <w:rFonts w:ascii="Times New Roman" w:cs="Times New Roman" w:eastAsia="Times New Roman" w:hAnsi="Times New Roman"/>
          <w:sz w:val="17"/>
          <w:szCs w:val="17"/>
          <w:color w:val="auto"/>
        </w:rPr>
        <w:t>. A Director may, or other Officer on the requisition of a Director shall, call a meeting of the Directors by at least two</w:t>
      </w:r>
    </w:p>
    <w:p>
      <w:pPr>
        <w:spacing w:after="0" w:line="31" w:lineRule="exact"/>
        <w:rPr>
          <w:sz w:val="20"/>
          <w:szCs w:val="20"/>
          <w:color w:val="auto"/>
        </w:rPr>
      </w:pPr>
    </w:p>
    <w:p>
      <w:pPr>
        <w:ind w:left="540" w:right="480" w:hanging="4"/>
        <w:spacing w:after="0" w:line="260" w:lineRule="auto"/>
        <w:tabs>
          <w:tab w:leader="none" w:pos="7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in writing to every Director which notice shall set forth the general nature of the business to be considered unless notice is waived by all the Directors either at, before, or after the meeting is held.</w:t>
      </w:r>
    </w:p>
    <w:p>
      <w:pPr>
        <w:spacing w:after="0" w:line="83"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b w:val="1"/>
          <w:bCs w:val="1"/>
          <w:color w:val="auto"/>
        </w:rPr>
        <w:t>Chair of the Board</w:t>
      </w:r>
      <w:r>
        <w:rPr>
          <w:rFonts w:ascii="Times New Roman" w:cs="Times New Roman" w:eastAsia="Times New Roman" w:hAnsi="Times New Roman"/>
          <w:sz w:val="18"/>
          <w:szCs w:val="18"/>
          <w:color w:val="auto"/>
        </w:rPr>
        <w:t>. The Directors may elect a chair of the Board and determine the period for which they are to hold office; but if no such chair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elected, or if at any meeting the chair is not present within five (5) minutes after the time appointed for holding the same, the Directors present may choose one of their number to be chair of the meeting.</w:t>
      </w:r>
    </w:p>
    <w:p>
      <w:pPr>
        <w:spacing w:after="0" w:line="76" w:lineRule="exact"/>
        <w:rPr>
          <w:sz w:val="20"/>
          <w:szCs w:val="20"/>
          <w:color w:val="auto"/>
        </w:rPr>
      </w:pPr>
    </w:p>
    <w:p>
      <w:pPr>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26.7</w:t>
      </w:r>
      <w:r>
        <w:rPr>
          <w:sz w:val="20"/>
          <w:szCs w:val="20"/>
          <w:color w:val="auto"/>
        </w:rPr>
        <w:tab/>
      </w:r>
      <w:r>
        <w:rPr>
          <w:rFonts w:ascii="Times New Roman" w:cs="Times New Roman" w:eastAsia="Times New Roman" w:hAnsi="Times New Roman"/>
          <w:sz w:val="18"/>
          <w:szCs w:val="18"/>
          <w:b w:val="1"/>
          <w:bCs w:val="1"/>
          <w:color w:val="auto"/>
        </w:rPr>
        <w:t>Defects</w:t>
      </w:r>
      <w:r>
        <w:rPr>
          <w:rFonts w:ascii="Times New Roman" w:cs="Times New Roman" w:eastAsia="Times New Roman" w:hAnsi="Times New Roman"/>
          <w:sz w:val="18"/>
          <w:szCs w:val="18"/>
          <w:color w:val="auto"/>
        </w:rPr>
        <w:t>. Absent fraud, all acts done by any meeting of the Directors or a committee of Directors shall, notwithstanding that it be afterwards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86" w:name="page87"/>
    <w:bookmarkEnd w:id="8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w:t>
      </w:r>
      <w:r>
        <w:rPr>
          <w:sz w:val="20"/>
          <w:szCs w:val="20"/>
          <w:color w:val="auto"/>
        </w:rPr>
        <w:tab/>
      </w:r>
      <w:r>
        <w:rPr>
          <w:rFonts w:ascii="Times New Roman" w:cs="Times New Roman" w:eastAsia="Times New Roman" w:hAnsi="Times New Roman"/>
          <w:sz w:val="18"/>
          <w:szCs w:val="18"/>
          <w:b w:val="1"/>
          <w:bCs w:val="1"/>
          <w:color w:val="auto"/>
        </w:rPr>
        <w:t>PRESUMPTION OF ASSENT</w:t>
      </w:r>
    </w:p>
    <w:p>
      <w:pPr>
        <w:spacing w:after="0" w:line="13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27.1</w:t>
        <w:tab/>
        <w:t>A Director who is present at a meeting of the Board at which action on any Company matter is taken shall be presumed to have assented to the action taken unless their dissent shall be entered in the minutes of the meeting or unless they shall file their written dissent from such action with the person acting as the chair or secretary of the meeting before the adjournment thereof. Such right to dissent shall not apply to a Director who voted in favour of such action.</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131" w:lineRule="exact"/>
        <w:rPr>
          <w:sz w:val="20"/>
          <w:szCs w:val="20"/>
          <w:color w:val="auto"/>
        </w:rPr>
      </w:pPr>
    </w:p>
    <w:p>
      <w:pPr>
        <w:ind w:left="540" w:right="1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b w:val="1"/>
          <w:bCs w:val="1"/>
          <w:color w:val="auto"/>
        </w:rPr>
        <w:t>Other Office</w:t>
      </w:r>
      <w:r>
        <w:rPr>
          <w:rFonts w:ascii="Times New Roman" w:cs="Times New Roman" w:eastAsia="Times New Roman" w:hAnsi="Times New Roman"/>
          <w:sz w:val="18"/>
          <w:szCs w:val="18"/>
          <w:color w:val="auto"/>
        </w:rPr>
        <w:t>. A Director may hold any other office or place of profit under the Company (other than the office of Auditor) in conjunction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office of Director for such period and on such terms as to remuneration and otherwise as the Directors may determine. A Director may act by themself or their firm in a professional capacity for the Company and they or their firm shall be entitled to remuneration for professional services as if they were not a Director or alternate Director.</w:t>
      </w:r>
    </w:p>
    <w:p>
      <w:pPr>
        <w:spacing w:after="0" w:line="82" w:lineRule="exact"/>
        <w:rPr>
          <w:sz w:val="20"/>
          <w:szCs w:val="20"/>
          <w:color w:val="auto"/>
        </w:rPr>
      </w:pPr>
    </w:p>
    <w:p>
      <w:pPr>
        <w:ind w:left="540" w:right="1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b w:val="1"/>
          <w:bCs w:val="1"/>
          <w:color w:val="auto"/>
        </w:rPr>
        <w:t>No Exclusivity</w:t>
      </w:r>
      <w:r>
        <w:rPr>
          <w:rFonts w:ascii="Times New Roman" w:cs="Times New Roman" w:eastAsia="Times New Roman" w:hAnsi="Times New Roman"/>
          <w:sz w:val="18"/>
          <w:szCs w:val="18"/>
          <w:color w:val="auto"/>
        </w:rPr>
        <w:t>. A Director or alternate Director may be or become a director or other officer of or otherwise interested in any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promoted by the Company or in which the Company may be interested as shareholder or otherwise, and no such Director or alternate Director shall be accountable to the Company for any remuneration or other benefits received by them as a director or officer of, or from their interest in, such other company.</w:t>
      </w:r>
    </w:p>
    <w:p>
      <w:pPr>
        <w:spacing w:after="0" w:line="82" w:lineRule="exact"/>
        <w:rPr>
          <w:sz w:val="20"/>
          <w:szCs w:val="20"/>
          <w:color w:val="auto"/>
        </w:rPr>
      </w:pPr>
    </w:p>
    <w:p>
      <w:pPr>
        <w:ind w:left="540" w:right="12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b w:val="1"/>
          <w:bCs w:val="1"/>
          <w:color w:val="auto"/>
        </w:rPr>
        <w:t>Disclosure of Interests</w:t>
      </w:r>
      <w:r>
        <w:rPr>
          <w:rFonts w:ascii="Times New Roman" w:cs="Times New Roman" w:eastAsia="Times New Roman" w:hAnsi="Times New Roman"/>
          <w:sz w:val="18"/>
          <w:szCs w:val="18"/>
          <w:color w:val="auto"/>
        </w:rPr>
        <w:t>. No person shall be disqualified from the office of Director or alternate Director or prevented by such office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contracting with the Company, either as vendor, purchaser or otherwise, nor shall any such contract or any other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their alternate Director in their absence) shall be at liberty to vote in respect of any contract or transaction in which they are interested provided that the nature of the interest of any Director or alternate Director in any such contract or transaction shall be disclosed by them at or prior to its consideration and any vote thereon.</w:t>
      </w:r>
    </w:p>
    <w:p>
      <w:pPr>
        <w:spacing w:after="0" w:line="90"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b w:val="1"/>
          <w:bCs w:val="1"/>
          <w:color w:val="auto"/>
        </w:rPr>
        <w:t>General Notice of Interests</w:t>
      </w:r>
      <w:r>
        <w:rPr>
          <w:rFonts w:ascii="Times New Roman" w:cs="Times New Roman" w:eastAsia="Times New Roman" w:hAnsi="Times New Roman"/>
          <w:sz w:val="18"/>
          <w:szCs w:val="18"/>
          <w:color w:val="auto"/>
        </w:rPr>
        <w:t>. A general notice that a Director or alternate Director is a shareholder, director, officer, or employee of any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or company and is to be regarded as interested in any transaction with such firm or company shall be sufficient disclosure for the purposes of voting on a resolution in respect of a contract or transaction in which they have an interest, and after such general notice it shall not be necessary to give special notice relating to any particular transaction.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87" w:name="page88"/>
    <w:bookmarkEnd w:id="8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131"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b w:val="1"/>
          <w:bCs w:val="1"/>
          <w:color w:val="auto"/>
        </w:rPr>
        <w:t xml:space="preserve">Minutes. </w:t>
      </w:r>
      <w:r>
        <w:rPr>
          <w:rFonts w:ascii="Times New Roman" w:cs="Times New Roman" w:eastAsia="Times New Roman" w:hAnsi="Times New Roman"/>
          <w:sz w:val="18"/>
          <w:szCs w:val="18"/>
          <w:color w:val="auto"/>
        </w:rPr>
        <w:t>The Directors shall cause minutes to be made in books kept for the purpose of all appointments of Officers made by the Directors,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at meetings of the Company or the holders of any class of Shares and of the Directors, and of committees of Directors including the names of the Directors or alternate Directors present at each meeting.</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DELEGATION OF DIRECTORS’ POWERS</w:t>
      </w:r>
    </w:p>
    <w:p>
      <w:pPr>
        <w:spacing w:after="0" w:line="131" w:lineRule="exact"/>
        <w:rPr>
          <w:sz w:val="20"/>
          <w:szCs w:val="20"/>
          <w:color w:val="auto"/>
        </w:rPr>
      </w:pPr>
    </w:p>
    <w:p>
      <w:pPr>
        <w:ind w:left="540" w:hanging="539"/>
        <w:spacing w:after="0" w:line="275" w:lineRule="auto"/>
        <w:tabs>
          <w:tab w:leader="none" w:pos="52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b w:val="1"/>
          <w:bCs w:val="1"/>
          <w:color w:val="auto"/>
        </w:rPr>
        <w:t>Delegation</w:t>
      </w:r>
      <w:r>
        <w:rPr>
          <w:rFonts w:ascii="Times New Roman" w:cs="Times New Roman" w:eastAsia="Times New Roman" w:hAnsi="Times New Roman"/>
          <w:sz w:val="17"/>
          <w:szCs w:val="17"/>
          <w:color w:val="auto"/>
        </w:rPr>
        <w:t>. The Directors may delegate any of their powers to any committee consisting of one or more Directors (including, without limitation,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Audit Committee and the Compensation Committee). They may also delegate to any managing director or any Director holding any other executive office such of their powers as they consider desirable to be exercised by them provided that an alternate Director may not act as managing director and the appointment of a managing director shall automatically terminate if they cease to be a Director. Any such delegation may be made subject to any conditions the Directors may impose and may be revoked or altered. Subject to any such conditions, the proceedings of a committee of Directors shall be governed by the Articles regulating the proceedings of Directors, so far as they are capable of applying.</w:t>
      </w:r>
    </w:p>
    <w:p>
      <w:pPr>
        <w:spacing w:after="0" w:line="74" w:lineRule="exact"/>
        <w:rPr>
          <w:sz w:val="20"/>
          <w:szCs w:val="20"/>
          <w:color w:val="auto"/>
        </w:rPr>
      </w:pPr>
    </w:p>
    <w:p>
      <w:pPr>
        <w:ind w:left="540" w:right="2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The Directors may establish any committees, local boards, or agencies or appoint any person to be a manager or agent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the affairs of the Company and may appoint any person to be a member of such committees or local boards. Any such appointment may be made subject to any conditions the Directors may impose, and may be revoked or altered. Subject to any such conditions, the proceedings of any such committee, local board, or agency shall be governed by the Articles regulating the proceedings of Directors, so far as they are capable of applying.</w:t>
      </w:r>
    </w:p>
    <w:p>
      <w:pPr>
        <w:spacing w:after="0" w:line="85"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b w:val="1"/>
          <w:bCs w:val="1"/>
          <w:color w:val="auto"/>
        </w:rPr>
        <w:t xml:space="preserve">Committee Charters. </w:t>
      </w:r>
      <w:r>
        <w:rPr>
          <w:rFonts w:ascii="Times New Roman" w:cs="Times New Roman" w:eastAsia="Times New Roman" w:hAnsi="Times New Roman"/>
          <w:sz w:val="18"/>
          <w:szCs w:val="18"/>
          <w:color w:val="auto"/>
        </w:rPr>
        <w:t>The Directors may adopt formal written charters for committees. Each of these committees shall be empowered to do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things necessary to exercise the rights of such committee set forth in the Articles and shall have such powers as the Directors may delegate pursuant to the Articles and as required by the rules and regulations of the Designated Stock Exchange, the SEC, and/or any other competent regulatory authority or otherwise under Applicable Law. Each of the Audit Committee and the Compensation Committee, if established, shall consist of such number of Directors as the Directors shall from time to time determine (or such minimum number as may be required from time to time by the rules and regulations of the Designated Stock Exchange, the SEC, and/or any other competent regulatory authority or otherwise under Applicable Law).</w:t>
      </w:r>
    </w:p>
    <w:p>
      <w:pPr>
        <w:spacing w:after="0" w:line="88" w:lineRule="exact"/>
        <w:rPr>
          <w:sz w:val="20"/>
          <w:szCs w:val="20"/>
          <w:color w:val="auto"/>
        </w:rPr>
      </w:pPr>
    </w:p>
    <w:p>
      <w:pPr>
        <w:ind w:left="540" w:right="8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b w:val="1"/>
          <w:bCs w:val="1"/>
          <w:color w:val="auto"/>
        </w:rPr>
        <w:t>Third Party Delegation</w:t>
      </w:r>
      <w:r>
        <w:rPr>
          <w:rFonts w:ascii="Times New Roman" w:cs="Times New Roman" w:eastAsia="Times New Roman" w:hAnsi="Times New Roman"/>
          <w:sz w:val="18"/>
          <w:szCs w:val="18"/>
          <w:color w:val="auto"/>
        </w:rPr>
        <w:t>. The Directors may by power of attorney or otherwise appoint any company, firm, person, or body of persons,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nominated directly or indirectly by the Directors, to be the attorney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88" w:name="page89"/>
    <w:bookmarkEnd w:id="88"/>
    <w:p>
      <w:pPr>
        <w:jc w:val="both"/>
        <w:ind w:left="540" w:right="1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30.5</w:t>
      </w:r>
      <w:r>
        <w:rPr>
          <w:sz w:val="20"/>
          <w:szCs w:val="20"/>
          <w:color w:val="auto"/>
        </w:rPr>
        <w:tab/>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The Directors may appoint such Officers as they consider necessary on such terms, at such remuneration and to perform such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such provisions as to disqualification and removal as the Directors may think fit. Unless otherwise specified in the terms of their appointment an Officer may be removed by the Directors.</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ALTERNATE DIRECTORS</w:t>
      </w:r>
    </w:p>
    <w:p>
      <w:pPr>
        <w:spacing w:after="0" w:line="131" w:lineRule="exact"/>
        <w:rPr>
          <w:sz w:val="20"/>
          <w:szCs w:val="20"/>
          <w:color w:val="auto"/>
        </w:rPr>
      </w:pPr>
    </w:p>
    <w:p>
      <w:pPr>
        <w:jc w:val="both"/>
        <w:ind w:left="5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b w:val="1"/>
          <w:bCs w:val="1"/>
          <w:color w:val="auto"/>
        </w:rPr>
        <w:t>Alternate Appointment</w:t>
      </w:r>
      <w:r>
        <w:rPr>
          <w:rFonts w:ascii="Times New Roman" w:cs="Times New Roman" w:eastAsia="Times New Roman" w:hAnsi="Times New Roman"/>
          <w:sz w:val="18"/>
          <w:szCs w:val="18"/>
          <w:color w:val="auto"/>
        </w:rPr>
        <w:t>. Any Director (other than an alternate Director) may by writing in notice to the Company appoint any other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willing to act, to be an alternate Director.</w:t>
      </w:r>
    </w:p>
    <w:p>
      <w:pPr>
        <w:spacing w:after="0" w:line="60" w:lineRule="exact"/>
        <w:rPr>
          <w:sz w:val="20"/>
          <w:szCs w:val="20"/>
          <w:color w:val="auto"/>
        </w:rPr>
      </w:pPr>
    </w:p>
    <w:p>
      <w:pPr>
        <w:jc w:val="both"/>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b w:val="1"/>
          <w:bCs w:val="1"/>
          <w:color w:val="auto"/>
        </w:rPr>
        <w:t>Conduct of Alternates</w:t>
      </w:r>
      <w:r>
        <w:rPr>
          <w:rFonts w:ascii="Times New Roman" w:cs="Times New Roman" w:eastAsia="Times New Roman" w:hAnsi="Times New Roman"/>
          <w:sz w:val="18"/>
          <w:szCs w:val="18"/>
          <w:color w:val="auto"/>
        </w:rPr>
        <w:t>. An alternate Director shall be entitled to receive notice of all meetings of Directors and of all meetings of committees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which their appointor is a member, to attend and vote at every such meeting at which the Director appointing them is not personally present and, save as expressly provided herein, to perform all the functions and exercise all of the powers of their appointor as a Director in their absence.</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b w:val="1"/>
          <w:bCs w:val="1"/>
          <w:color w:val="auto"/>
        </w:rPr>
        <w:t>Automatic termination</w:t>
      </w:r>
      <w:r>
        <w:rPr>
          <w:rFonts w:ascii="Times New Roman" w:cs="Times New Roman" w:eastAsia="Times New Roman" w:hAnsi="Times New Roman"/>
          <w:sz w:val="17"/>
          <w:szCs w:val="17"/>
          <w:color w:val="auto"/>
        </w:rPr>
        <w:t>. An alternate Director shall cease to be an alternate Director if their appointor ceases to be a Director.</w:t>
      </w:r>
    </w:p>
    <w:p>
      <w:pPr>
        <w:spacing w:after="0" w:line="131" w:lineRule="exact"/>
        <w:rPr>
          <w:sz w:val="20"/>
          <w:szCs w:val="20"/>
          <w:color w:val="auto"/>
        </w:rPr>
      </w:pPr>
    </w:p>
    <w:p>
      <w:pPr>
        <w:ind w:left="540" w:right="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b w:val="1"/>
          <w:bCs w:val="1"/>
          <w:color w:val="auto"/>
        </w:rPr>
        <w:t>No Agency</w:t>
      </w:r>
      <w:r>
        <w:rPr>
          <w:rFonts w:ascii="Times New Roman" w:cs="Times New Roman" w:eastAsia="Times New Roman" w:hAnsi="Times New Roman"/>
          <w:sz w:val="18"/>
          <w:szCs w:val="18"/>
          <w:color w:val="auto"/>
        </w:rPr>
        <w:t>. An alternate Director shall be deemed for all purposes to be a Director and shall alone be responsible for their own acts and defaults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to be the agent of the Director appointing them.</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NO MINIMUM SHAREHOLDING</w:t>
      </w:r>
    </w:p>
    <w:p>
      <w:pPr>
        <w:spacing w:after="0" w:line="131" w:lineRule="exact"/>
        <w:rPr>
          <w:sz w:val="20"/>
          <w:szCs w:val="20"/>
          <w:color w:val="auto"/>
        </w:rPr>
      </w:pPr>
    </w:p>
    <w:p>
      <w:pPr>
        <w:ind w:left="540" w:right="1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b w:val="1"/>
          <w:bCs w:val="1"/>
          <w:color w:val="auto"/>
        </w:rPr>
        <w:t xml:space="preserve">No Minimum Shareholding. </w:t>
      </w:r>
      <w:r>
        <w:rPr>
          <w:rFonts w:ascii="Times New Roman" w:cs="Times New Roman" w:eastAsia="Times New Roman" w:hAnsi="Times New Roman"/>
          <w:sz w:val="18"/>
          <w:szCs w:val="18"/>
          <w:color w:val="auto"/>
        </w:rPr>
        <w:t>The Company in general meeting may fix a minimum shareholding required to be held by a Director but,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until such a shareholding qualification is fixed, a Director is not required to hold Shares.</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131"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b w:val="1"/>
          <w:bCs w:val="1"/>
          <w:color w:val="auto"/>
        </w:rPr>
        <w:t>Office Remuneration</w:t>
      </w:r>
      <w:r>
        <w:rPr>
          <w:rFonts w:ascii="Times New Roman" w:cs="Times New Roman" w:eastAsia="Times New Roman" w:hAnsi="Times New Roman"/>
          <w:sz w:val="18"/>
          <w:szCs w:val="18"/>
          <w:color w:val="auto"/>
        </w:rPr>
        <w:t>. The remuneration to be paid to the Directors, if any, shall be such remuneration as the Directors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to receive a fixed allowance in respect thereof as may be determined by the Directors, or a combination of such methods.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66" w:right="479" w:bottom="1440" w:gutter="0" w:footer="0" w:header="0"/>
        </w:sectPr>
      </w:pPr>
    </w:p>
    <w:bookmarkStart w:id="89" w:name="page90"/>
    <w:bookmarkEnd w:id="89"/>
    <w:p>
      <w:pPr>
        <w:ind w:left="540" w:right="2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33.2</w:t>
      </w:r>
      <w:r>
        <w:rPr>
          <w:sz w:val="20"/>
          <w:szCs w:val="20"/>
          <w:color w:val="auto"/>
        </w:rPr>
        <w:tab/>
      </w:r>
      <w:r>
        <w:rPr>
          <w:rFonts w:ascii="Times New Roman" w:cs="Times New Roman" w:eastAsia="Times New Roman" w:hAnsi="Times New Roman"/>
          <w:sz w:val="18"/>
          <w:szCs w:val="18"/>
          <w:b w:val="1"/>
          <w:bCs w:val="1"/>
          <w:color w:val="auto"/>
        </w:rPr>
        <w:t>Additional Remuneration</w:t>
      </w:r>
      <w:r>
        <w:rPr>
          <w:rFonts w:ascii="Times New Roman" w:cs="Times New Roman" w:eastAsia="Times New Roman" w:hAnsi="Times New Roman"/>
          <w:sz w:val="18"/>
          <w:szCs w:val="18"/>
          <w:color w:val="auto"/>
        </w:rPr>
        <w:t>. The Directors may by resolution approve additional remuneration to any Director for any services other than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routine work as a Director. Any fees paid to a Director who is also counsel or solicitor to the Company, or otherwise serves it in a professional capacity shall be in addition to their remuneration as a Director.</w:t>
      </w:r>
    </w:p>
    <w:p>
      <w:pPr>
        <w:spacing w:after="0" w:line="76"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b w:val="1"/>
          <w:bCs w:val="1"/>
          <w:color w:val="auto"/>
        </w:rPr>
        <w:t>Pensions</w:t>
      </w:r>
      <w:r>
        <w:rPr>
          <w:rFonts w:ascii="Times New Roman" w:cs="Times New Roman" w:eastAsia="Times New Roman" w:hAnsi="Times New Roman"/>
          <w:sz w:val="18"/>
          <w:szCs w:val="18"/>
          <w:color w:val="auto"/>
        </w:rPr>
        <w:t>. The Directors, on behalf of the Company, may pay a gratuity or pension or allowance on retirement to any Director who has held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salaried office or place of profit with the Company or to their widow or dependants and may make contributions to any fund and pay premiums for the purchase or provision of any such gratuity, pension, or allowance.</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31"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b w:val="1"/>
          <w:bCs w:val="1"/>
          <w:color w:val="auto"/>
        </w:rPr>
        <w:t>Indemnity and Exclusion of Liability</w:t>
      </w:r>
      <w:r>
        <w:rPr>
          <w:rFonts w:ascii="Times New Roman" w:cs="Times New Roman" w:eastAsia="Times New Roman" w:hAnsi="Times New Roman"/>
          <w:sz w:val="18"/>
          <w:szCs w:val="18"/>
          <w:color w:val="auto"/>
        </w:rPr>
        <w:t>. Every Director, alternate Director, or Officer shall be indemnified out of the assets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liability incurred by them as a result of any act or failure to act in carrying out their functions other than such liability (if any) that they may incur by their own actual fraud or wilful default. No such Director, alternate Director, or Officer shall be liable to the Company for any loss or damage in carrying out their functions unless that liability arises through the actual fraud or wilful default of such Director or Officer. References in this Article 34 to actual fraud or wilful default mean a finding to such effect by a competent court in relation to the conduct of the relevant party.</w:t>
      </w:r>
    </w:p>
    <w:p>
      <w:pPr>
        <w:spacing w:after="0" w:line="88" w:lineRule="exact"/>
        <w:rPr>
          <w:sz w:val="20"/>
          <w:szCs w:val="20"/>
          <w:color w:val="auto"/>
        </w:rPr>
      </w:pPr>
    </w:p>
    <w:p>
      <w:pPr>
        <w:ind w:left="540" w:right="2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8"/>
          <w:szCs w:val="18"/>
          <w:b w:val="1"/>
          <w:bCs w:val="1"/>
          <w:color w:val="auto"/>
        </w:rPr>
        <w:t>Advancement of Expenses</w:t>
      </w:r>
      <w:r>
        <w:rPr>
          <w:rFonts w:ascii="Times New Roman" w:cs="Times New Roman" w:eastAsia="Times New Roman" w:hAnsi="Times New Roman"/>
          <w:sz w:val="18"/>
          <w:szCs w:val="18"/>
          <w:color w:val="auto"/>
        </w:rPr>
        <w:t>. Expenses, including legal fees, incurred by a Director, alternate Director, or Officer, or former Director,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or Officer in defending any legal, administrative, or investigative proceedings may be paid by the Company in advance of the final disposition of such proceedings upon receipt of an undertaking by such party to repay the amount if it shall ultimately be determined that such Director, alternate Director, or Officer is not entitled to be indemnified by the Company and upon such terms and conditions, if any, as the Company deems appropriate.</w:t>
      </w:r>
    </w:p>
    <w:p>
      <w:pPr>
        <w:spacing w:after="0" w:line="85"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The Company may purchase and maintain insurance in relation to any person who is or was a Director, alternate Director,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liquidator of the Company, or who at the request of the Company is or was serving as a Director, alternate Director, Officer, or liquidator of, or in any other capacity is or was acting for, another body corporate or a partnership, joint venture, trust, or other enterprise, against any liability asserted against the person and incurred by the person in that capacity.</w:t>
      </w:r>
    </w:p>
    <w:p>
      <w:pPr>
        <w:spacing w:after="0" w:line="3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RECORDS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b w:val="1"/>
          <w:bCs w:val="1"/>
          <w:color w:val="auto"/>
        </w:rPr>
        <w:t>Registered Office Records</w:t>
      </w:r>
      <w:r>
        <w:rPr>
          <w:rFonts w:ascii="Times New Roman" w:cs="Times New Roman" w:eastAsia="Times New Roman" w:hAnsi="Times New Roman"/>
          <w:sz w:val="17"/>
          <w:szCs w:val="17"/>
          <w:color w:val="auto"/>
        </w:rPr>
        <w:t>. The Company shall keep the following documents at the Registered Office:</w:t>
      </w:r>
    </w:p>
    <w:p>
      <w:pPr>
        <w:spacing w:after="0" w:line="135" w:lineRule="exact"/>
        <w:rPr>
          <w:sz w:val="20"/>
          <w:szCs w:val="20"/>
          <w:color w:val="auto"/>
        </w:rPr>
      </w:pPr>
    </w:p>
    <w:p>
      <w:pPr>
        <w:ind w:left="5420" w:right="2380" w:hanging="4884"/>
        <w:spacing w:after="0" w:line="454" w:lineRule="auto"/>
        <w:tabs>
          <w:tab w:leader="none" w:pos="11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and any certificate on change of name of the Company; 38</w:t>
      </w:r>
    </w:p>
    <w:p>
      <w:pPr>
        <w:sectPr>
          <w:pgSz w:w="11900" w:h="16838" w:orient="portrait"/>
          <w:cols w:equalWidth="0" w:num="1">
            <w:col w:w="11000"/>
          </w:cols>
          <w:pgMar w:left="440" w:top="266" w:right="459" w:bottom="1440" w:gutter="0" w:footer="0" w:header="0"/>
        </w:sectPr>
      </w:pPr>
    </w:p>
    <w:bookmarkStart w:id="90" w:name="page91"/>
    <w:bookmarkEnd w:id="90"/>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Memorandum and Articles;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Directors and Officers; and</w:t>
      </w:r>
    </w:p>
    <w:p>
      <w:pPr>
        <w:spacing w:after="0" w:line="130"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has created a security interest over any of its assets, the Register of Mortgages and Charges required to be maintained by the Company under Section 54 of the Companies Act.</w:t>
      </w:r>
    </w:p>
    <w:p>
      <w:pPr>
        <w:spacing w:after="0" w:line="63"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b w:val="1"/>
          <w:bCs w:val="1"/>
          <w:color w:val="auto"/>
        </w:rPr>
        <w:t>Other Corporate Records</w:t>
      </w:r>
      <w:r>
        <w:rPr>
          <w:rFonts w:ascii="Times New Roman" w:cs="Times New Roman" w:eastAsia="Times New Roman" w:hAnsi="Times New Roman"/>
          <w:sz w:val="18"/>
          <w:szCs w:val="18"/>
          <w:color w:val="auto"/>
        </w:rPr>
        <w:t>. The Company shall keep the following records at the Registered Office or at such other place or places, within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the Cayman Islands, as the Directors may determine:</w:t>
      </w:r>
    </w:p>
    <w:p>
      <w:pPr>
        <w:spacing w:after="0" w:line="64" w:lineRule="exact"/>
        <w:rPr>
          <w:sz w:val="20"/>
          <w:szCs w:val="20"/>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Ordinary Resolutions, and Special Resolutions of Members and classes of Members;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Members;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Directors and committees of Directors.</w:t>
      </w:r>
    </w:p>
    <w:p>
      <w:pPr>
        <w:spacing w:after="0" w:line="127" w:lineRule="exact"/>
        <w:rPr>
          <w:sz w:val="20"/>
          <w:szCs w:val="20"/>
          <w:color w:val="auto"/>
        </w:rPr>
      </w:pPr>
    </w:p>
    <w:p>
      <w:pPr>
        <w:ind w:left="5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b w:val="1"/>
          <w:bCs w:val="1"/>
          <w:color w:val="auto"/>
        </w:rPr>
        <w:t>Electronic Form</w:t>
      </w:r>
      <w:r>
        <w:rPr>
          <w:rFonts w:ascii="Times New Roman" w:cs="Times New Roman" w:eastAsia="Times New Roman" w:hAnsi="Times New Roman"/>
          <w:sz w:val="18"/>
          <w:szCs w:val="18"/>
          <w:color w:val="auto"/>
        </w:rPr>
        <w:t>. All of the registers and records kept by the Company under these Articles shall be in written form or either wholly or partly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Records complying with the requirements of the Electronic Transactions Act.</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b w:val="1"/>
          <w:bCs w:val="1"/>
          <w:color w:val="auto"/>
        </w:rPr>
        <w:t>AUTHENTICATION OF DOCUMENTS</w:t>
      </w:r>
    </w:p>
    <w:p>
      <w:pPr>
        <w:spacing w:after="0" w:line="131"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8"/>
          <w:szCs w:val="18"/>
          <w:b w:val="1"/>
          <w:bCs w:val="1"/>
          <w:color w:val="auto"/>
        </w:rPr>
        <w:t xml:space="preserve">Authentication of Documents. </w:t>
      </w:r>
      <w:r>
        <w:rPr>
          <w:rFonts w:ascii="Times New Roman" w:cs="Times New Roman" w:eastAsia="Times New Roman" w:hAnsi="Times New Roman"/>
          <w:sz w:val="18"/>
          <w:szCs w:val="18"/>
          <w:color w:val="auto"/>
        </w:rPr>
        <w:t>Any Director, the Secretary, or any person appointed by the Board for the purpose may authenticate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affecting the constitution of the Company and any resolution passed by the Company, the Board, or any committee, and any books, records, documents, and accounts relating to the business of the Company, and to certify copies thereof or extracts therefrom as true copies or extracts, and if any books, records, documents, or accounts are elsewhere than at the Registered Office or the head office of the local manager or other Officer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DESTRUCTION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7"/>
          <w:szCs w:val="17"/>
          <w:b w:val="1"/>
          <w:bCs w:val="1"/>
          <w:color w:val="auto"/>
        </w:rPr>
        <w:t xml:space="preserve">Destruction. </w:t>
      </w:r>
      <w:r>
        <w:rPr>
          <w:rFonts w:ascii="Times New Roman" w:cs="Times New Roman" w:eastAsia="Times New Roman" w:hAnsi="Times New Roman"/>
          <w:sz w:val="17"/>
          <w:szCs w:val="17"/>
          <w:color w:val="auto"/>
        </w:rPr>
        <w:t>The Company shall be entitled to destroy the following documents at the following times:</w:t>
      </w:r>
    </w:p>
    <w:p>
      <w:pPr>
        <w:spacing w:after="0" w:line="135" w:lineRule="exact"/>
        <w:rPr>
          <w:sz w:val="20"/>
          <w:szCs w:val="20"/>
          <w:color w:val="auto"/>
        </w:rPr>
      </w:pPr>
    </w:p>
    <w:p>
      <w:pPr>
        <w:jc w:val="center"/>
        <w:ind w:left="5420" w:right="820" w:hanging="4884"/>
        <w:spacing w:after="0" w:line="454" w:lineRule="auto"/>
        <w:tabs>
          <w:tab w:leader="none" w:pos="11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(1) year from the date of such cancellation; 39</w:t>
      </w:r>
    </w:p>
    <w:p>
      <w:pPr>
        <w:sectPr>
          <w:pgSz w:w="11900" w:h="16838" w:orient="portrait"/>
          <w:cols w:equalWidth="0" w:num="1">
            <w:col w:w="10960"/>
          </w:cols>
          <w:pgMar w:left="440" w:top="270" w:right="499" w:bottom="1440" w:gutter="0" w:footer="0" w:header="0"/>
        </w:sectPr>
      </w:pPr>
    </w:p>
    <w:bookmarkStart w:id="91" w:name="page92"/>
    <w:bookmarkEnd w:id="91"/>
    <w:p>
      <w:pPr>
        <w:ind w:left="1140" w:right="320" w:hanging="644"/>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67" w:lineRule="exact"/>
        <w:rPr>
          <w:rFonts w:ascii="Times New Roman" w:cs="Times New Roman" w:eastAsia="Times New Roman" w:hAnsi="Times New Roman"/>
          <w:sz w:val="18"/>
          <w:szCs w:val="18"/>
          <w:color w:val="auto"/>
        </w:rPr>
      </w:pPr>
    </w:p>
    <w:p>
      <w:pPr>
        <w:ind w:left="1140" w:right="760" w:hanging="644"/>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seven (7) years from the date of registration;</w:t>
      </w:r>
    </w:p>
    <w:p>
      <w:pPr>
        <w:spacing w:after="0" w:line="67" w:lineRule="exact"/>
        <w:rPr>
          <w:rFonts w:ascii="Times New Roman" w:cs="Times New Roman" w:eastAsia="Times New Roman" w:hAnsi="Times New Roman"/>
          <w:sz w:val="18"/>
          <w:szCs w:val="18"/>
          <w:color w:val="auto"/>
        </w:rPr>
      </w:pPr>
    </w:p>
    <w:p>
      <w:pPr>
        <w:ind w:left="1140" w:hanging="644"/>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allotment letters after the expiry of seven (7) years from the date of issue thereof;</w:t>
      </w:r>
    </w:p>
    <w:p>
      <w:pPr>
        <w:spacing w:after="0" w:line="130" w:lineRule="exact"/>
        <w:rPr>
          <w:rFonts w:ascii="Times New Roman" w:cs="Times New Roman" w:eastAsia="Times New Roman" w:hAnsi="Times New Roman"/>
          <w:sz w:val="18"/>
          <w:szCs w:val="18"/>
          <w:color w:val="auto"/>
        </w:rPr>
      </w:pPr>
    </w:p>
    <w:p>
      <w:pPr>
        <w:ind w:left="1140" w:right="360" w:hanging="644"/>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54"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entry in the Register of Members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89" w:lineRule="exact"/>
        <w:rPr>
          <w:sz w:val="20"/>
          <w:szCs w:val="20"/>
          <w:color w:val="auto"/>
        </w:rPr>
      </w:pPr>
    </w:p>
    <w:p>
      <w:pPr>
        <w:ind w:left="1700" w:right="180" w:hanging="543"/>
        <w:spacing w:after="0" w:line="282" w:lineRule="auto"/>
        <w:tabs>
          <w:tab w:leader="none" w:pos="1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Article 37 shall apply only to the destruction of a document in good faith and without express notice to the Company that the preservation of such document was relevant to a claim;</w:t>
      </w:r>
    </w:p>
    <w:p>
      <w:pPr>
        <w:spacing w:after="0" w:line="67" w:lineRule="exact"/>
        <w:rPr>
          <w:rFonts w:ascii="Times New Roman" w:cs="Times New Roman" w:eastAsia="Times New Roman" w:hAnsi="Times New Roman"/>
          <w:sz w:val="18"/>
          <w:szCs w:val="18"/>
          <w:color w:val="auto"/>
        </w:rPr>
      </w:pPr>
    </w:p>
    <w:p>
      <w:pPr>
        <w:ind w:left="1700" w:right="40" w:hanging="543"/>
        <w:spacing w:after="0" w:line="266" w:lineRule="auto"/>
        <w:tabs>
          <w:tab w:leader="none" w:pos="1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37 shall be construed as imposing upon the Company any liability in respect of the destruction of any such document earlier than as aforesaid or in any case where the conditions of proviso Article 37.1(e)(i) above are not fulfilled; and</w:t>
      </w:r>
    </w:p>
    <w:p>
      <w:pPr>
        <w:spacing w:after="0" w:line="81" w:lineRule="exact"/>
        <w:rPr>
          <w:rFonts w:ascii="Times New Roman" w:cs="Times New Roman" w:eastAsia="Times New Roman" w:hAnsi="Times New Roman"/>
          <w:sz w:val="18"/>
          <w:szCs w:val="18"/>
          <w:color w:val="auto"/>
        </w:rPr>
      </w:pPr>
    </w:p>
    <w:p>
      <w:pPr>
        <w:ind w:left="1700" w:hanging="543"/>
        <w:spacing w:after="0"/>
        <w:tabs>
          <w:tab w:leader="none" w:pos="1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37 to the destruction of any document include references to its disposal in any manner.</w:t>
      </w:r>
    </w:p>
    <w:p>
      <w:pPr>
        <w:spacing w:after="0" w:line="127" w:lineRule="exact"/>
        <w:rPr>
          <w:sz w:val="20"/>
          <w:szCs w:val="20"/>
          <w:color w:val="auto"/>
        </w:rPr>
      </w:pPr>
    </w:p>
    <w:p>
      <w:pPr>
        <w:ind w:left="500" w:hanging="539"/>
        <w:spacing w:after="0" w:line="259" w:lineRule="auto"/>
        <w:tabs>
          <w:tab w:leader="none" w:pos="48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b w:val="1"/>
          <w:bCs w:val="1"/>
          <w:color w:val="auto"/>
        </w:rPr>
        <w:t xml:space="preserve">Good Faith. </w:t>
      </w:r>
      <w:r>
        <w:rPr>
          <w:rFonts w:ascii="Times New Roman" w:cs="Times New Roman" w:eastAsia="Times New Roman" w:hAnsi="Times New Roman"/>
          <w:sz w:val="18"/>
          <w:szCs w:val="18"/>
          <w:color w:val="auto"/>
        </w:rPr>
        <w:t>Notwithstanding any provision contained in these Articles, the Directors may, if permitted by Applicable Law, authorise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destruction of documents set out in Article 37.1 and any other documents in relation to Share registration which have been microfilmed or electronically stored by the Company or by the share registrar on its behalf provided always that this Article 37 shall apply only to the destruction of a document in good faith and without express notice to the Company and its share registrar that the preservation of such document was relevant to a claim.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480" w:top="270" w:right="499" w:bottom="1440" w:gutter="0" w:footer="0" w:header="0"/>
        </w:sectPr>
      </w:pPr>
    </w:p>
    <w:bookmarkStart w:id="92" w:name="page93"/>
    <w:bookmarkEnd w:id="9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31" w:lineRule="exact"/>
        <w:rPr>
          <w:sz w:val="20"/>
          <w:szCs w:val="20"/>
          <w:color w:val="auto"/>
        </w:rPr>
      </w:pPr>
    </w:p>
    <w:p>
      <w:pPr>
        <w:ind w:left="540" w:right="1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b w:val="1"/>
          <w:bCs w:val="1"/>
          <w:color w:val="auto"/>
        </w:rPr>
        <w:t>Use of Seal</w:t>
      </w:r>
      <w:r>
        <w:rPr>
          <w:rFonts w:ascii="Times New Roman" w:cs="Times New Roman" w:eastAsia="Times New Roman" w:hAnsi="Times New Roman"/>
          <w:sz w:val="18"/>
          <w:szCs w:val="18"/>
          <w:color w:val="auto"/>
        </w:rPr>
        <w:t>. The Company may, if the Directors so determine, have a Seal. The Seal shall only be used by the authority of the Directors or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Directors authorised by the Directors. Every instrument to which the Seal has been affixed shall be signed by at least one person who shall be either a Director or an Officer or other person appointed by the Directors for the purpose.</w:t>
      </w:r>
    </w:p>
    <w:p>
      <w:pPr>
        <w:spacing w:after="0" w:line="76"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b w:val="1"/>
          <w:bCs w:val="1"/>
          <w:color w:val="auto"/>
        </w:rPr>
        <w:t>Duplicate Seal</w:t>
      </w:r>
      <w:r>
        <w:rPr>
          <w:rFonts w:ascii="Times New Roman" w:cs="Times New Roman" w:eastAsia="Times New Roman" w:hAnsi="Times New Roman"/>
          <w:sz w:val="18"/>
          <w:szCs w:val="18"/>
          <w:color w:val="auto"/>
        </w:rPr>
        <w:t>. The Company may have for use in any place or places outside the Cayman Islands a duplicate Seal or Seals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facsimile of the common Seal and, if the Directors so determine, with the addition on its face of the name of every place where it is to be used.</w:t>
      </w:r>
    </w:p>
    <w:p>
      <w:pPr>
        <w:spacing w:after="0" w:line="76" w:lineRule="exact"/>
        <w:rPr>
          <w:sz w:val="20"/>
          <w:szCs w:val="20"/>
          <w:color w:val="auto"/>
        </w:rPr>
      </w:pPr>
    </w:p>
    <w:p>
      <w:pPr>
        <w:jc w:val="both"/>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b w:val="1"/>
          <w:bCs w:val="1"/>
          <w:color w:val="auto"/>
        </w:rPr>
        <w:t>Authentication and Filing</w:t>
      </w:r>
      <w:r>
        <w:rPr>
          <w:rFonts w:ascii="Times New Roman" w:cs="Times New Roman" w:eastAsia="Times New Roman" w:hAnsi="Times New Roman"/>
          <w:sz w:val="18"/>
          <w:szCs w:val="18"/>
          <w:color w:val="auto"/>
        </w:rPr>
        <w:t>. A Director, Officer, representative, or attorney of the Company may without further authority of the Directors affix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Seal over their signature alone to any document required to be authenticated by them under seal or to be filed with the Registrar or elsewhere wheresoever.</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DISTRIBUTIONS</w:t>
      </w:r>
    </w:p>
    <w:p>
      <w:pPr>
        <w:spacing w:after="0" w:line="131" w:lineRule="exact"/>
        <w:rPr>
          <w:sz w:val="20"/>
          <w:szCs w:val="20"/>
          <w:color w:val="auto"/>
        </w:rPr>
      </w:pPr>
    </w:p>
    <w:p>
      <w:pPr>
        <w:ind w:left="540" w:right="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b w:val="1"/>
          <w:bCs w:val="1"/>
          <w:color w:val="auto"/>
        </w:rPr>
        <w:t>Payment of Distributions</w:t>
      </w:r>
      <w:r>
        <w:rPr>
          <w:rFonts w:ascii="Times New Roman" w:cs="Times New Roman" w:eastAsia="Times New Roman" w:hAnsi="Times New Roman"/>
          <w:sz w:val="18"/>
          <w:szCs w:val="18"/>
          <w:color w:val="auto"/>
        </w:rPr>
        <w:t>. Subject to the Companies Act and this Article 39, the Directors may declare and pay out of the funds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lawfully available for such purpose a Distribution at a time and of an amount they think fit. No Distribution shall be paid except out of the realised and unrealised profits of the Company, and/or out of the share premium account and/ or as otherwise permitted by the Companies Act.</w:t>
      </w:r>
    </w:p>
    <w:p>
      <w:pPr>
        <w:spacing w:after="0" w:line="82" w:lineRule="exact"/>
        <w:rPr>
          <w:sz w:val="20"/>
          <w:szCs w:val="20"/>
          <w:color w:val="auto"/>
        </w:rPr>
      </w:pPr>
    </w:p>
    <w:p>
      <w:pPr>
        <w:jc w:val="both"/>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b w:val="1"/>
          <w:bCs w:val="1"/>
          <w:color w:val="auto"/>
        </w:rPr>
        <w:t>Ranking</w:t>
      </w:r>
      <w:r>
        <w:rPr>
          <w:rFonts w:ascii="Times New Roman" w:cs="Times New Roman" w:eastAsia="Times New Roman" w:hAnsi="Times New Roman"/>
          <w:sz w:val="18"/>
          <w:szCs w:val="18"/>
          <w:color w:val="auto"/>
        </w:rPr>
        <w:t>. Except as otherwise provided by the rights attached to Shares, all Distributions shall be declared and paid according to the par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that a Member holds. The Company may pay Distributions in proportion to the amount paid upon each Share where a larger amount is paid up on some Shares than on others. If any Share is issued on terms providing that it shall rank for Distributions as from a particular date, that Share shall rank for Distributions accordingly.</w:t>
      </w:r>
    </w:p>
    <w:p>
      <w:pPr>
        <w:spacing w:after="0" w:line="82" w:lineRule="exact"/>
        <w:rPr>
          <w:sz w:val="20"/>
          <w:szCs w:val="20"/>
          <w:color w:val="auto"/>
        </w:rPr>
      </w:pPr>
    </w:p>
    <w:p>
      <w:pPr>
        <w:ind w:left="540" w:right="3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b w:val="1"/>
          <w:bCs w:val="1"/>
          <w:color w:val="auto"/>
        </w:rPr>
        <w:t>Deductions</w:t>
      </w:r>
      <w:r>
        <w:rPr>
          <w:rFonts w:ascii="Times New Roman" w:cs="Times New Roman" w:eastAsia="Times New Roman" w:hAnsi="Times New Roman"/>
          <w:sz w:val="18"/>
          <w:szCs w:val="18"/>
          <w:color w:val="auto"/>
        </w:rPr>
        <w:t>. The Directors may deduct from any Distribution payable to any Member all sums of money, if any, then payable by them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on account of calls or otherwise.</w:t>
      </w:r>
    </w:p>
    <w:p>
      <w:pPr>
        <w:spacing w:after="0" w:line="60" w:lineRule="exact"/>
        <w:rPr>
          <w:sz w:val="20"/>
          <w:szCs w:val="20"/>
          <w:color w:val="auto"/>
        </w:rPr>
      </w:pPr>
    </w:p>
    <w:p>
      <w:pPr>
        <w:ind w:left="5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b w:val="1"/>
          <w:bCs w:val="1"/>
          <w:color w:val="auto"/>
        </w:rPr>
        <w:t>Distribution in Kind</w:t>
      </w:r>
      <w:r>
        <w:rPr>
          <w:rFonts w:ascii="Times New Roman" w:cs="Times New Roman" w:eastAsia="Times New Roman" w:hAnsi="Times New Roman"/>
          <w:sz w:val="18"/>
          <w:szCs w:val="18"/>
          <w:color w:val="auto"/>
        </w:rPr>
        <w:t>. The Directors may declare that any Distribution be paid wholly or partly by the distribution of specific assets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of shares, debentures, or securities of any other company or in any one or more of such ways and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93" w:name="page94"/>
    <w:bookmarkEnd w:id="93"/>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39.5</w:t>
      </w:r>
      <w:r>
        <w:rPr>
          <w:sz w:val="20"/>
          <w:szCs w:val="20"/>
          <w:color w:val="auto"/>
        </w:rPr>
        <w:tab/>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Any Distribution payable in cash in respect of Shares may be paid by electronic funds transfer to the holder or by cheque or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(2) or more joint holders may give effectual receipts for any Distributions payable in respect of the Shares held by them as joint holders.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7"/>
          <w:szCs w:val="17"/>
          <w:b w:val="1"/>
          <w:bCs w:val="1"/>
          <w:color w:val="auto"/>
        </w:rPr>
        <w:t>No Interest</w:t>
      </w:r>
      <w:r>
        <w:rPr>
          <w:rFonts w:ascii="Times New Roman" w:cs="Times New Roman" w:eastAsia="Times New Roman" w:hAnsi="Times New Roman"/>
          <w:sz w:val="17"/>
          <w:szCs w:val="17"/>
          <w:color w:val="auto"/>
        </w:rPr>
        <w:t>. No Distribution shall bear interest as against the Company and no distribution shall be paid on Treasury Shares.</w:t>
      </w:r>
    </w:p>
    <w:p>
      <w:pPr>
        <w:spacing w:after="0" w:line="3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CAPITALISATIONS</w:t>
      </w:r>
    </w:p>
    <w:p>
      <w:pPr>
        <w:spacing w:after="0" w:line="131"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8"/>
          <w:szCs w:val="18"/>
          <w:b w:val="1"/>
          <w:bCs w:val="1"/>
          <w:color w:val="auto"/>
        </w:rPr>
        <w:t>Capitalisations</w:t>
      </w:r>
      <w:r>
        <w:rPr>
          <w:rFonts w:ascii="Times New Roman" w:cs="Times New Roman" w:eastAsia="Times New Roman" w:hAnsi="Times New Roman"/>
          <w:sz w:val="18"/>
          <w:szCs w:val="18"/>
          <w:color w:val="auto"/>
        </w:rPr>
        <w:t>. The Directors may capitalise any sum standing to the credit of any of the Company’s reserve accounts (including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account and capital redemption reserve) or to the credit of profit and loss account or otherwise available for distribution and appropriate such sum to Members in the proportions in which such sum would have been divisible amongst them had the same been a Distribution of profits by way of dividend and apply such sum on their behalf in paying up in full unissued Shares for issue, allotment, and distribution credited as fully paid-up to and amongst them in the proportions aforesaid. In such event the Directors may make such provisions as they think fit in the case of Shares becoming distributable in fractions.</w:t>
      </w:r>
    </w:p>
    <w:p>
      <w:pPr>
        <w:spacing w:after="0" w:line="3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CLOSING THE REGISTER OF MEMBERS OR FIXING RECORD DATE</w:t>
      </w:r>
    </w:p>
    <w:p>
      <w:pPr>
        <w:spacing w:after="0" w:line="131"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 xml:space="preserve">Closing the Register of Members </w:t>
      </w:r>
      <w:r>
        <w:rPr>
          <w:rFonts w:ascii="Times New Roman" w:cs="Times New Roman" w:eastAsia="Times New Roman" w:hAnsi="Times New Roman"/>
          <w:sz w:val="18"/>
          <w:szCs w:val="18"/>
          <w:color w:val="auto"/>
        </w:rPr>
        <w:t>For the purpose of determining those Members that are entitled to receive notice of, attend or vote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Members or any adjournment thereof, or those Members that are entitled to receive payment of any dividend, or in order to make a determination as to who is a Member for any other purpose, the Directors may, by any means in accordance with the requirements of the Designated Stock Exchange, provide that the Register of Members shall be closed for transfers for a stated period which shall not exceed in any case forty (40) days. If the Register of Members shall be so closed for the purpose of determining those Members that are entitled to receive notice of, attend or vote at a meeting of Members the Register of Members shall be so closed for at least ten (10) days immediately preceding such meeting and the record date for such determination shall be the date of the closure of the Register of Members.</w:t>
      </w:r>
    </w:p>
    <w:p>
      <w:pPr>
        <w:spacing w:after="0" w:line="88"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color w:val="auto"/>
        </w:rPr>
        <w:t>Record Date Determination</w:t>
      </w:r>
      <w:r>
        <w:rPr>
          <w:rFonts w:ascii="Times New Roman" w:cs="Times New Roman" w:eastAsia="Times New Roman" w:hAnsi="Times New Roman"/>
          <w:sz w:val="18"/>
          <w:szCs w:val="18"/>
          <w:color w:val="auto"/>
        </w:rPr>
        <w:t>. In lieu of or apart from closing the Register of Members, the Directors may fix in advance a date as the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for any such determination of those Members that are entitled to receive notice of, attend or vote at a meeting of the Members and for the purpose of determining those Members that are entitled to receive payment of any dividend the Directors may, at or within ninety (90) days prior to the date of declaration of such dividend, fix a subsequent date as the record date for such determination.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66" w:right="499" w:bottom="1440" w:gutter="0" w:footer="0" w:header="0"/>
        </w:sectPr>
      </w:pPr>
    </w:p>
    <w:bookmarkStart w:id="94" w:name="page95"/>
    <w:bookmarkEnd w:id="94"/>
    <w:p>
      <w:pPr>
        <w:ind w:left="540" w:hanging="539"/>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41.3</w:t>
      </w:r>
      <w:r>
        <w:rPr>
          <w:sz w:val="20"/>
          <w:szCs w:val="20"/>
          <w:color w:val="auto"/>
        </w:rPr>
        <w:tab/>
      </w:r>
      <w:r>
        <w:rPr>
          <w:rFonts w:ascii="Times New Roman" w:cs="Times New Roman" w:eastAsia="Times New Roman" w:hAnsi="Times New Roman"/>
          <w:sz w:val="17"/>
          <w:szCs w:val="17"/>
          <w:b w:val="1"/>
          <w:bCs w:val="1"/>
          <w:color w:val="auto"/>
        </w:rPr>
        <w:t>No Record Date Chosen</w:t>
      </w:r>
      <w:r>
        <w:rPr>
          <w:rFonts w:ascii="Times New Roman" w:cs="Times New Roman" w:eastAsia="Times New Roman" w:hAnsi="Times New Roman"/>
          <w:sz w:val="17"/>
          <w:szCs w:val="17"/>
          <w:color w:val="auto"/>
        </w:rPr>
        <w:t>. If the Register of Members is not so closed, and no record date is fixed for the determination of those Members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41, such determination shall apply to any adjournment thereof.</w:t>
      </w:r>
    </w:p>
    <w:p>
      <w:pPr>
        <w:spacing w:after="0" w:line="3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REPRESENTATION</w:t>
      </w:r>
    </w:p>
    <w:p>
      <w:pPr>
        <w:spacing w:after="0" w:line="131"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b w:val="1"/>
          <w:bCs w:val="1"/>
          <w:color w:val="auto"/>
        </w:rPr>
        <w:t>Representation of Legal Persons</w:t>
      </w:r>
      <w:r>
        <w:rPr>
          <w:rFonts w:ascii="Times New Roman" w:cs="Times New Roman" w:eastAsia="Times New Roman" w:hAnsi="Times New Roman"/>
          <w:sz w:val="18"/>
          <w:szCs w:val="18"/>
          <w:color w:val="auto"/>
        </w:rPr>
        <w:t>. The right of any individual to speak for or represent a Member or a Director being a legal person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law of the jurisdiction where, and by the documents by which, such legal person is constituted or derives its existence but save where an objection has been raised by a Member or a Director, the Directors shall not be obliged to verify the rights of individuals purporting to speak for or represent legal persons. In case of doubt, the Directors may in good faith seek legal advice from any qualified person and unless and until a court of competent jurisdiction shall otherwise rule, the Directors may rely and act upon such advice without incurring any liability to any Member or the Company.</w:t>
      </w:r>
    </w:p>
    <w:p>
      <w:pPr>
        <w:spacing w:after="0" w:line="3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ACCOUNTS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The Company shall keep proper books of account with respect to:</w:t>
      </w:r>
    </w:p>
    <w:p>
      <w:pPr>
        <w:spacing w:after="0" w:line="135" w:lineRule="exact"/>
        <w:rPr>
          <w:sz w:val="20"/>
          <w:szCs w:val="20"/>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of money received and expended by the Company and the matters in respect of which the receipt and expenditure takes place;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and purchases of goods by the Company; and</w:t>
      </w:r>
    </w:p>
    <w:p>
      <w:pPr>
        <w:spacing w:after="0" w:line="130" w:lineRule="exact"/>
        <w:rPr>
          <w:rFonts w:ascii="Times New Roman" w:cs="Times New Roman" w:eastAsia="Times New Roman" w:hAnsi="Times New Roman"/>
          <w:sz w:val="18"/>
          <w:szCs w:val="18"/>
          <w:color w:val="auto"/>
        </w:rPr>
      </w:pPr>
    </w:p>
    <w:p>
      <w:pPr>
        <w:ind w:left="1180" w:right="320" w:hanging="644"/>
        <w:spacing w:after="0" w:line="282"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the Company, that in each case, are sufficient to give a true and fair view of the Company’s affairs and to explain its transactions.</w:t>
      </w:r>
    </w:p>
    <w:p>
      <w:pPr>
        <w:spacing w:after="0" w:line="63"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b w:val="1"/>
          <w:bCs w:val="1"/>
          <w:color w:val="auto"/>
        </w:rPr>
        <w:t>Inspection</w:t>
      </w:r>
      <w:r>
        <w:rPr>
          <w:rFonts w:ascii="Times New Roman" w:cs="Times New Roman" w:eastAsia="Times New Roman" w:hAnsi="Times New Roman"/>
          <w:sz w:val="18"/>
          <w:szCs w:val="18"/>
          <w:color w:val="auto"/>
        </w:rPr>
        <w:t>. The Directors shall from time to time determine whether and to what extent and at what times and places and under what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regulations the accounts and books of the Company or any of them shall be open to the inspection of Members not being Directors and no Member (not being a Director) shall have any right of inspecting any account or book or document of the Company except as conferred by the Companies Act or authorised by the Directors or by the Company in general meeting.</w:t>
      </w:r>
    </w:p>
    <w:p>
      <w:pPr>
        <w:spacing w:after="0" w:line="82" w:lineRule="exact"/>
        <w:rPr>
          <w:sz w:val="20"/>
          <w:szCs w:val="20"/>
          <w:color w:val="auto"/>
        </w:rPr>
      </w:pPr>
    </w:p>
    <w:p>
      <w:pPr>
        <w:ind w:left="540" w:right="1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The Directors may from time to time cause to be prepared and to be laid before the Company in general meeting profit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loss accounts, balance sheets, group accounts (if any), and such other reports and accounts as may be required by law.</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95" w:name="page96"/>
    <w:bookmarkEnd w:id="9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8"/>
          <w:szCs w:val="18"/>
          <w:b w:val="1"/>
          <w:bCs w:val="1"/>
          <w:color w:val="auto"/>
        </w:rPr>
        <w:t>INFORMATION</w:t>
      </w:r>
    </w:p>
    <w:p>
      <w:pPr>
        <w:spacing w:after="0" w:line="131" w:lineRule="exact"/>
        <w:rPr>
          <w:sz w:val="20"/>
          <w:szCs w:val="20"/>
          <w:color w:val="auto"/>
        </w:rPr>
      </w:pPr>
    </w:p>
    <w:p>
      <w:pPr>
        <w:ind w:left="540" w:right="20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b w:val="1"/>
          <w:bCs w:val="1"/>
          <w:color w:val="auto"/>
        </w:rPr>
        <w:t xml:space="preserve">Information. </w:t>
      </w:r>
      <w:r>
        <w:rPr>
          <w:rFonts w:ascii="Times New Roman" w:cs="Times New Roman" w:eastAsia="Times New Roman" w:hAnsi="Times New Roman"/>
          <w:sz w:val="17"/>
          <w:szCs w:val="17"/>
          <w:color w:val="auto"/>
        </w:rPr>
        <w:t>No Member shall be entitled to require discovery of or any information respecting any detail of the Company’s trading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which is or may be in the nature of a trade secret or secret process which may relate to the conduct of the business of the Company and which in the opinion of the Directors it will be inexpedient in the interests of the Members to communicate to the Member or to the public.</w:t>
      </w:r>
    </w:p>
    <w:p>
      <w:pPr>
        <w:spacing w:after="0" w:line="3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31" w:lineRule="exact"/>
        <w:rPr>
          <w:sz w:val="20"/>
          <w:szCs w:val="20"/>
          <w:color w:val="auto"/>
        </w:rPr>
      </w:pPr>
    </w:p>
    <w:p>
      <w:pPr>
        <w:ind w:left="540" w:right="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The Directors may appoint an Auditor who shall hold office until removed from office by resolution of the Directors and may fix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remuneration.</w:t>
      </w:r>
    </w:p>
    <w:p>
      <w:pPr>
        <w:spacing w:after="0" w:line="60" w:lineRule="exact"/>
        <w:rPr>
          <w:sz w:val="20"/>
          <w:szCs w:val="20"/>
          <w:color w:val="auto"/>
        </w:rPr>
      </w:pPr>
    </w:p>
    <w:p>
      <w:pPr>
        <w:ind w:left="540" w:right="5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b w:val="1"/>
          <w:bCs w:val="1"/>
          <w:color w:val="auto"/>
        </w:rPr>
        <w:t>Access Right</w:t>
      </w:r>
      <w:r>
        <w:rPr>
          <w:rFonts w:ascii="Times New Roman" w:cs="Times New Roman" w:eastAsia="Times New Roman" w:hAnsi="Times New Roman"/>
          <w:sz w:val="18"/>
          <w:szCs w:val="18"/>
          <w:color w:val="auto"/>
        </w:rPr>
        <w:t>. Every Auditor shall have a right of access at all times to the books and accounts and vouchers of the Company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require from the Directors and Officers such information and explanation as may be necessary for any audit.</w:t>
      </w:r>
    </w:p>
    <w:p>
      <w:pPr>
        <w:spacing w:after="0" w:line="60" w:lineRule="exact"/>
        <w:rPr>
          <w:sz w:val="20"/>
          <w:szCs w:val="20"/>
          <w:color w:val="auto"/>
        </w:rPr>
      </w:pPr>
    </w:p>
    <w:p>
      <w:pPr>
        <w:ind w:left="540" w:right="1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b w:val="1"/>
          <w:bCs w:val="1"/>
          <w:color w:val="auto"/>
        </w:rPr>
        <w:t>Auditor Reports</w:t>
      </w:r>
      <w:r>
        <w:rPr>
          <w:rFonts w:ascii="Times New Roman" w:cs="Times New Roman" w:eastAsia="Times New Roman" w:hAnsi="Times New Roman"/>
          <w:sz w:val="18"/>
          <w:szCs w:val="18"/>
          <w:color w:val="auto"/>
        </w:rPr>
        <w:t>. Auditors shall, if so required by the Directors, make a report on the accounts of the Company during their tenure of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times as shall be required by the Directors or any meeting of the Members.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45.4</w:t>
      </w:r>
      <w:r>
        <w:rPr>
          <w:sz w:val="20"/>
          <w:szCs w:val="20"/>
          <w:color w:val="auto"/>
        </w:rPr>
        <w:tab/>
      </w:r>
      <w:r>
        <w:rPr>
          <w:rFonts w:ascii="Times New Roman" w:cs="Times New Roman" w:eastAsia="Times New Roman" w:hAnsi="Times New Roman"/>
          <w:sz w:val="17"/>
          <w:szCs w:val="17"/>
          <w:b w:val="1"/>
          <w:bCs w:val="1"/>
          <w:color w:val="auto"/>
        </w:rPr>
        <w:t xml:space="preserve">Auditor Remuneration. </w:t>
      </w:r>
      <w:r>
        <w:rPr>
          <w:rFonts w:ascii="Times New Roman" w:cs="Times New Roman" w:eastAsia="Times New Roman" w:hAnsi="Times New Roman"/>
          <w:sz w:val="17"/>
          <w:szCs w:val="17"/>
          <w:color w:val="auto"/>
        </w:rPr>
        <w:t>The remuneration of the Auditor shall be fixed by the Audit Committee (if one exists).</w:t>
      </w:r>
    </w:p>
    <w:p>
      <w:pPr>
        <w:spacing w:after="0" w:line="131" w:lineRule="exact"/>
        <w:rPr>
          <w:sz w:val="20"/>
          <w:szCs w:val="20"/>
          <w:color w:val="auto"/>
        </w:rPr>
      </w:pPr>
    </w:p>
    <w:p>
      <w:pPr>
        <w:ind w:left="540" w:right="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45.5</w:t>
      </w:r>
      <w:r>
        <w:rPr>
          <w:sz w:val="20"/>
          <w:szCs w:val="20"/>
          <w:color w:val="auto"/>
        </w:rPr>
        <w:tab/>
      </w:r>
      <w:r>
        <w:rPr>
          <w:rFonts w:ascii="Times New Roman" w:cs="Times New Roman" w:eastAsia="Times New Roman" w:hAnsi="Times New Roman"/>
          <w:sz w:val="18"/>
          <w:szCs w:val="18"/>
          <w:b w:val="1"/>
          <w:bCs w:val="1"/>
          <w:color w:val="auto"/>
        </w:rPr>
        <w:t xml:space="preserve">Auditor Vacancy. </w:t>
      </w:r>
      <w:r>
        <w:rPr>
          <w:rFonts w:ascii="Times New Roman" w:cs="Times New Roman" w:eastAsia="Times New Roman" w:hAnsi="Times New Roman"/>
          <w:sz w:val="18"/>
          <w:szCs w:val="18"/>
          <w:color w:val="auto"/>
        </w:rPr>
        <w:t>If the office of Auditor becomes vacant by resignation or death of the Auditor, or by their becoming incapable of acting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of illness or other disability at a time when their services are required, the Directors shall fill the vacancy and determine the remuneration of such Auditor.</w:t>
      </w:r>
    </w:p>
    <w:p>
      <w:pPr>
        <w:spacing w:after="0" w:line="76"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45.6</w:t>
      </w:r>
      <w:r>
        <w:rPr>
          <w:sz w:val="20"/>
          <w:szCs w:val="20"/>
          <w:color w:val="auto"/>
        </w:rPr>
        <w:tab/>
      </w: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18"/>
          <w:szCs w:val="18"/>
          <w:color w:val="auto"/>
        </w:rPr>
        <w:t>Without prejudice to the freedom of the Directors to establish any other committee, if the Shares (or depositary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88"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45.7</w:t>
      </w:r>
      <w:r>
        <w:rPr>
          <w:sz w:val="20"/>
          <w:szCs w:val="20"/>
          <w:color w:val="auto"/>
        </w:rPr>
        <w:tab/>
      </w:r>
      <w:r>
        <w:rPr>
          <w:rFonts w:ascii="Times New Roman" w:cs="Times New Roman" w:eastAsia="Times New Roman" w:hAnsi="Times New Roman"/>
          <w:sz w:val="18"/>
          <w:szCs w:val="18"/>
          <w:b w:val="1"/>
          <w:bCs w:val="1"/>
          <w:color w:val="auto"/>
        </w:rPr>
        <w:t xml:space="preserve">Audit Committee Review. </w:t>
      </w:r>
      <w:r>
        <w:rPr>
          <w:rFonts w:ascii="Times New Roman" w:cs="Times New Roman" w:eastAsia="Times New Roman" w:hAnsi="Times New Roman"/>
          <w:sz w:val="18"/>
          <w:szCs w:val="18"/>
          <w:color w:val="auto"/>
        </w:rPr>
        <w:t>If the Shares (or depositary receipts therefor) are listed or quoted on the Designated Stock Exchange,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conduct an appropriate review of all related party transactions on an ongoing basis and shall utilise the Audit Committee for the review and approval of potential conflicts of interest.</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66" w:right="499" w:bottom="1440" w:gutter="0" w:footer="0" w:header="0"/>
        </w:sectPr>
      </w:pPr>
    </w:p>
    <w:bookmarkStart w:id="96" w:name="page97"/>
    <w:bookmarkEnd w:id="96"/>
    <w:p>
      <w:pPr>
        <w:ind w:left="540" w:right="2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45.8</w:t>
      </w:r>
      <w:r>
        <w:rPr>
          <w:sz w:val="20"/>
          <w:szCs w:val="20"/>
          <w:color w:val="auto"/>
        </w:rPr>
        <w:tab/>
      </w:r>
      <w:r>
        <w:rPr>
          <w:rFonts w:ascii="Times New Roman" w:cs="Times New Roman" w:eastAsia="Times New Roman" w:hAnsi="Times New Roman"/>
          <w:sz w:val="18"/>
          <w:szCs w:val="18"/>
          <w:b w:val="1"/>
          <w:bCs w:val="1"/>
          <w:color w:val="auto"/>
        </w:rPr>
        <w:t xml:space="preserve">Audit Committee Payments. </w:t>
      </w:r>
      <w:r>
        <w:rPr>
          <w:rFonts w:ascii="Times New Roman" w:cs="Times New Roman" w:eastAsia="Times New Roman" w:hAnsi="Times New Roman"/>
          <w:sz w:val="18"/>
          <w:szCs w:val="18"/>
          <w:color w:val="auto"/>
        </w:rPr>
        <w:t>Any payment made to members of the Audit Committee (if one exists) shall require the review and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with any Director interested in such payment abstaining from such review and approval.</w:t>
      </w:r>
    </w:p>
    <w:p>
      <w:pPr>
        <w:spacing w:after="0" w:line="60" w:lineRule="exact"/>
        <w:rPr>
          <w:sz w:val="20"/>
          <w:szCs w:val="20"/>
          <w:color w:val="auto"/>
        </w:rPr>
      </w:pPr>
    </w:p>
    <w:p>
      <w:pPr>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45.9</w:t>
      </w:r>
      <w:r>
        <w:rPr>
          <w:sz w:val="20"/>
          <w:szCs w:val="20"/>
          <w:color w:val="auto"/>
        </w:rPr>
        <w:tab/>
      </w:r>
      <w:r>
        <w:rPr>
          <w:rFonts w:ascii="Times New Roman" w:cs="Times New Roman" w:eastAsia="Times New Roman" w:hAnsi="Times New Roman"/>
          <w:sz w:val="18"/>
          <w:szCs w:val="18"/>
          <w:b w:val="1"/>
          <w:bCs w:val="1"/>
          <w:color w:val="auto"/>
        </w:rPr>
        <w:t xml:space="preserve">Audit Committee Monitoring. </w:t>
      </w:r>
      <w:r>
        <w:rPr>
          <w:rFonts w:ascii="Times New Roman" w:cs="Times New Roman" w:eastAsia="Times New Roman" w:hAnsi="Times New Roman"/>
          <w:sz w:val="18"/>
          <w:szCs w:val="18"/>
          <w:color w:val="auto"/>
        </w:rPr>
        <w:t>The Audit Committee shall monitor compliance with the terms of the IPO and, if any non-compliance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the Audit Committee shall be charged with the responsibility to take all action necessary to rectify such non-compliance or otherwise cause compliance with the terms of the IPO.</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3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8"/>
          <w:szCs w:val="18"/>
          <w:b w:val="1"/>
          <w:bCs w:val="1"/>
          <w:color w:val="auto"/>
        </w:rPr>
        <w:t>Calculation of Elapsed Time</w:t>
      </w:r>
      <w:r>
        <w:rPr>
          <w:rFonts w:ascii="Times New Roman" w:cs="Times New Roman" w:eastAsia="Times New Roman" w:hAnsi="Times New Roman"/>
          <w:sz w:val="18"/>
          <w:szCs w:val="18"/>
          <w:color w:val="auto"/>
        </w:rPr>
        <w:t>. Subject to the laws of the Cayman Islands, where any period of time is expressed as required for the giving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or in any other case where some other action is required to be undertaken within or omitted from being taken during a specified period of time, the calculation of the requisite period of time will not include the day on which the notice is given (or deemed to be given) or the day on which the event giving rise to the need to take or omit action occurred, but shall include the day on which the period of time expires.</w:t>
      </w:r>
    </w:p>
    <w:p>
      <w:pPr>
        <w:spacing w:after="0" w:line="82"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46.2</w:t>
      </w:r>
      <w:r>
        <w:rPr>
          <w:sz w:val="20"/>
          <w:szCs w:val="20"/>
          <w:color w:val="auto"/>
        </w:rPr>
        <w:tab/>
      </w:r>
      <w:r>
        <w:rPr>
          <w:rFonts w:ascii="Times New Roman" w:cs="Times New Roman" w:eastAsia="Times New Roman" w:hAnsi="Times New Roman"/>
          <w:sz w:val="18"/>
          <w:szCs w:val="18"/>
          <w:b w:val="1"/>
          <w:bCs w:val="1"/>
          <w:color w:val="auto"/>
        </w:rPr>
        <w:t>Delivery of Notices</w:t>
      </w:r>
      <w:r>
        <w:rPr>
          <w:rFonts w:ascii="Times New Roman" w:cs="Times New Roman" w:eastAsia="Times New Roman" w:hAnsi="Times New Roman"/>
          <w:sz w:val="18"/>
          <w:szCs w:val="18"/>
          <w:color w:val="auto"/>
        </w:rPr>
        <w:t>. Notices shall be in writing and may be given by the Company to any Member either personally or by sending it by courier,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 telex, fax or email to such Member or to such Member’s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8"/>
          <w:szCs w:val="18"/>
          <w:b w:val="1"/>
          <w:bCs w:val="1"/>
          <w:color w:val="auto"/>
        </w:rPr>
        <w:t>Deemed Receipt</w:t>
      </w:r>
      <w:r>
        <w:rPr>
          <w:rFonts w:ascii="Times New Roman" w:cs="Times New Roman" w:eastAsia="Times New Roman" w:hAnsi="Times New Roman"/>
          <w:sz w:val="18"/>
          <w:szCs w:val="18"/>
          <w:color w:val="auto"/>
        </w:rPr>
        <w:t>. Where a notice is sent by:</w:t>
      </w:r>
    </w:p>
    <w:p>
      <w:pPr>
        <w:spacing w:after="0" w:line="135" w:lineRule="exact"/>
        <w:rPr>
          <w:sz w:val="20"/>
          <w:szCs w:val="20"/>
          <w:color w:val="auto"/>
        </w:rPr>
      </w:pPr>
    </w:p>
    <w:p>
      <w:pPr>
        <w:ind w:left="1180" w:right="60" w:hanging="644"/>
        <w:spacing w:after="0" w:line="266"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1"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81"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telex or fax; service of the notice shall be deemed to be effected by properly addressing and sending such notice and shall be deemed to have been received on the same day that it was transmitted;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66" w:right="439" w:bottom="1440" w:gutter="0" w:footer="0" w:header="0"/>
        </w:sectPr>
      </w:pPr>
    </w:p>
    <w:bookmarkStart w:id="97" w:name="page98"/>
    <w:bookmarkEnd w:id="97"/>
    <w:p>
      <w:pPr>
        <w:ind w:left="1180" w:right="120" w:hanging="644"/>
        <w:spacing w:after="0" w:line="266" w:lineRule="auto"/>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1"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63"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46.4</w:t>
      </w:r>
      <w:r>
        <w:rPr>
          <w:sz w:val="20"/>
          <w:szCs w:val="20"/>
          <w:color w:val="auto"/>
        </w:rPr>
        <w:tab/>
      </w:r>
      <w:r>
        <w:rPr>
          <w:rFonts w:ascii="Times New Roman" w:cs="Times New Roman" w:eastAsia="Times New Roman" w:hAnsi="Times New Roman"/>
          <w:sz w:val="18"/>
          <w:szCs w:val="18"/>
          <w:b w:val="1"/>
          <w:bCs w:val="1"/>
          <w:color w:val="auto"/>
        </w:rPr>
        <w:t xml:space="preserve">Death or Bankruptcy. </w:t>
      </w:r>
      <w:r>
        <w:rPr>
          <w:rFonts w:ascii="Times New Roman" w:cs="Times New Roman" w:eastAsia="Times New Roman" w:hAnsi="Times New Roman"/>
          <w:sz w:val="18"/>
          <w:szCs w:val="18"/>
          <w:color w:val="auto"/>
        </w:rPr>
        <w:t>A notice may be given by the Company to the person or persons which the Company has been advised are entitled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5"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46.5</w:t>
      </w:r>
      <w:r>
        <w:rPr>
          <w:sz w:val="20"/>
          <w:szCs w:val="20"/>
          <w:color w:val="auto"/>
        </w:rPr>
        <w:tab/>
      </w:r>
      <w:r>
        <w:rPr>
          <w:rFonts w:ascii="Times New Roman" w:cs="Times New Roman" w:eastAsia="Times New Roman" w:hAnsi="Times New Roman"/>
          <w:sz w:val="18"/>
          <w:szCs w:val="18"/>
          <w:b w:val="1"/>
          <w:bCs w:val="1"/>
          <w:color w:val="auto"/>
        </w:rPr>
        <w:t>Notices of General Meeting</w:t>
      </w:r>
      <w:r>
        <w:rPr>
          <w:rFonts w:ascii="Times New Roman" w:cs="Times New Roman" w:eastAsia="Times New Roman" w:hAnsi="Times New Roman"/>
          <w:sz w:val="18"/>
          <w:szCs w:val="18"/>
          <w:color w:val="auto"/>
        </w:rPr>
        <w:t>. Notice of every general meeting shall be given in any manner authorised by the Articles to every holder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because they are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VOLUNTARY LIQUIDATION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7"/>
          <w:szCs w:val="17"/>
          <w:b w:val="1"/>
          <w:bCs w:val="1"/>
          <w:color w:val="auto"/>
        </w:rPr>
        <w:t xml:space="preserve">Voluntary Liquidation. </w:t>
      </w:r>
      <w:r>
        <w:rPr>
          <w:rFonts w:ascii="Times New Roman" w:cs="Times New Roman" w:eastAsia="Times New Roman" w:hAnsi="Times New Roman"/>
          <w:sz w:val="17"/>
          <w:szCs w:val="17"/>
          <w:color w:val="auto"/>
        </w:rPr>
        <w:t>Subject to the Companies Act, the Company may by Special Resolution be wound up voluntarily.</w:t>
      </w:r>
    </w:p>
    <w:p>
      <w:pPr>
        <w:spacing w:after="0" w:line="3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31"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48.1</w:t>
      </w:r>
      <w:r>
        <w:rPr>
          <w:sz w:val="20"/>
          <w:szCs w:val="20"/>
          <w:color w:val="auto"/>
        </w:rPr>
        <w:tab/>
      </w:r>
      <w:r>
        <w:rPr>
          <w:rFonts w:ascii="Times New Roman" w:cs="Times New Roman" w:eastAsia="Times New Roman" w:hAnsi="Times New Roman"/>
          <w:sz w:val="18"/>
          <w:szCs w:val="18"/>
          <w:b w:val="1"/>
          <w:bCs w:val="1"/>
          <w:color w:val="auto"/>
        </w:rPr>
        <w:t>Distribution of Assets</w:t>
      </w:r>
      <w:r>
        <w:rPr>
          <w:rFonts w:ascii="Times New Roman" w:cs="Times New Roman" w:eastAsia="Times New Roman" w:hAnsi="Times New Roman"/>
          <w:sz w:val="18"/>
          <w:szCs w:val="18"/>
          <w:color w:val="auto"/>
        </w:rPr>
        <w:t>. If the Company shall be wound up, and the assets available for distribution amongst the Members shall be insufficient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48 is without prejudice to the rights of the holders of Shares issued upon special terms and conditions.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98" w:name="page99"/>
    <w:bookmarkEnd w:id="98"/>
    <w:p>
      <w:pPr>
        <w:jc w:val="both"/>
        <w:ind w:left="540" w:right="26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48.2</w:t>
      </w:r>
      <w:r>
        <w:rPr>
          <w:sz w:val="20"/>
          <w:szCs w:val="20"/>
          <w:color w:val="auto"/>
        </w:rPr>
        <w:tab/>
      </w:r>
      <w:r>
        <w:rPr>
          <w:rFonts w:ascii="Times New Roman" w:cs="Times New Roman" w:eastAsia="Times New Roman" w:hAnsi="Times New Roman"/>
          <w:sz w:val="18"/>
          <w:szCs w:val="18"/>
          <w:b w:val="1"/>
          <w:bCs w:val="1"/>
          <w:color w:val="auto"/>
        </w:rPr>
        <w:t>Valuation of Assets</w:t>
      </w:r>
      <w:r>
        <w:rPr>
          <w:rFonts w:ascii="Times New Roman" w:cs="Times New Roman" w:eastAsia="Times New Roman" w:hAnsi="Times New Roman"/>
          <w:sz w:val="18"/>
          <w:szCs w:val="18"/>
          <w:color w:val="auto"/>
        </w:rPr>
        <w:t>. If the Company shall be wound up, the liquidator may, with the sanction of a Special Resolution and any other sanction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the Companies Act, divide amongst the Members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3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CONTINUATION</w:t>
      </w:r>
    </w:p>
    <w:p>
      <w:pPr>
        <w:spacing w:after="0" w:line="131" w:lineRule="exact"/>
        <w:rPr>
          <w:sz w:val="20"/>
          <w:szCs w:val="20"/>
          <w:color w:val="auto"/>
        </w:rPr>
      </w:pPr>
    </w:p>
    <w:p>
      <w:pPr>
        <w:ind w:left="540" w:right="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b w:val="1"/>
          <w:bCs w:val="1"/>
          <w:color w:val="auto"/>
        </w:rPr>
        <w:t xml:space="preserve">Continuation by Resolution of Directors. </w:t>
      </w:r>
      <w:r>
        <w:rPr>
          <w:rFonts w:ascii="Times New Roman" w:cs="Times New Roman" w:eastAsia="Times New Roman" w:hAnsi="Times New Roman"/>
          <w:sz w:val="18"/>
          <w:szCs w:val="18"/>
          <w:color w:val="auto"/>
        </w:rPr>
        <w:t>The Company may by resolution of the Directors resolve to be registered by way of continuation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outside the Cayman Islands or such other jurisdiction in which it is for the time being incorporated, registered, or existing (including, but not limited to, the approval of the organisational documents to be adopted by the Company in such other jurisdiction to the extent applicable).</w:t>
      </w:r>
    </w:p>
    <w:p>
      <w:pPr>
        <w:spacing w:after="0" w:line="82"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b w:val="1"/>
          <w:bCs w:val="1"/>
          <w:color w:val="auto"/>
        </w:rPr>
        <w:t xml:space="preserve">Director Action. </w:t>
      </w:r>
      <w:r>
        <w:rPr>
          <w:rFonts w:ascii="Times New Roman" w:cs="Times New Roman" w:eastAsia="Times New Roman" w:hAnsi="Times New Roman"/>
          <w:sz w:val="18"/>
          <w:szCs w:val="18"/>
          <w:color w:val="auto"/>
        </w:rPr>
        <w:t>In furtherance of a resolution adopted pursuant to this Article 49, the Directors may cause an application to be made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82" w:lineRule="exact"/>
        <w:rPr>
          <w:sz w:val="20"/>
          <w:szCs w:val="20"/>
          <w:color w:val="auto"/>
        </w:rPr>
      </w:pPr>
    </w:p>
    <w:p>
      <w:pPr>
        <w:ind w:left="540" w:right="1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b w:val="1"/>
          <w:bCs w:val="1"/>
          <w:color w:val="auto"/>
        </w:rPr>
        <w:t xml:space="preserve">Amendment to Article Prior to Business Combination. </w:t>
      </w:r>
      <w:r>
        <w:rPr>
          <w:rFonts w:ascii="Times New Roman" w:cs="Times New Roman" w:eastAsia="Times New Roman" w:hAnsi="Times New Roman"/>
          <w:sz w:val="18"/>
          <w:szCs w:val="18"/>
          <w:color w:val="auto"/>
        </w:rPr>
        <w:t>Prior to the consummation of a Business Combination, this Article 49 may only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a Special Resolution passed by at least ninety per cent (90%)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82" w:lineRule="exact"/>
        <w:rPr>
          <w:sz w:val="20"/>
          <w:szCs w:val="20"/>
          <w:color w:val="auto"/>
        </w:rPr>
      </w:pPr>
    </w:p>
    <w:p>
      <w:pPr>
        <w:ind w:left="540" w:right="8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49.4</w:t>
      </w:r>
      <w:r>
        <w:rPr>
          <w:sz w:val="20"/>
          <w:szCs w:val="20"/>
          <w:color w:val="auto"/>
        </w:rPr>
        <w:tab/>
      </w:r>
      <w:r>
        <w:rPr>
          <w:rFonts w:ascii="Times New Roman" w:cs="Times New Roman" w:eastAsia="Times New Roman" w:hAnsi="Times New Roman"/>
          <w:sz w:val="18"/>
          <w:szCs w:val="18"/>
          <w:b w:val="1"/>
          <w:bCs w:val="1"/>
          <w:color w:val="auto"/>
        </w:rPr>
        <w:t xml:space="preserve">Amendment to Article Post Business Combination. </w:t>
      </w:r>
      <w:r>
        <w:rPr>
          <w:rFonts w:ascii="Times New Roman" w:cs="Times New Roman" w:eastAsia="Times New Roman" w:hAnsi="Times New Roman"/>
          <w:sz w:val="18"/>
          <w:szCs w:val="18"/>
          <w:color w:val="auto"/>
        </w:rPr>
        <w:t>Following a Business Combination, this Article 49 may be amended by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8"/>
          <w:szCs w:val="18"/>
          <w:b w:val="1"/>
          <w:bCs w:val="1"/>
          <w:color w:val="auto"/>
        </w:rPr>
        <w:t>AMENDMENT OF THE MEMORANDUM AND ARTICLES</w:t>
      </w:r>
    </w:p>
    <w:p>
      <w:pPr>
        <w:spacing w:after="0" w:line="131"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Subject to the Companies Act, the rights attaching to any class or series of Shares, and any provisions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or these Articles that requires a higher threshold, the Company may by Special Resolution change its name or alter or amend these Articles and/ or the Memorandum in whole or in part.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99" w:name="page100"/>
    <w:bookmarkEnd w:id="9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w:t>
      </w:r>
      <w:r>
        <w:rPr>
          <w:sz w:val="20"/>
          <w:szCs w:val="20"/>
          <w:color w:val="auto"/>
        </w:rPr>
        <w:tab/>
      </w:r>
      <w:r>
        <w:rPr>
          <w:rFonts w:ascii="Times New Roman" w:cs="Times New Roman" w:eastAsia="Times New Roman" w:hAnsi="Times New Roman"/>
          <w:sz w:val="18"/>
          <w:szCs w:val="18"/>
          <w:b w:val="1"/>
          <w:bCs w:val="1"/>
          <w:color w:val="auto"/>
        </w:rPr>
        <w:t>MERGERS AND CONSOLIDATIONS</w:t>
      </w:r>
    </w:p>
    <w:p>
      <w:pPr>
        <w:spacing w:after="0" w:line="131"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Mergers and Consolidations. </w:t>
      </w:r>
      <w:r>
        <w:rPr>
          <w:rFonts w:ascii="Times New Roman" w:cs="Times New Roman" w:eastAsia="Times New Roman" w:hAnsi="Times New Roman"/>
          <w:sz w:val="18"/>
          <w:szCs w:val="18"/>
          <w:color w:val="auto"/>
        </w:rPr>
        <w:t>The Company shall have the power to merge or consolidate with one or more constituent companies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Companies Act) upon such terms as the Directors may determine and (to the extent required by the Companies Act) with the approval of a Special Resolution.</w:t>
      </w:r>
    </w:p>
    <w:p>
      <w:pPr>
        <w:spacing w:after="0" w:line="3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BUSINESS COMBINATION REQUIREMENTS</w:t>
      </w:r>
    </w:p>
    <w:p>
      <w:pPr>
        <w:spacing w:after="0" w:line="131" w:lineRule="exact"/>
        <w:rPr>
          <w:sz w:val="20"/>
          <w:szCs w:val="20"/>
          <w:color w:val="auto"/>
        </w:rPr>
      </w:pPr>
    </w:p>
    <w:p>
      <w:pPr>
        <w:ind w:left="540" w:right="4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b w:val="1"/>
          <w:bCs w:val="1"/>
          <w:color w:val="auto"/>
        </w:rPr>
        <w:t xml:space="preserve">Term. </w:t>
      </w:r>
      <w:r>
        <w:rPr>
          <w:rFonts w:ascii="Times New Roman" w:cs="Times New Roman" w:eastAsia="Times New Roman" w:hAnsi="Times New Roman"/>
          <w:sz w:val="17"/>
          <w:szCs w:val="17"/>
          <w:color w:val="auto"/>
        </w:rPr>
        <w:t>Notwithstanding any other provision of the Articles, this Article 52 shall apply during the period commencing upon the adoption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Articles and terminating upon the first to occur of the consummation of any Business Combination and the full distribution of the Trust Account pursuant to Article 52.8. In the event of a conflict between this Article 52 and any other Article, the provisions of this Article 52 shall prevail.</w:t>
      </w:r>
    </w:p>
    <w:p>
      <w:pPr>
        <w:spacing w:after="0" w:line="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b w:val="1"/>
          <w:bCs w:val="1"/>
          <w:color w:val="auto"/>
        </w:rPr>
        <w:t xml:space="preserve">Consummation of a Business Combination. </w:t>
      </w:r>
      <w:r>
        <w:rPr>
          <w:rFonts w:ascii="Times New Roman" w:cs="Times New Roman" w:eastAsia="Times New Roman" w:hAnsi="Times New Roman"/>
          <w:sz w:val="17"/>
          <w:szCs w:val="17"/>
          <w:color w:val="auto"/>
        </w:rPr>
        <w:t>Prior to the consummation of a Business Combination, the Company shall either:</w:t>
      </w:r>
    </w:p>
    <w:p>
      <w:pPr>
        <w:spacing w:after="0" w:line="135" w:lineRule="exact"/>
        <w:rPr>
          <w:sz w:val="20"/>
          <w:szCs w:val="20"/>
          <w:color w:val="auto"/>
        </w:rPr>
      </w:pPr>
    </w:p>
    <w:p>
      <w:pPr>
        <w:ind w:left="1180" w:hanging="644"/>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Business Combination to its Members for approval; or</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Members with the opportunity to have their Shares redeemed by means of a tender offer for a per-Share repurchase price payable in cash, equal to the aggregate amount then on deposit in the Trust Account, calculated as of two (2) business days prior to the consummation of a Business Combination, including interest earned on the Trust Account (which interest shall be net of Permitted Withdrawals), divided by the number of Public Shares then in issue.</w:t>
      </w:r>
    </w:p>
    <w:p>
      <w:pPr>
        <w:spacing w:after="0" w:line="8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b w:val="1"/>
          <w:bCs w:val="1"/>
          <w:color w:val="auto"/>
        </w:rPr>
        <w:t xml:space="preserve">Exchange Act Tender Offer. </w:t>
      </w:r>
      <w:r>
        <w:rPr>
          <w:rFonts w:ascii="Times New Roman" w:cs="Times New Roman" w:eastAsia="Times New Roman" w:hAnsi="Times New Roman"/>
          <w:sz w:val="18"/>
          <w:szCs w:val="18"/>
          <w:color w:val="auto"/>
        </w:rPr>
        <w:t>If the Company initiates any tender offer in accordance with Rule 13e-4 and Regulation 14E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82"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8"/>
          <w:szCs w:val="18"/>
          <w:b w:val="1"/>
          <w:bCs w:val="1"/>
          <w:color w:val="auto"/>
        </w:rPr>
        <w:t xml:space="preserve">Member Approval of Business Combination. </w:t>
      </w:r>
      <w:r>
        <w:rPr>
          <w:rFonts w:ascii="Times New Roman" w:cs="Times New Roman" w:eastAsia="Times New Roman" w:hAnsi="Times New Roman"/>
          <w:sz w:val="18"/>
          <w:szCs w:val="18"/>
          <w:color w:val="auto"/>
        </w:rPr>
        <w:t>If, alternatively, the Company holds a Member vote to approve a proposed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will conduct any compulsory redemption in conjunction with a proxy solicitation pursuant to Regulation 14A of the Exchange Act and not pursuant to the tender offer rules and file proxy materials with the SEC.</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40" w:top="266" w:right="499" w:bottom="1440" w:gutter="0" w:footer="0" w:header="0"/>
        </w:sectPr>
      </w:pPr>
    </w:p>
    <w:bookmarkStart w:id="100" w:name="page101"/>
    <w:bookmarkEnd w:id="10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52.5</w:t>
      </w:r>
      <w:r>
        <w:rPr>
          <w:sz w:val="20"/>
          <w:szCs w:val="20"/>
          <w:color w:val="auto"/>
        </w:rPr>
        <w:tab/>
      </w:r>
      <w:r>
        <w:rPr>
          <w:rFonts w:ascii="Times New Roman" w:cs="Times New Roman" w:eastAsia="Times New Roman" w:hAnsi="Times New Roman"/>
          <w:sz w:val="17"/>
          <w:szCs w:val="17"/>
          <w:b w:val="1"/>
          <w:bCs w:val="1"/>
          <w:color w:val="auto"/>
        </w:rPr>
        <w:t xml:space="preserve">Business Combination Approval. </w:t>
      </w:r>
      <w:r>
        <w:rPr>
          <w:rFonts w:ascii="Times New Roman" w:cs="Times New Roman" w:eastAsia="Times New Roman" w:hAnsi="Times New Roman"/>
          <w:sz w:val="17"/>
          <w:szCs w:val="17"/>
          <w:color w:val="auto"/>
        </w:rPr>
        <w:t>At a general meeting called for the purposes of approving a Business Combination pursuant to these Articles:</w:t>
      </w:r>
    </w:p>
    <w:p>
      <w:pPr>
        <w:spacing w:after="0" w:line="135" w:lineRule="exact"/>
        <w:rPr>
          <w:sz w:val="20"/>
          <w:szCs w:val="20"/>
          <w:color w:val="auto"/>
        </w:rPr>
      </w:pPr>
    </w:p>
    <w:p>
      <w:pPr>
        <w:ind w:left="1180" w:right="200" w:hanging="644"/>
        <w:spacing w:after="0" w:line="282"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Members holding at least one-third of the paid up voting share capital of the Company present in person or by proxy and entitled to vote at that meeting, shall form a quorum; and</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Business Combination is approved by Ordinary Resolution, the Company shall be authorised to consummate such Business Combination</w:t>
      </w:r>
    </w:p>
    <w:p>
      <w:pPr>
        <w:spacing w:after="0" w:line="63" w:lineRule="exact"/>
        <w:rPr>
          <w:sz w:val="20"/>
          <w:szCs w:val="20"/>
          <w:color w:val="auto"/>
        </w:rPr>
      </w:pPr>
    </w:p>
    <w:p>
      <w:pPr>
        <w:ind w:left="540" w:right="2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52.6</w:t>
      </w:r>
      <w:r>
        <w:rPr>
          <w:sz w:val="20"/>
          <w:szCs w:val="20"/>
          <w:color w:val="auto"/>
        </w:rPr>
        <w:tab/>
      </w:r>
      <w:r>
        <w:rPr>
          <w:rFonts w:ascii="Times New Roman" w:cs="Times New Roman" w:eastAsia="Times New Roman" w:hAnsi="Times New Roman"/>
          <w:sz w:val="18"/>
          <w:szCs w:val="18"/>
          <w:b w:val="1"/>
          <w:bCs w:val="1"/>
          <w:color w:val="auto"/>
        </w:rPr>
        <w:t xml:space="preserve">Business Combination Redemption. </w:t>
      </w:r>
      <w:r>
        <w:rPr>
          <w:rFonts w:ascii="Times New Roman" w:cs="Times New Roman" w:eastAsia="Times New Roman" w:hAnsi="Times New Roman"/>
          <w:sz w:val="18"/>
          <w:szCs w:val="18"/>
          <w:color w:val="auto"/>
        </w:rPr>
        <w:t>Where such redemptions in connection with an initial Business Combination are not conducted via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offer rules pursuant to Article 52.3, any Member holding Public Shares who is not a Founder, Officer, or Director may, contemporaneously with any vote on a Business Combination, elect to have their Public Shares redeemed for cash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provided that:</w:t>
      </w:r>
    </w:p>
    <w:p>
      <w:pPr>
        <w:spacing w:after="0" w:line="86" w:lineRule="exact"/>
        <w:rPr>
          <w:sz w:val="20"/>
          <w:szCs w:val="20"/>
          <w:color w:val="auto"/>
        </w:rPr>
      </w:pPr>
    </w:p>
    <w:p>
      <w:pPr>
        <w:jc w:val="both"/>
        <w:ind w:left="1180" w:right="120" w:hanging="644"/>
        <w:spacing w:after="0" w:line="266"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Member, together with any Affiliate of such Member or any other person with whom such Member is acting in concert or as a </w:t>
      </w:r>
      <w:r>
        <w:rPr>
          <w:rFonts w:ascii="Times New Roman" w:cs="Times New Roman" w:eastAsia="Times New Roman" w:hAnsi="Times New Roman"/>
          <w:sz w:val="18"/>
          <w:szCs w:val="18"/>
          <w:b w:val="1"/>
          <w:bCs w:val="1"/>
          <w:i w:val="1"/>
          <w:iCs w:val="1"/>
          <w:color w:val="auto"/>
        </w:rPr>
        <w:t xml:space="preserve">group </w:t>
      </w:r>
      <w:r>
        <w:rPr>
          <w:rFonts w:ascii="Times New Roman" w:cs="Times New Roman" w:eastAsia="Times New Roman" w:hAnsi="Times New Roman"/>
          <w:sz w:val="18"/>
          <w:szCs w:val="18"/>
          <w:color w:val="auto"/>
        </w:rPr>
        <w:t>(as defined under Section 13 of the Exchange Act), may exercise this redemption right with respect to more than fifteen percent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of the Public Shares without the prior consent of the Directors; and</w:t>
      </w:r>
    </w:p>
    <w:p>
      <w:pPr>
        <w:spacing w:after="0" w:line="81" w:lineRule="exact"/>
        <w:rPr>
          <w:rFonts w:ascii="Times New Roman" w:cs="Times New Roman" w:eastAsia="Times New Roman" w:hAnsi="Times New Roman"/>
          <w:sz w:val="18"/>
          <w:szCs w:val="18"/>
          <w:color w:val="auto"/>
        </w:rPr>
      </w:pPr>
    </w:p>
    <w:p>
      <w:pPr>
        <w:ind w:left="1180" w:right="680" w:hanging="644"/>
        <w:spacing w:after="0" w:line="282"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that holds Public Shares beneficially through a nominee must identify itself to the Company in connection with any redemption election in order to validly redeem such Public Shares.</w:t>
      </w:r>
    </w:p>
    <w:p>
      <w:pPr>
        <w:spacing w:after="0" w:line="5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(2) business days prior to the initially scheduled vote on the proposal to approve a Business Combination (</w:t>
      </w:r>
      <w:r>
        <w:rPr>
          <w:rFonts w:ascii="Times New Roman" w:cs="Times New Roman" w:eastAsia="Times New Roman" w:hAnsi="Times New Roman"/>
          <w:sz w:val="18"/>
          <w:szCs w:val="18"/>
          <w:b w:val="1"/>
          <w:bCs w:val="1"/>
          <w:i w:val="1"/>
          <w:iCs w:val="1"/>
          <w:color w:val="auto"/>
        </w:rPr>
        <w:t>Election Deadline</w:t>
      </w:r>
      <w:r>
        <w:rPr>
          <w:rFonts w:ascii="Times New Roman" w:cs="Times New Roman" w:eastAsia="Times New Roman" w:hAnsi="Times New Roman"/>
          <w:sz w:val="18"/>
          <w:szCs w:val="18"/>
          <w:color w:val="auto"/>
        </w:rPr>
        <w:t xml:space="preserve">). Notwithstanding the foregoing sentence, the Board may, at any time and either before or after the initially scheduled vote on a Business Combination, in its sole discretion extend the Election Deadline to a later date and may extend an Election Deadline which has already been extended. If so demanded, the Company shall pay any such redeeming Member, regardless of whether they are voting for or against such proposed Business Combination, a per-Share redemption price payable in cash, equal to the aggregate amount then on deposit in the Trust Account calculated as of two (2) business days prior to the consummation of a Business Combination, including interest earned on the Trust Account (which interest shall be net of Permitted Withdrawals), divided by the number of Public Shares then in issue (such redemption price being referred to herein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52.7</w:t>
      </w:r>
      <w:r>
        <w:rPr>
          <w:sz w:val="20"/>
          <w:szCs w:val="20"/>
          <w:color w:val="auto"/>
        </w:rPr>
        <w:tab/>
      </w:r>
      <w:r>
        <w:rPr>
          <w:rFonts w:ascii="Times New Roman" w:cs="Times New Roman" w:eastAsia="Times New Roman" w:hAnsi="Times New Roman"/>
          <w:sz w:val="18"/>
          <w:szCs w:val="18"/>
          <w:b w:val="1"/>
          <w:bCs w:val="1"/>
          <w:color w:val="auto"/>
        </w:rPr>
        <w:t xml:space="preserve">Payment of Redemption Price. </w:t>
      </w:r>
      <w:r>
        <w:rPr>
          <w:rFonts w:ascii="Times New Roman" w:cs="Times New Roman" w:eastAsia="Times New Roman" w:hAnsi="Times New Roman"/>
          <w:sz w:val="18"/>
          <w:szCs w:val="18"/>
          <w:color w:val="auto"/>
        </w:rPr>
        <w:t>The Redemption Price may be paid either immediately prior to or promptly following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Business Combination. If the proposed Business Combination is not approved or not completed for any reason then such redemptions shall be cancelled and share certificates (if any) returned to the relevant Members as appropriate.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101" w:name="page102"/>
    <w:bookmarkEnd w:id="101"/>
    <w:p>
      <w:pPr>
        <w:jc w:val="center"/>
        <w:ind w:right="40"/>
        <w:spacing w:after="0"/>
        <w:tabs>
          <w:tab w:leader="none" w:pos="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52.8</w:t>
      </w:r>
      <w:r>
        <w:rPr>
          <w:sz w:val="20"/>
          <w:szCs w:val="20"/>
          <w:color w:val="auto"/>
        </w:rPr>
        <w:tab/>
      </w:r>
      <w:r>
        <w:rPr>
          <w:rFonts w:ascii="Times New Roman" w:cs="Times New Roman" w:eastAsia="Times New Roman" w:hAnsi="Times New Roman"/>
          <w:sz w:val="17"/>
          <w:szCs w:val="17"/>
          <w:b w:val="1"/>
          <w:bCs w:val="1"/>
          <w:color w:val="auto"/>
        </w:rPr>
        <w:t xml:space="preserve">No Business Combination. </w:t>
      </w:r>
      <w:r>
        <w:rPr>
          <w:rFonts w:ascii="Times New Roman" w:cs="Times New Roman" w:eastAsia="Times New Roman" w:hAnsi="Times New Roman"/>
          <w:sz w:val="17"/>
          <w:szCs w:val="17"/>
          <w:color w:val="auto"/>
        </w:rPr>
        <w:t>In the event that either the Company does not consummate a Business Combination within the Completion Window,</w:t>
      </w:r>
    </w:p>
    <w:p>
      <w:pPr>
        <w:spacing w:after="0" w:line="31"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or such later time as the Members may approve in accordance with these Articles or a resolution of the Members is passed pursuant to the Companies Act to commence the voluntary liquidation of the Company prior to the consummation of a Business Combination for any reason, the Company shall:</w:t>
      </w:r>
    </w:p>
    <w:p>
      <w:pPr>
        <w:spacing w:after="0" w:line="91" w:lineRule="exact"/>
        <w:rPr>
          <w:sz w:val="20"/>
          <w:szCs w:val="20"/>
          <w:color w:val="auto"/>
        </w:rPr>
      </w:pPr>
    </w:p>
    <w:p>
      <w:pPr>
        <w:ind w:left="1180" w:hanging="644"/>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w:t>
      </w:r>
    </w:p>
    <w:p>
      <w:pPr>
        <w:spacing w:after="0" w:line="130" w:lineRule="exact"/>
        <w:rPr>
          <w:rFonts w:ascii="Times New Roman" w:cs="Times New Roman" w:eastAsia="Times New Roman" w:hAnsi="Times New Roman"/>
          <w:sz w:val="18"/>
          <w:szCs w:val="18"/>
          <w:color w:val="auto"/>
        </w:rPr>
      </w:pPr>
    </w:p>
    <w:p>
      <w:pPr>
        <w:ind w:left="1180" w:right="60" w:hanging="644"/>
        <w:spacing w:after="0" w:line="256" w:lineRule="auto"/>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(10) business days thereafter, subject to lawfully available funds, redeem the Public Shares, at a per-Share price, payable in cash, equal to the aggregate amount then on deposit in the Trust Account, including interest earned on the Trust Account (which interest shall be net of Permitted Withdrawals and up to $100,000 of interest to pay dissolution expenses and net of taxes payable), divided by the number of Public Shares then in issue, which redemption will completely extinguish public Members’ rights as Members (including the right to receive further liquidation distributions, if any) subject to applicable law; and</w:t>
      </w:r>
    </w:p>
    <w:p>
      <w:pPr>
        <w:spacing w:after="0" w:line="92"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the Company’s remaining Members and the Directors, liquidate and dissolve, subject in each case to its obligations under Cayman Islands law to provide for claims of creditors and in all cases subject to the other requirements of applicable law.</w:t>
      </w:r>
    </w:p>
    <w:p>
      <w:pPr>
        <w:spacing w:after="0" w:line="77"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52.9</w:t>
      </w:r>
      <w:r>
        <w:rPr>
          <w:sz w:val="20"/>
          <w:szCs w:val="20"/>
          <w:color w:val="auto"/>
        </w:rPr>
        <w:tab/>
      </w:r>
      <w:r>
        <w:rPr>
          <w:rFonts w:ascii="Times New Roman" w:cs="Times New Roman" w:eastAsia="Times New Roman" w:hAnsi="Times New Roman"/>
          <w:sz w:val="18"/>
          <w:szCs w:val="18"/>
          <w:b w:val="1"/>
          <w:bCs w:val="1"/>
          <w:color w:val="auto"/>
        </w:rPr>
        <w:t xml:space="preserve">Changes to Redemption Timings. </w:t>
      </w:r>
      <w:r>
        <w:rPr>
          <w:rFonts w:ascii="Times New Roman" w:cs="Times New Roman" w:eastAsia="Times New Roman" w:hAnsi="Times New Roman"/>
          <w:sz w:val="18"/>
          <w:szCs w:val="18"/>
          <w:color w:val="auto"/>
        </w:rPr>
        <w:t>If any amendment is made to Article 52.8 that would affect the substance or timing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redeem one hundred per cent (100%) of the Public Shares if the Company has not consummated an initial Business Combination within the Completion Window, or any amendment is made with respect to any other provision of these Articles relating to the rights of holders of Class A Shares or pre-initial business combination activity, each holder of Public Shares who is not a Founder, Officer, or Director shall be provided with the opportunity to redeem their Public Shares upon the approval of any such amendment at a per-Share price, payable in cash, equal to the aggregate amount then on deposit in the Trust Account, including interest earned on the Trust Account (which interest shall be net of Permitted Withdrawals), divided by the number of Public Shares then in issue.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52.10  </w:t>
      </w:r>
      <w:r>
        <w:rPr>
          <w:rFonts w:ascii="Times New Roman" w:cs="Times New Roman" w:eastAsia="Times New Roman" w:hAnsi="Times New Roman"/>
          <w:sz w:val="18"/>
          <w:szCs w:val="18"/>
          <w:b w:val="1"/>
          <w:bCs w:val="1"/>
          <w:color w:val="auto"/>
        </w:rPr>
        <w:t>Release of Trust Account Funds.</w:t>
      </w:r>
      <w:r>
        <w:rPr>
          <w:rFonts w:ascii="Times New Roman" w:cs="Times New Roman" w:eastAsia="Times New Roman" w:hAnsi="Times New Roman"/>
          <w:sz w:val="18"/>
          <w:szCs w:val="18"/>
          <w:color w:val="auto"/>
        </w:rPr>
        <w:t xml:space="preserve"> Except for Permitted Withdrawals, none of the funds held in the Trust Account shall be released from the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Trust Account until the earlier of:</w:t>
      </w:r>
    </w:p>
    <w:p>
      <w:pPr>
        <w:spacing w:after="0" w:line="112" w:lineRule="exact"/>
        <w:rPr>
          <w:sz w:val="20"/>
          <w:szCs w:val="20"/>
          <w:color w:val="auto"/>
        </w:rPr>
      </w:pPr>
    </w:p>
    <w:p>
      <w:pPr>
        <w:ind w:left="5420" w:right="5360" w:hanging="4884"/>
        <w:spacing w:after="0" w:line="367" w:lineRule="auto"/>
        <w:tabs>
          <w:tab w:leader="none" w:pos="119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Business Combination Redemption pursuant to Article 52.6; 50</w:t>
      </w:r>
    </w:p>
    <w:p>
      <w:pPr>
        <w:sectPr>
          <w:pgSz w:w="11900" w:h="16838" w:orient="portrait"/>
          <w:cols w:equalWidth="0" w:num="1">
            <w:col w:w="11020"/>
          </w:cols>
          <w:pgMar w:left="440" w:top="266" w:right="439" w:bottom="1440" w:gutter="0" w:footer="0" w:header="0"/>
        </w:sectPr>
      </w:pPr>
    </w:p>
    <w:bookmarkStart w:id="102" w:name="page103"/>
    <w:bookmarkEnd w:id="102"/>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repurchase of Shares by means of a tender offer pursuant to Article 52.2(b);</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the Trust Account pursuant to Article 52.8;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under Article 52.9.</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no other circumstance shall a holder of Public Shares have any right or interest of any kind in the Trust Account.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52.11  </w:t>
      </w:r>
      <w:r>
        <w:rPr>
          <w:rFonts w:ascii="Times New Roman" w:cs="Times New Roman" w:eastAsia="Times New Roman" w:hAnsi="Times New Roman"/>
          <w:sz w:val="18"/>
          <w:szCs w:val="18"/>
          <w:b w:val="1"/>
          <w:bCs w:val="1"/>
          <w:color w:val="auto"/>
        </w:rPr>
        <w:t>No Additional Share Issue.</w:t>
      </w:r>
      <w:r>
        <w:rPr>
          <w:rFonts w:ascii="Times New Roman" w:cs="Times New Roman" w:eastAsia="Times New Roman" w:hAnsi="Times New Roman"/>
          <w:sz w:val="18"/>
          <w:szCs w:val="18"/>
          <w:color w:val="auto"/>
        </w:rPr>
        <w:t xml:space="preserve"> Except in connection with the Class B Share Conversion where the holders of such Shares have waived any rights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receive funds from the Trust Account, after the issue of Public Shares, and prior to the consummation of a Business Combination,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Directors shall not issue additional Shares or any other securities that would entitle the holders thereof to:</w:t>
      </w:r>
    </w:p>
    <w:p>
      <w:pPr>
        <w:spacing w:after="0" w:line="112"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as a class with our public shares:</w:t>
      </w:r>
    </w:p>
    <w:p>
      <w:pPr>
        <w:spacing w:after="0" w:line="130" w:lineRule="exact"/>
        <w:rPr>
          <w:rFonts w:ascii="Times New Roman" w:cs="Times New Roman" w:eastAsia="Times New Roman" w:hAnsi="Times New Roman"/>
          <w:sz w:val="18"/>
          <w:szCs w:val="18"/>
          <w:color w:val="auto"/>
        </w:rPr>
      </w:pPr>
    </w:p>
    <w:p>
      <w:pPr>
        <w:ind w:left="1740" w:right="580" w:hanging="543"/>
        <w:spacing w:after="0" w:line="282" w:lineRule="auto"/>
        <w:tabs>
          <w:tab w:leader="none" w:pos="17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initial Business Combination or on any other proposal presented to Shareholders prior to or in connection with the completion of an initial Business Combination;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Memorandum or these Articles to:</w:t>
      </w:r>
    </w:p>
    <w:p>
      <w:pPr>
        <w:spacing w:after="0" w:line="130" w:lineRule="exact"/>
        <w:rPr>
          <w:rFonts w:ascii="Times New Roman" w:cs="Times New Roman" w:eastAsia="Times New Roman" w:hAnsi="Times New Roman"/>
          <w:sz w:val="18"/>
          <w:szCs w:val="18"/>
          <w:color w:val="auto"/>
        </w:rPr>
      </w:pPr>
    </w:p>
    <w:p>
      <w:pPr>
        <w:ind w:left="2400" w:right="420" w:hanging="649"/>
        <w:spacing w:after="0" w:line="282" w:lineRule="auto"/>
        <w:tabs>
          <w:tab w:leader="none" w:pos="24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to consummate a Business Combination beyond twenty-four (24) months from the closing of this offering; or</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Clause.</w:t>
      </w:r>
    </w:p>
    <w:p>
      <w:pPr>
        <w:spacing w:after="0" w:line="127" w:lineRule="exact"/>
        <w:rPr>
          <w:sz w:val="20"/>
          <w:szCs w:val="20"/>
          <w:color w:val="auto"/>
        </w:rPr>
      </w:pPr>
    </w:p>
    <w:p>
      <w:pPr>
        <w:ind w:left="540" w:right="200" w:hanging="539"/>
        <w:spacing w:after="0" w:line="286" w:lineRule="auto"/>
        <w:rPr>
          <w:sz w:val="20"/>
          <w:szCs w:val="20"/>
          <w:color w:val="auto"/>
        </w:rPr>
      </w:pPr>
      <w:r>
        <w:rPr>
          <w:rFonts w:ascii="Times New Roman" w:cs="Times New Roman" w:eastAsia="Times New Roman" w:hAnsi="Times New Roman"/>
          <w:sz w:val="18"/>
          <w:szCs w:val="18"/>
          <w:color w:val="auto"/>
        </w:rPr>
        <w:t xml:space="preserve">52.12 </w:t>
      </w:r>
      <w:r>
        <w:rPr>
          <w:rFonts w:ascii="Times New Roman" w:cs="Times New Roman" w:eastAsia="Times New Roman" w:hAnsi="Times New Roman"/>
          <w:sz w:val="18"/>
          <w:szCs w:val="18"/>
          <w:b w:val="1"/>
          <w:bCs w:val="1"/>
          <w:color w:val="auto"/>
        </w:rPr>
        <w:t>Definition of Business Combination.</w:t>
      </w:r>
      <w:r>
        <w:rPr>
          <w:rFonts w:ascii="Times New Roman" w:cs="Times New Roman" w:eastAsia="Times New Roman" w:hAnsi="Times New Roman"/>
          <w:sz w:val="18"/>
          <w:szCs w:val="18"/>
          <w:color w:val="auto"/>
        </w:rPr>
        <w:t xml:space="preserve"> The Company may only consummate a Business Combination that meets the definition of such term as specified in the Articles.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52.13  </w:t>
      </w:r>
      <w:r>
        <w:rPr>
          <w:rFonts w:ascii="Times New Roman" w:cs="Times New Roman" w:eastAsia="Times New Roman" w:hAnsi="Times New Roman"/>
          <w:sz w:val="18"/>
          <w:szCs w:val="18"/>
          <w:b w:val="1"/>
          <w:bCs w:val="1"/>
          <w:color w:val="auto"/>
        </w:rPr>
        <w:t>Director Votes.</w:t>
      </w:r>
      <w:r>
        <w:rPr>
          <w:rFonts w:ascii="Times New Roman" w:cs="Times New Roman" w:eastAsia="Times New Roman" w:hAnsi="Times New Roman"/>
          <w:sz w:val="18"/>
          <w:szCs w:val="18"/>
          <w:color w:val="auto"/>
        </w:rPr>
        <w:t xml:space="preserve"> A Director may vote in respect of any Business Combination in which such Director has a conflict of interest with respect to the</w:t>
      </w:r>
    </w:p>
    <w:p>
      <w:pPr>
        <w:spacing w:after="0" w:line="31" w:lineRule="exact"/>
        <w:rPr>
          <w:sz w:val="20"/>
          <w:szCs w:val="20"/>
          <w:color w:val="auto"/>
        </w:rPr>
      </w:pPr>
    </w:p>
    <w:p>
      <w:pPr>
        <w:jc w:val="both"/>
        <w:ind w:left="540" w:right="580"/>
        <w:spacing w:after="0" w:line="255" w:lineRule="auto"/>
        <w:rPr>
          <w:sz w:val="20"/>
          <w:szCs w:val="20"/>
          <w:color w:val="auto"/>
        </w:rPr>
      </w:pPr>
      <w:r>
        <w:rPr>
          <w:rFonts w:ascii="Times New Roman" w:cs="Times New Roman" w:eastAsia="Times New Roman" w:hAnsi="Times New Roman"/>
          <w:sz w:val="18"/>
          <w:szCs w:val="18"/>
          <w:color w:val="auto"/>
        </w:rPr>
        <w:t>evaluation of such Business Combination. Such Director must disclose such interest or conflict to the other Directors. A resolution of the Directors to approve a Business Combination will only be validly passed if a majority of the Independent Directors vote in favour of the Business Combination.</w:t>
      </w:r>
    </w:p>
    <w:p>
      <w:pPr>
        <w:spacing w:after="0" w:line="87" w:lineRule="exact"/>
        <w:rPr>
          <w:sz w:val="20"/>
          <w:szCs w:val="20"/>
          <w:color w:val="auto"/>
        </w:rPr>
      </w:pPr>
    </w:p>
    <w:p>
      <w:pPr>
        <w:ind w:left="540" w:hanging="539"/>
        <w:spacing w:after="0" w:line="257" w:lineRule="auto"/>
        <w:rPr>
          <w:sz w:val="20"/>
          <w:szCs w:val="20"/>
          <w:color w:val="auto"/>
        </w:rPr>
      </w:pPr>
      <w:r>
        <w:rPr>
          <w:rFonts w:ascii="Times New Roman" w:cs="Times New Roman" w:eastAsia="Times New Roman" w:hAnsi="Times New Roman"/>
          <w:sz w:val="18"/>
          <w:szCs w:val="18"/>
          <w:color w:val="auto"/>
        </w:rPr>
        <w:t xml:space="preserve">52.14 </w:t>
      </w:r>
      <w:r>
        <w:rPr>
          <w:rFonts w:ascii="Times New Roman" w:cs="Times New Roman" w:eastAsia="Times New Roman" w:hAnsi="Times New Roman"/>
          <w:sz w:val="18"/>
          <w:szCs w:val="18"/>
          <w:b w:val="1"/>
          <w:bCs w:val="1"/>
          <w:color w:val="auto"/>
        </w:rPr>
        <w:t>Affiliated Business Combination.</w:t>
      </w:r>
      <w:r>
        <w:rPr>
          <w:rFonts w:ascii="Times New Roman" w:cs="Times New Roman" w:eastAsia="Times New Roman" w:hAnsi="Times New Roman"/>
          <w:sz w:val="18"/>
          <w:szCs w:val="18"/>
          <w:color w:val="auto"/>
        </w:rPr>
        <w:t xml:space="preserve"> The Company may enter into a Business Combination with a target business that is Affiliated with the Sponsor and/or any Director(s) or Officer(s) if such transaction is approved by a majority of the Independent Directors and the Directors that did not have an interest in such transaction. In the event the Company seeks to enter into a Business Combination with an entity that is Affiliated with the Sponsor and/or any Director(s) or Officer(s), the Company, or a committee of Independent Directors, will obtain an opinion from an independent investment banking firm or another independent entity that commonly renders valuation opinions stating that the consideration to be paid by the Company in such Business Combination is fair to the Company from a financial point of view.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103" w:name="page104"/>
    <w:bookmarkEnd w:id="103"/>
    <w:p>
      <w:pPr>
        <w:ind w:left="540" w:right="100" w:hanging="5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52.15 </w:t>
      </w:r>
      <w:r>
        <w:rPr>
          <w:rFonts w:ascii="Times New Roman" w:cs="Times New Roman" w:eastAsia="Times New Roman" w:hAnsi="Times New Roman"/>
          <w:sz w:val="18"/>
          <w:szCs w:val="18"/>
          <w:b w:val="1"/>
          <w:bCs w:val="1"/>
          <w:color w:val="auto"/>
        </w:rPr>
        <w:t>Redemption Withdrawal.</w:t>
      </w:r>
      <w:r>
        <w:rPr>
          <w:rFonts w:ascii="Times New Roman" w:cs="Times New Roman" w:eastAsia="Times New Roman" w:hAnsi="Times New Roman"/>
          <w:sz w:val="18"/>
          <w:szCs w:val="18"/>
          <w:color w:val="auto"/>
        </w:rPr>
        <w:t xml:space="preserve"> A Member may not withdraw a Redemption Notice once submitted to the Company unless the Directors determine (in their sole discretion) to permit the withdrawal of such redemption request (which they may do in whole or in part).</w:t>
      </w:r>
    </w:p>
    <w:p>
      <w:pPr>
        <w:spacing w:after="0" w:line="3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CERTAIN TAX FILINGS</w:t>
      </w:r>
    </w:p>
    <w:p>
      <w:pPr>
        <w:spacing w:after="0" w:line="131"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8"/>
          <w:szCs w:val="18"/>
          <w:b w:val="1"/>
          <w:bCs w:val="1"/>
          <w:color w:val="auto"/>
        </w:rPr>
        <w:t xml:space="preserve">Certain Tax Filings. </w:t>
      </w:r>
      <w:r>
        <w:rPr>
          <w:rFonts w:ascii="Times New Roman" w:cs="Times New Roman" w:eastAsia="Times New Roman" w:hAnsi="Times New Roman"/>
          <w:sz w:val="18"/>
          <w:szCs w:val="18"/>
          <w:color w:val="auto"/>
        </w:rPr>
        <w:t>Each Tax Filing Authorised Person and any such other person, acting alone, as any Director shall designate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are authorised to file IRS forms SS-4, W-8 BEN, W 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BUSINESS OPPORTUNITY</w:t>
      </w:r>
    </w:p>
    <w:p>
      <w:pPr>
        <w:spacing w:after="0" w:line="131"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54.1</w:t>
      </w:r>
      <w:r>
        <w:rPr>
          <w:sz w:val="20"/>
          <w:szCs w:val="20"/>
          <w:color w:val="auto"/>
        </w:rPr>
        <w:tab/>
      </w:r>
      <w:r>
        <w:rPr>
          <w:rFonts w:ascii="Times New Roman" w:cs="Times New Roman" w:eastAsia="Times New Roman" w:hAnsi="Times New Roman"/>
          <w:sz w:val="18"/>
          <w:szCs w:val="18"/>
          <w:b w:val="1"/>
          <w:bCs w:val="1"/>
          <w:color w:val="auto"/>
        </w:rPr>
        <w:t xml:space="preserve">Business Opportunities. </w:t>
      </w:r>
      <w:r>
        <w:rPr>
          <w:rFonts w:ascii="Times New Roman" w:cs="Times New Roman" w:eastAsia="Times New Roman" w:hAnsi="Times New Roman"/>
          <w:sz w:val="18"/>
          <w:szCs w:val="18"/>
          <w:color w:val="auto"/>
        </w:rPr>
        <w:t>To the fullest extent permitted by Applicable Law, no individual serving as a Director or an Officer shall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a Director or Officer, on the one hand, and the Company, on the other. Except to the extent expressly assumed by contract, to the fullest extent permitted by Applicable Law, a Director or Officer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themselves, directs such corporate opportunity to another person, or does not communicate information regarding such corporate opportunity to the Company.</w:t>
      </w:r>
    </w:p>
    <w:p>
      <w:pPr>
        <w:spacing w:after="0" w:line="94" w:lineRule="exact"/>
        <w:rPr>
          <w:sz w:val="20"/>
          <w:szCs w:val="20"/>
          <w:color w:val="auto"/>
        </w:rPr>
      </w:pPr>
    </w:p>
    <w:p>
      <w:pPr>
        <w:ind w:left="540" w:right="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54.2</w:t>
      </w:r>
      <w:r>
        <w:rPr>
          <w:sz w:val="20"/>
          <w:szCs w:val="20"/>
          <w:color w:val="auto"/>
        </w:rPr>
        <w:tab/>
      </w:r>
      <w:r>
        <w:rPr>
          <w:rFonts w:ascii="Times New Roman" w:cs="Times New Roman" w:eastAsia="Times New Roman" w:hAnsi="Times New Roman"/>
          <w:sz w:val="18"/>
          <w:szCs w:val="18"/>
          <w:b w:val="1"/>
          <w:bCs w:val="1"/>
          <w:color w:val="auto"/>
        </w:rPr>
        <w:t xml:space="preserve">Opportunity to Participate. </w:t>
      </w:r>
      <w:r>
        <w:rPr>
          <w:rFonts w:ascii="Times New Roman" w:cs="Times New Roman" w:eastAsia="Times New Roman" w:hAnsi="Times New Roman"/>
          <w:sz w:val="18"/>
          <w:szCs w:val="18"/>
          <w:color w:val="auto"/>
        </w:rPr>
        <w:t>Except as provided elsewhere in this Article 54, the Company hereby renounces any interest or expectancy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or in being offered an opportunity to participate in, any potential transaction or matter which may be a corporate opportunity for both the Company and a Director or Officer, about which a Director and/or Officer acquires knowledge.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40" w:top="266" w:right="539" w:bottom="1440" w:gutter="0" w:footer="0" w:header="0"/>
        </w:sectPr>
      </w:pPr>
    </w:p>
    <w:bookmarkStart w:id="104" w:name="page105"/>
    <w:bookmarkEnd w:id="104"/>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54.3</w:t>
      </w:r>
      <w:r>
        <w:rPr>
          <w:sz w:val="20"/>
          <w:szCs w:val="20"/>
          <w:color w:val="auto"/>
        </w:rPr>
        <w:tab/>
      </w:r>
      <w:r>
        <w:rPr>
          <w:rFonts w:ascii="Times New Roman" w:cs="Times New Roman" w:eastAsia="Times New Roman" w:hAnsi="Times New Roman"/>
          <w:sz w:val="18"/>
          <w:szCs w:val="18"/>
          <w:b w:val="1"/>
          <w:bCs w:val="1"/>
          <w:color w:val="auto"/>
        </w:rPr>
        <w:t xml:space="preserve">Waiver of Breach of Duty. </w:t>
      </w:r>
      <w:r>
        <w:rPr>
          <w:rFonts w:ascii="Times New Roman" w:cs="Times New Roman" w:eastAsia="Times New Roman" w:hAnsi="Times New Roman"/>
          <w:sz w:val="18"/>
          <w:szCs w:val="18"/>
          <w:color w:val="auto"/>
        </w:rPr>
        <w:t>To the extent a court might hold that the conduct of any activity related to a corporate opportunity that is renounced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Article 54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54 apply equally to activities conducted in the future and that have been conducted in the past.</w:t>
      </w:r>
    </w:p>
    <w:p>
      <w:pPr>
        <w:spacing w:after="0" w:line="3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DISCLOSURE</w:t>
      </w:r>
    </w:p>
    <w:p>
      <w:pPr>
        <w:spacing w:after="0" w:line="131" w:lineRule="exact"/>
        <w:rPr>
          <w:sz w:val="20"/>
          <w:szCs w:val="20"/>
          <w:color w:val="auto"/>
        </w:rPr>
      </w:pPr>
    </w:p>
    <w:p>
      <w:pPr>
        <w:ind w:left="540" w:right="14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7"/>
          <w:szCs w:val="17"/>
          <w:b w:val="1"/>
          <w:bCs w:val="1"/>
          <w:color w:val="auto"/>
        </w:rPr>
        <w:t xml:space="preserve">Disclosure. </w:t>
      </w:r>
      <w:r>
        <w:rPr>
          <w:rFonts w:ascii="Times New Roman" w:cs="Times New Roman" w:eastAsia="Times New Roman" w:hAnsi="Times New Roman"/>
          <w:sz w:val="17"/>
          <w:szCs w:val="17"/>
          <w:color w:val="auto"/>
        </w:rPr>
        <w:t>The Directors, or any authorised service providers (including the Officers, the Secretary, and the Registered Office agent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be entitled to disclose to any regulatory or judicial authority, or to any Designated Stock Exchange, any information regarding the affairs of the Company including, without limitation, information contained in the Register of Members and books of the Company.</w:t>
      </w:r>
    </w:p>
    <w:p>
      <w:pPr>
        <w:spacing w:after="0" w:line="3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EXCLUSIVE JURISDICTION AND FORUM</w:t>
      </w:r>
    </w:p>
    <w:p>
      <w:pPr>
        <w:spacing w:after="0" w:line="131"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56.1</w:t>
      </w:r>
      <w:r>
        <w:rPr>
          <w:sz w:val="20"/>
          <w:szCs w:val="20"/>
          <w:color w:val="auto"/>
        </w:rPr>
        <w:tab/>
      </w:r>
      <w:r>
        <w:rPr>
          <w:rFonts w:ascii="Times New Roman" w:cs="Times New Roman" w:eastAsia="Times New Roman" w:hAnsi="Times New Roman"/>
          <w:sz w:val="18"/>
          <w:szCs w:val="18"/>
          <w:b w:val="1"/>
          <w:bCs w:val="1"/>
          <w:color w:val="auto"/>
        </w:rPr>
        <w:t xml:space="preserve">Exclusive Jurisdiction. </w:t>
      </w:r>
      <w:r>
        <w:rPr>
          <w:rFonts w:ascii="Times New Roman" w:cs="Times New Roman" w:eastAsia="Times New Roman" w:hAnsi="Times New Roman"/>
          <w:sz w:val="18"/>
          <w:szCs w:val="18"/>
          <w:color w:val="auto"/>
        </w:rPr>
        <w:t>Unless the Company consents in writing to the selection of an alternative forum, the courts of the Cayman Islands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exclusive jurisdiction over any claim or dispute arising out of or in connection with the Memorandum, these Articles or otherwise related in any way to each Member’s shareholding in the Company, including but not limited to:</w:t>
      </w:r>
    </w:p>
    <w:p>
      <w:pPr>
        <w:spacing w:after="0" w:line="80" w:lineRule="exact"/>
        <w:rPr>
          <w:sz w:val="20"/>
          <w:szCs w:val="20"/>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any fiduciary or other duty owed by any current or former Director, Officer, or other employee of the Company to the Company or the Members;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Companies Act, the Memorandum, or the Articles; or</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governed by the “Internal Affairs Doctrine” (as such concept is recognised under the laws of the United States of America).</w:t>
      </w:r>
    </w:p>
    <w:p>
      <w:pPr>
        <w:spacing w:after="0" w:line="63"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56.2</w:t>
      </w:r>
      <w:r>
        <w:rPr>
          <w:sz w:val="20"/>
          <w:szCs w:val="20"/>
          <w:color w:val="auto"/>
        </w:rPr>
        <w:tab/>
      </w:r>
      <w:r>
        <w:rPr>
          <w:rFonts w:ascii="Times New Roman" w:cs="Times New Roman" w:eastAsia="Times New Roman" w:hAnsi="Times New Roman"/>
          <w:sz w:val="18"/>
          <w:szCs w:val="18"/>
          <w:b w:val="1"/>
          <w:bCs w:val="1"/>
          <w:color w:val="auto"/>
        </w:rPr>
        <w:t xml:space="preserve">Member Submittance. </w:t>
      </w:r>
      <w:r>
        <w:rPr>
          <w:rFonts w:ascii="Times New Roman" w:cs="Times New Roman" w:eastAsia="Times New Roman" w:hAnsi="Times New Roman"/>
          <w:sz w:val="18"/>
          <w:szCs w:val="18"/>
          <w:color w:val="auto"/>
        </w:rPr>
        <w:t>Each Member irrevocably submits to the exclusive jurisdiction of the courts of the Cayman Islands over all such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disputes.</w:t>
      </w:r>
    </w:p>
    <w:p>
      <w:pPr>
        <w:spacing w:after="0" w:line="60" w:lineRule="exact"/>
        <w:rPr>
          <w:sz w:val="20"/>
          <w:szCs w:val="20"/>
          <w:color w:val="auto"/>
        </w:rPr>
      </w:pPr>
    </w:p>
    <w:p>
      <w:pPr>
        <w:ind w:left="540" w:right="2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56.3</w:t>
      </w:r>
      <w:r>
        <w:rPr>
          <w:sz w:val="20"/>
          <w:szCs w:val="20"/>
          <w:color w:val="auto"/>
        </w:rPr>
        <w:tab/>
      </w:r>
      <w:r>
        <w:rPr>
          <w:rFonts w:ascii="Times New Roman" w:cs="Times New Roman" w:eastAsia="Times New Roman" w:hAnsi="Times New Roman"/>
          <w:sz w:val="18"/>
          <w:szCs w:val="18"/>
          <w:b w:val="1"/>
          <w:bCs w:val="1"/>
          <w:color w:val="auto"/>
        </w:rPr>
        <w:t xml:space="preserve">Further Remedies. </w:t>
      </w:r>
      <w:r>
        <w:rPr>
          <w:rFonts w:ascii="Times New Roman" w:cs="Times New Roman" w:eastAsia="Times New Roman" w:hAnsi="Times New Roman"/>
          <w:sz w:val="18"/>
          <w:szCs w:val="18"/>
          <w:color w:val="auto"/>
        </w:rPr>
        <w:t>Without prejudice to any other rights or remedies that the Company may have, each Member acknowledges that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66" w:right="479" w:bottom="1440" w:gutter="0" w:footer="0" w:header="0"/>
        </w:sectPr>
      </w:pPr>
    </w:p>
    <w:bookmarkStart w:id="105" w:name="page106"/>
    <w:bookmarkEnd w:id="105"/>
    <w:p>
      <w:pPr>
        <w:jc w:val="both"/>
        <w:ind w:left="420" w:hanging="539"/>
        <w:spacing w:after="0" w:line="268"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56.4</w:t>
      </w:r>
      <w:r>
        <w:rPr>
          <w:sz w:val="20"/>
          <w:szCs w:val="20"/>
          <w:color w:val="auto"/>
        </w:rPr>
        <w:tab/>
      </w:r>
      <w:r>
        <w:rPr>
          <w:rFonts w:ascii="Times New Roman" w:cs="Times New Roman" w:eastAsia="Times New Roman" w:hAnsi="Times New Roman"/>
          <w:sz w:val="18"/>
          <w:szCs w:val="18"/>
          <w:b w:val="1"/>
          <w:bCs w:val="1"/>
          <w:color w:val="auto"/>
        </w:rPr>
        <w:t xml:space="preserve">U.S. Regulation. </w:t>
      </w:r>
      <w:r>
        <w:rPr>
          <w:rFonts w:ascii="Times New Roman" w:cs="Times New Roman" w:eastAsia="Times New Roman" w:hAnsi="Times New Roman"/>
          <w:sz w:val="18"/>
          <w:szCs w:val="18"/>
          <w:color w:val="auto"/>
        </w:rPr>
        <w:t>This Article 56 shall not apply to any action or suits brought to enforce any liability or duty created by the U.S.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1933, as amended, the Exchange Act, or any claim for which the federal district courts of the United States of America are, as a matter of the laws of the United States, the sole and exclusive forum for determination of such a claim.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80"/>
          </w:cols>
          <w:pgMar w:left="560" w:top="266" w:right="5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AGREEMENT</w:t>
      </w:r>
    </w:p>
    <w:p>
      <w:pPr>
        <w:spacing w:after="0" w:line="221" w:lineRule="exact"/>
        <w:rPr>
          <w:sz w:val="20"/>
          <w:szCs w:val="20"/>
          <w:color w:val="auto"/>
        </w:rPr>
      </w:pPr>
    </w:p>
    <w:p>
      <w:pPr>
        <w:ind w:right="700" w:firstLine="440"/>
        <w:spacing w:after="0" w:line="317" w:lineRule="auto"/>
        <w:rPr>
          <w:sz w:val="20"/>
          <w:szCs w:val="20"/>
          <w:color w:val="auto"/>
        </w:rPr>
      </w:pPr>
      <w:r>
        <w:rPr>
          <w:rFonts w:ascii="Times New Roman" w:cs="Times New Roman" w:eastAsia="Times New Roman" w:hAnsi="Times New Roman"/>
          <w:sz w:val="17"/>
          <w:szCs w:val="17"/>
          <w:color w:val="auto"/>
        </w:rPr>
        <w:t xml:space="preserve">THIS RIGHT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is made as of October 3, 2025 is by and between GigCapital8 Corp., a Cayman Islands exempted company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and Continental Stock Transfer &amp; Trust Company, a New York corporation (the </w:t>
      </w:r>
      <w:r>
        <w:rPr>
          <w:rFonts w:ascii="Times New Roman" w:cs="Times New Roman" w:eastAsia="Times New Roman" w:hAnsi="Times New Roman"/>
          <w:sz w:val="17"/>
          <w:szCs w:val="17"/>
          <w:b w:val="1"/>
          <w:bCs w:val="1"/>
          <w:i w:val="1"/>
          <w:iCs w:val="1"/>
          <w:color w:val="auto"/>
        </w:rPr>
        <w:t>“Rights Agent”</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WHEREAS, the Company is engaged in an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xml:space="preserve">) of units of the Company’s equity securities (the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to D. Boral Capital LLC (the</w:t>
      </w:r>
      <w:r>
        <w:rPr>
          <w:rFonts w:ascii="Times New Roman" w:cs="Times New Roman" w:eastAsia="Times New Roman" w:hAnsi="Times New Roman"/>
          <w:sz w:val="18"/>
          <w:szCs w:val="18"/>
          <w:b w:val="1"/>
          <w:bCs w:val="1"/>
          <w:i w:val="1"/>
          <w:iCs w:val="1"/>
          <w:color w:val="auto"/>
        </w:rPr>
        <w:t xml:space="preserve"> “Representative”</w:t>
      </w:r>
      <w:r>
        <w:rPr>
          <w:rFonts w:ascii="Times New Roman" w:cs="Times New Roman" w:eastAsia="Times New Roman" w:hAnsi="Times New Roman"/>
          <w:sz w:val="18"/>
          <w:szCs w:val="18"/>
          <w:color w:val="auto"/>
        </w:rPr>
        <w:t>), as representative of the several underwriters (the</w:t>
      </w:r>
      <w:r>
        <w:rPr>
          <w:rFonts w:ascii="Times New Roman" w:cs="Times New Roman" w:eastAsia="Times New Roman" w:hAnsi="Times New Roman"/>
          <w:sz w:val="18"/>
          <w:szCs w:val="18"/>
          <w:b w:val="1"/>
          <w:bCs w:val="1"/>
          <w:i w:val="1"/>
          <w:iCs w:val="1"/>
          <w:color w:val="auto"/>
        </w:rPr>
        <w:t xml:space="preserve"> “Underwriters”</w:t>
      </w:r>
      <w:r>
        <w:rPr>
          <w:rFonts w:ascii="Times New Roman" w:cs="Times New Roman" w:eastAsia="Times New Roman" w:hAnsi="Times New Roman"/>
          <w:sz w:val="18"/>
          <w:szCs w:val="18"/>
          <w:color w:val="auto"/>
        </w:rPr>
        <w:t>), each such Public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one Class A ordinary share, par value $0.0001 per share (“</w:t>
      </w:r>
      <w:r>
        <w:rPr>
          <w:rFonts w:ascii="Times New Roman" w:cs="Times New Roman" w:eastAsia="Times New Roman" w:hAnsi="Times New Roman"/>
          <w:sz w:val="18"/>
          <w:szCs w:val="18"/>
          <w:b w:val="1"/>
          <w:bCs w:val="1"/>
          <w:i w:val="1"/>
          <w:iCs w:val="1"/>
          <w:color w:val="auto"/>
        </w:rPr>
        <w:t>Class A Ordinary Share</w:t>
      </w:r>
      <w:r>
        <w:rPr>
          <w:rFonts w:ascii="Times New Roman" w:cs="Times New Roman" w:eastAsia="Times New Roman" w:hAnsi="Times New Roman"/>
          <w:sz w:val="18"/>
          <w:szCs w:val="18"/>
          <w:color w:val="auto"/>
        </w:rPr>
        <w:t xml:space="preserve">”), of the Company, one right to receive one-fifth (1/5) of one Class A Ordinary Share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upon the happening of an </w:t>
      </w:r>
      <w:r>
        <w:rPr>
          <w:rFonts w:ascii="Times New Roman" w:cs="Times New Roman" w:eastAsia="Times New Roman" w:hAnsi="Times New Roman"/>
          <w:sz w:val="18"/>
          <w:szCs w:val="18"/>
          <w:b w:val="1"/>
          <w:bCs w:val="1"/>
          <w:i w:val="1"/>
          <w:iCs w:val="1"/>
          <w:color w:val="auto"/>
        </w:rPr>
        <w:t>“Exchange Event”</w:t>
      </w:r>
      <w:r>
        <w:rPr>
          <w:rFonts w:ascii="Times New Roman" w:cs="Times New Roman" w:eastAsia="Times New Roman" w:hAnsi="Times New Roman"/>
          <w:sz w:val="18"/>
          <w:szCs w:val="18"/>
          <w:color w:val="auto"/>
        </w:rPr>
        <w:t xml:space="preserve"> (defined herein), and in connection therewith, has determined to issue and deliver up to 25,300,000 Rights (including up to 3,300,000 Rights subject to the exercise of the underwriters’ over-allotment option) to investors in the Offering;</w:t>
      </w:r>
    </w:p>
    <w:p>
      <w:pPr>
        <w:spacing w:after="0" w:line="18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the Company has filed a Registration Statement on Form S-1, File No. 333-289479, and the prospectus forming a part thereof (collectively,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and each of the securities comprising the Units, and the shares of Class A Ordinary Shares underlying the Rights;</w:t>
      </w:r>
    </w:p>
    <w:p>
      <w:pPr>
        <w:spacing w:after="0" w:line="17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WHEREAS, the Company has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various investors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such Investors have committed to purchase in the aggregate 242,475 units (the “</w:t>
      </w:r>
      <w:r>
        <w:rPr>
          <w:rFonts w:ascii="Times New Roman" w:cs="Times New Roman" w:eastAsia="Times New Roman" w:hAnsi="Times New Roman"/>
          <w:sz w:val="18"/>
          <w:szCs w:val="18"/>
          <w:b w:val="1"/>
          <w:bCs w:val="1"/>
          <w:i w:val="1"/>
          <w:iCs w:val="1"/>
          <w:color w:val="auto"/>
        </w:rPr>
        <w:t>Private Placement Units</w:t>
      </w:r>
      <w:r>
        <w:rPr>
          <w:rFonts w:ascii="Times New Roman" w:cs="Times New Roman" w:eastAsia="Times New Roman" w:hAnsi="Times New Roman"/>
          <w:sz w:val="18"/>
          <w:szCs w:val="18"/>
          <w:color w:val="auto"/>
        </w:rPr>
        <w:t>”), each such unit comprised of one Class A Ordinary Share and one Right, simultaneously with the closing of the Offering, and up to an aggregate of 19,982 additional Private Placement Units in connection with the exercise of the underwriter’s over-allotment option, if any, for a purchase price of $9.7374 per unit, and in connection therewith, has determined to issue and deliver up to 242,475 Rights (and up to an additional 19,982 Rights subject to the exercise of the underwriters’ over-allotment option) to the Investors;</w:t>
      </w:r>
    </w:p>
    <w:p>
      <w:pPr>
        <w:spacing w:after="0" w:line="18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entered into Unit Purchase Agreements with each of GigAcquisitions8 Corp., a Cayman Islands exempted company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other purchasers (collectively with the Sponsor, the “</w:t>
      </w:r>
      <w:r>
        <w:rPr>
          <w:rFonts w:ascii="Times New Roman" w:cs="Times New Roman" w:eastAsia="Times New Roman" w:hAnsi="Times New Roman"/>
          <w:sz w:val="18"/>
          <w:szCs w:val="18"/>
          <w:b w:val="1"/>
          <w:bCs w:val="1"/>
          <w:i w:val="1"/>
          <w:iCs w:val="1"/>
          <w:color w:val="auto"/>
        </w:rPr>
        <w:t>Private Placement Purchasers</w:t>
      </w:r>
      <w:r>
        <w:rPr>
          <w:rFonts w:ascii="Times New Roman" w:cs="Times New Roman" w:eastAsia="Times New Roman" w:hAnsi="Times New Roman"/>
          <w:sz w:val="18"/>
          <w:szCs w:val="18"/>
          <w:color w:val="auto"/>
        </w:rPr>
        <w:t>”), pursuant to which the Private Placement Purchasers have agreed to purchase an aggregate of 95,200 Private Placement Units (including if the underwriters’ over-allotment is exercised in full), for a purchase price of $9.7374 per unit, simultaneously with the closing of the Offering, and in connection therewith, has determined to issue and deliver 95,200 Rights (including if the underwriters’ over-allotment is exercised in full) to the Private Placement Purchasers;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Business Combination (as defined below), the Sponsor or any of its affiliates, or certain of the Company’s executive officers, directors or director nominees, may loan to the Company funds as the Company may require, of which up to $1,500,000 of such loans may be convertible into up to an additional 1,500,000 Private Placement Units at a price of $10.00 per unit;</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Rights Agent to act on behalf of the Company, and the Rights Agent is willing to so act, in connection with the issuance, registration, transfer and exchange of the Rights;</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Rights, the terms upon which they shall be issued, and the respective rights, limitation of rights, and immunities of the Company, the Rights Agent, and the holders of the Rights; and</w:t>
      </w:r>
    </w:p>
    <w:p>
      <w:pPr>
        <w:sectPr>
          <w:pgSz w:w="11900" w:h="16838" w:orient="portrait"/>
          <w:cols w:equalWidth="0" w:num="1">
            <w:col w:w="11020"/>
          </w:cols>
          <w:pgMar w:left="440" w:top="117" w:right="439" w:bottom="1440" w:gutter="0" w:footer="0" w:header="0"/>
        </w:sectPr>
      </w:pPr>
    </w:p>
    <w:bookmarkStart w:id="107" w:name="page108"/>
    <w:bookmarkEnd w:id="107"/>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all acts and things have been done and performed which are necessary to make the Rights, when executed on behalf of the Company and countersigned by or on behalf of the Rights Agent, as provided herein, the valid, binding and legal obligations of the Company, and to authorize the execution and delivery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right="180" w:firstLine="436"/>
        <w:spacing w:after="0" w:line="312" w:lineRule="auto"/>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Rights Agent</w:t>
      </w:r>
      <w:r>
        <w:rPr>
          <w:rFonts w:ascii="Times New Roman" w:cs="Times New Roman" w:eastAsia="Times New Roman" w:hAnsi="Times New Roman"/>
          <w:sz w:val="17"/>
          <w:szCs w:val="17"/>
          <w:color w:val="auto"/>
        </w:rPr>
        <w:t>. The Company hereby appoints the Rights Agent to act as agent for the Company for the Rights, and the Rights Agent hereby accepts such appointment and agrees to perform the same in accordance with the terms and conditions set forth in this Agreement.</w:t>
      </w:r>
    </w:p>
    <w:p>
      <w:pPr>
        <w:spacing w:after="0" w:line="139"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Right</w:t>
      </w:r>
      <w:r>
        <w:rPr>
          <w:rFonts w:ascii="Times New Roman" w:cs="Times New Roman" w:eastAsia="Times New Roman" w:hAnsi="Times New Roman"/>
          <w:sz w:val="18"/>
          <w:szCs w:val="18"/>
          <w:color w:val="auto"/>
        </w:rPr>
        <w:t xml:space="preserve">. Each Right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Chief Executive Officer of the Company and the Secretary of the Company, who may be the same person, and shall bear a facsimile of the Company’s seal, if any. In the event the person whose facsimile signature has been placed upon any Right shall have ceased to serve in the capacity in which such person signed the Right before such Right is issued, it may be issued with the same effect as if he or she had not ceased to be such at the date of issuance.</w:t>
      </w:r>
    </w:p>
    <w:p>
      <w:pPr>
        <w:spacing w:after="0" w:line="183"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Unless and until countersigned by the Rights Agent pursuant to this Agreement, a Right shall be invalid and of no effect and may not be exchanged for shares of Class A Ordinary Shares.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980" w:right="20" w:firstLine="401"/>
        <w:spacing w:after="0" w:line="26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Right Register</w:t>
      </w:r>
      <w:r>
        <w:rPr>
          <w:rFonts w:ascii="Times New Roman" w:cs="Times New Roman" w:eastAsia="Times New Roman" w:hAnsi="Times New Roman"/>
          <w:sz w:val="18"/>
          <w:szCs w:val="18"/>
          <w:color w:val="auto"/>
        </w:rPr>
        <w:t>. The Rights Agent shall maintain books (</w:t>
      </w:r>
      <w:r>
        <w:rPr>
          <w:rFonts w:ascii="Times New Roman" w:cs="Times New Roman" w:eastAsia="Times New Roman" w:hAnsi="Times New Roman"/>
          <w:sz w:val="18"/>
          <w:szCs w:val="18"/>
          <w:b w:val="1"/>
          <w:bCs w:val="1"/>
          <w:i w:val="1"/>
          <w:iCs w:val="1"/>
          <w:color w:val="auto"/>
        </w:rPr>
        <w:t>“Right Register”</w:t>
      </w:r>
      <w:r>
        <w:rPr>
          <w:rFonts w:ascii="Times New Roman" w:cs="Times New Roman" w:eastAsia="Times New Roman" w:hAnsi="Times New Roman"/>
          <w:sz w:val="18"/>
          <w:szCs w:val="18"/>
          <w:color w:val="auto"/>
        </w:rPr>
        <w:t>) for the registration of original issuance and the registration of transfer of the Rights. Upon the initial issuance of the Rights, the Rights Agent shall issue and register the Rights in the names of the respective holders thereof in such denominations and otherwise in accordance with instructions delivered to the Rights Agent by the Company.</w:t>
      </w:r>
    </w:p>
    <w:p>
      <w:pPr>
        <w:spacing w:after="0" w:line="72" w:lineRule="exact"/>
        <w:rPr>
          <w:sz w:val="20"/>
          <w:szCs w:val="20"/>
          <w:color w:val="auto"/>
        </w:rPr>
      </w:pPr>
    </w:p>
    <w:p>
      <w:pPr>
        <w:ind w:left="980" w:right="200" w:firstLine="401"/>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Right, the Company and the Rights Agent may deem and treat the person in whose name such Right shall be registered upon the Right Register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Right and of each Right represented thereby (notwithstanding any notation of ownership or other writing on the Right Certificate made by anyone other than the Company or the Rights Agent), for the purpose of the exchange thereof, and for all other purposes, and neither the Company nor the Rights Agent shall be affected by any notice to the contrary.</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Rights</w:t>
      </w:r>
      <w:r>
        <w:rPr>
          <w:rFonts w:ascii="Times New Roman" w:cs="Times New Roman" w:eastAsia="Times New Roman" w:hAnsi="Times New Roman"/>
          <w:sz w:val="18"/>
          <w:szCs w:val="18"/>
          <w:color w:val="auto"/>
        </w:rPr>
        <w:t>. The securities comprising the Public Units, including the Rights, will be separately transferable beginning on the 52nd day following the date of the Prospectus, unless the Representative informs the Company of its decision to allow separate earlier trading, subject to the Company having filed a Current Report on Form 8-K which includes an audited balance sheet reflecting the receipt by the Company of the gross proceeds of the Offering including the proceeds received by the Company from the exercise of the over-allotment option, if the over-allotment option is exercised by the date thereof, and the Company issues a press release announcing when such separate trading shall begin.</w:t>
      </w:r>
    </w:p>
    <w:p>
      <w:pPr>
        <w:spacing w:after="0" w:line="183" w:lineRule="exact"/>
        <w:rPr>
          <w:sz w:val="20"/>
          <w:szCs w:val="20"/>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Each Right shall entitle the holder thereof to receive one-fifth (1/5) of Class A Ordinary Share upon the happening of an Exchange Event (defined below). No additional consideration shall be paid by a holder of Rights in order to receive his, her or its shares of Class A Ordinary Shares upon an Exchange Event as the purchase price for such shares of Class A Ordinary Shares has been included in the purchase price for the Public Units and the Private Units, as applicable. In no event will the Company be required to net cash settle the Rights. The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may not be modified, amended or deleted without the prior written consent of the Representative.</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8" w:name="page109"/>
    <w:bookmarkEnd w:id="108"/>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Exchange Event</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“Exchange Event”</w:t>
      </w:r>
      <w:r>
        <w:rPr>
          <w:rFonts w:ascii="Times New Roman" w:cs="Times New Roman" w:eastAsia="Times New Roman" w:hAnsi="Times New Roman"/>
          <w:sz w:val="18"/>
          <w:szCs w:val="18"/>
          <w:color w:val="auto"/>
        </w:rPr>
        <w:t xml:space="preserve"> shall occur upon the Company’s consummation of an initial Business Combination (as defined in the Company’s Amended and Restated Memorandum and Articles of Association).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Exchange of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firstLine="401"/>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As soon as practicable upon the occurrence of an Exchange Event, the Company shall direct holders of the Rights to return their Rights Certificates to the Rights Agent. Upon receipt of a valid Rights Certificate, the Company shall issue to the registered holder of such Right(s) a certificate or certificates for the number of full shares of Class A Ordinary Shares to which he, she or it is entitled, registered in such name or names as may be directed by him, her or it. Notwithstanding the foregoing, or any provision contained in this Agreement to the contrary, in no event will the Company be required to net cash settle the Rights. The Company shall not issue fractional shares upon exchange of Rights. At the time of an Exchange Event, the Company will either instruct the Rights Agent to round up to the nearest whole share of Class A Ordinary Shares or otherwise inform it how fractional shares will be addressed, in accordance with Cayman Islands law. Each holder of a Right will be required to affirmatively convert his, her or its rights in order to receive the one-fifth (1/5) of a Class A Ordinary Share underlying each right (without paying any additional consideration) upon consummation of the Exchange Event. Each holder of a Right will be required to indicate his, her or its election to convert the Rights into the underlying shares as well as to return the original certificates evidencing the Rights to the Company.</w:t>
      </w:r>
    </w:p>
    <w:p>
      <w:pPr>
        <w:spacing w:after="0" w:line="84" w:lineRule="exact"/>
        <w:rPr>
          <w:sz w:val="20"/>
          <w:szCs w:val="20"/>
          <w:color w:val="auto"/>
        </w:rPr>
      </w:pPr>
    </w:p>
    <w:p>
      <w:pPr>
        <w:ind w:left="980" w:right="240" w:firstLine="401"/>
        <w:spacing w:after="0" w:line="28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Class A Ordinary Shares issued upon an exchange of Rights in conformity with this Agreement shall be validly issued, fully paid and nonassessable.</w:t>
      </w:r>
    </w:p>
    <w:p>
      <w:pPr>
        <w:spacing w:after="0" w:line="54" w:lineRule="exact"/>
        <w:rPr>
          <w:sz w:val="20"/>
          <w:szCs w:val="20"/>
          <w:color w:val="auto"/>
        </w:rPr>
      </w:pPr>
    </w:p>
    <w:p>
      <w:pPr>
        <w:ind w:left="980" w:right="180" w:firstLine="401"/>
        <w:spacing w:after="0" w:line="266"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such certificate for shares of Class A Ordinary Shares is issued shall for all purposes be deemed to have become the holder of record of such shares on the date of the Exchange Event, irrespective of the date of delivery of such certificate.</w:t>
      </w:r>
    </w:p>
    <w:p>
      <w:pPr>
        <w:spacing w:after="0" w:line="68" w:lineRule="exact"/>
        <w:rPr>
          <w:sz w:val="20"/>
          <w:szCs w:val="20"/>
          <w:color w:val="auto"/>
        </w:rPr>
      </w:pPr>
    </w:p>
    <w:p>
      <w:pPr>
        <w:ind w:left="980" w:right="60" w:firstLine="401"/>
        <w:spacing w:after="0" w:line="261"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Company Not Surviving Following Exchange Event</w:t>
      </w:r>
      <w:r>
        <w:rPr>
          <w:rFonts w:ascii="Times New Roman" w:cs="Times New Roman" w:eastAsia="Times New Roman" w:hAnsi="Times New Roman"/>
          <w:sz w:val="18"/>
          <w:szCs w:val="18"/>
          <w:color w:val="auto"/>
        </w:rPr>
        <w:t xml:space="preserve">. Upon an Exchange Event in which the Company does not continue as the publicly held reporting entity, the definitive agreement will provide for the holders of Rights to receive the same per share consideration the holders of the shares of Class A Ordinary Shares will receive in such transaction, for the number of shares such holder is entitled to pursuant to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Duration of Rights</w:t>
      </w:r>
      <w:r>
        <w:rPr>
          <w:rFonts w:ascii="Times New Roman" w:cs="Times New Roman" w:eastAsia="Times New Roman" w:hAnsi="Times New Roman"/>
          <w:sz w:val="18"/>
          <w:szCs w:val="18"/>
          <w:color w:val="auto"/>
        </w:rPr>
        <w:t>. If an Exchange Event does not occur within the time period set forth in the Company’s Amended and Restated Memorandum of Articles of Association, as the same may be amended from time to time, the Rights shall expire and shall be worthless.</w:t>
      </w:r>
    </w:p>
    <w:p>
      <w:pPr>
        <w:spacing w:after="0" w:line="162" w:lineRule="exact"/>
        <w:rPr>
          <w:sz w:val="20"/>
          <w:szCs w:val="20"/>
          <w:color w:val="auto"/>
        </w:rPr>
      </w:pPr>
    </w:p>
    <w:p>
      <w:pPr>
        <w:ind w:left="620" w:hanging="184"/>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Rights Agent shall register the transfer, from time to time, of any outstanding Right upon the Right Register, upon surrender of such Right for transfer, properly endorsed with signatures properly guaranteed and accompanied by appropriate instructions for transfer. Upon any such transfer, a new Right representing an equal aggregate number of Rights shall be issued and the old Right shall be cancelled by the Rights Agent. The Rights so cancelled shall be delivered by the Rights Agent to the Company from time to time upon request.</w:t>
      </w:r>
    </w:p>
    <w:p>
      <w:pPr>
        <w:spacing w:after="0" w:line="18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Procedure for Surrender of Rights</w:t>
      </w:r>
      <w:r>
        <w:rPr>
          <w:rFonts w:ascii="Times New Roman" w:cs="Times New Roman" w:eastAsia="Times New Roman" w:hAnsi="Times New Roman"/>
          <w:sz w:val="18"/>
          <w:szCs w:val="18"/>
          <w:color w:val="auto"/>
        </w:rPr>
        <w:t>. Rights may be surrendered to the Rights Agent, together with a written request for exchange or transfer, and thereupon the Rights Agent shall issue in exchange therefor one or more new Rights as requested by the registered holder of the Rights so surrendered, representing an equal aggregate number of Rights; provided, however, that in the event that a Right surrendered for transfer bears a restrictive legend, the Rights Agent shall not cancel such Right and issue new Rights in exchange therefor until the Rights Agent has received an opinion of counsel for the Company, which may be its internal legal counsel, stating that such transfer may be made and indicating whether the new Rights must also bear a restrictive legend.</w:t>
      </w:r>
    </w:p>
    <w:p>
      <w:pPr>
        <w:spacing w:after="0" w:line="18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Fractional Rights</w:t>
      </w:r>
      <w:r>
        <w:rPr>
          <w:rFonts w:ascii="Times New Roman" w:cs="Times New Roman" w:eastAsia="Times New Roman" w:hAnsi="Times New Roman"/>
          <w:sz w:val="18"/>
          <w:szCs w:val="18"/>
          <w:color w:val="auto"/>
        </w:rPr>
        <w:t>. The Rights Agent shall not be required to effect any registration of transfer or exchange which will result in the issuance of a Right Certificate for a fraction of a Right.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Rights.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09" w:name="page110"/>
    <w:bookmarkEnd w:id="109"/>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Right Execution and Countersignature</w:t>
      </w:r>
      <w:r>
        <w:rPr>
          <w:rFonts w:ascii="Times New Roman" w:cs="Times New Roman" w:eastAsia="Times New Roman" w:hAnsi="Times New Roman"/>
          <w:sz w:val="18"/>
          <w:szCs w:val="18"/>
          <w:color w:val="auto"/>
        </w:rPr>
        <w:t xml:space="preserve">. The Rights Agent is hereby authorized to countersign and to deliver, in accordance with the terms of this Agreement, the Rights required to be issued pursuant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and the Company, whenever required by the Rights Agent, will supply the Rights Agent with Rights duly executed on behalf of the Company for such purpose.</w:t>
      </w:r>
    </w:p>
    <w:p>
      <w:pPr>
        <w:spacing w:after="0" w:line="176" w:lineRule="exact"/>
        <w:rPr>
          <w:sz w:val="20"/>
          <w:szCs w:val="20"/>
          <w:color w:val="auto"/>
        </w:rPr>
      </w:pPr>
    </w:p>
    <w:p>
      <w:pPr>
        <w:ind w:left="620" w:hanging="184"/>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Until exchange of a Right for shares of Class A Ordinary Shares as provided for herein, a Right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Lost, Stolen, Mutilated, or Destroyed Rights</w:t>
      </w:r>
      <w:r>
        <w:rPr>
          <w:rFonts w:ascii="Times New Roman" w:cs="Times New Roman" w:eastAsia="Times New Roman" w:hAnsi="Times New Roman"/>
          <w:sz w:val="18"/>
          <w:szCs w:val="18"/>
          <w:color w:val="auto"/>
        </w:rPr>
        <w:t>. If any Right is lost, stolen, mutilated, or destroyed, the Company and the Rights Agent may on such terms as to indemnity or otherwise as they may in their discretion impose (which shall, in the case of a mutilated Right, include the surrender thereof), issue a new Right of like denomination, tenor, and date as the Right so lost, stolen, mutilated, or destroyed. Any such new Right shall constitute a substitute contractual obligation of the Company, whether or not the allegedly lost, stolen, mutilated, or destroyed Right shall be at any time enforceable by anyone.</w:t>
      </w:r>
    </w:p>
    <w:p>
      <w:pPr>
        <w:spacing w:after="0" w:line="183" w:lineRule="exact"/>
        <w:rPr>
          <w:sz w:val="20"/>
          <w:szCs w:val="20"/>
          <w:color w:val="auto"/>
        </w:rPr>
      </w:pPr>
    </w:p>
    <w:p>
      <w:pPr>
        <w:ind w:right="2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Reservation of Class A Ordinary Shares</w:t>
      </w:r>
      <w:r>
        <w:rPr>
          <w:rFonts w:ascii="Times New Roman" w:cs="Times New Roman" w:eastAsia="Times New Roman" w:hAnsi="Times New Roman"/>
          <w:sz w:val="17"/>
          <w:szCs w:val="17"/>
          <w:color w:val="auto"/>
        </w:rPr>
        <w:t>. The Company shall at all times reserve and keep available a number of its authorized but unissued shares of Class A Ordinary Shares that will be sufficient to permit the exchange of all outstanding Rights issued pursuant to this Agreement.</w:t>
      </w:r>
    </w:p>
    <w:p>
      <w:pPr>
        <w:spacing w:after="0" w:line="140" w:lineRule="exact"/>
        <w:rPr>
          <w:sz w:val="20"/>
          <w:szCs w:val="20"/>
          <w:color w:val="auto"/>
        </w:rPr>
      </w:pPr>
    </w:p>
    <w:p>
      <w:pPr>
        <w:ind w:left="620" w:hanging="184"/>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Rights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Rights Agent in respect of the issuance or delivery of shares of Class A Ordinary Shares upon the exchange of Rights, but the Company shall not be obligated to pay any transfer taxes in respect of the Rights or such shares.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Resignation, Consolidation, or Merger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firstLine="401"/>
        <w:spacing w:after="0" w:line="25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Appointment of Successor Rights Agent</w:t>
      </w:r>
      <w:r>
        <w:rPr>
          <w:rFonts w:ascii="Times New Roman" w:cs="Times New Roman" w:eastAsia="Times New Roman" w:hAnsi="Times New Roman"/>
          <w:sz w:val="18"/>
          <w:szCs w:val="18"/>
          <w:color w:val="auto"/>
        </w:rPr>
        <w:t>. The Rights Agent, or any successor to it hereafter appointed, may resign its duties and be discharged from all further duties and liabilities hereunder after giving sixty (60) days’ notice in writing to the Company. If the office of the Rights Agent becomes vacant by resignation or in capacity to act or otherwise, the Company shall appoint in writing a successor Rights Agent in place of the Rights Agent. If the Company shall fail to make such appointment within a period of thirty (30) days after it has been notified in writing of such resignation or in capacity by the Rights Agent or by the holder of the Right (who shall, with such notice, submit his, her or its Right for inspection by the Company), then the holder of any Right may apply to the Supreme Court of the State of New York for the County of New York for the appointment of a successor Rights Agent at the Company’s cost. Any successor Rights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Rights Agent shall be vested with all the authority, powers, rights, immunities, duties, and obligations of its predecessor Rights Agent with like effect as if originally named as Rights Agent hereunder, without any further act or deed; but if for any reason it becomes necessary or appropriate, the predecessor Rights Agent shall execute and deliver, at the expense of the Company, an instrument transferring to such successor Rights Agent all the authority, powers, and rights of such predecessor Rights Agent hereunder; and upon request of any successor Rights Agent the Company shall make, execute, acknowledge, and deliver any and all instruments in writing for more fully and effectually vesting in and confirming to such successor Rights Agent all such authority, powers, rights, immunities, duties, and obligations.</w:t>
      </w:r>
    </w:p>
    <w:p>
      <w:pPr>
        <w:spacing w:after="0" w:line="85" w:lineRule="exact"/>
        <w:rPr>
          <w:sz w:val="20"/>
          <w:szCs w:val="20"/>
          <w:color w:val="auto"/>
        </w:rPr>
      </w:pPr>
    </w:p>
    <w:p>
      <w:pPr>
        <w:ind w:left="980" w:right="80" w:firstLine="401"/>
        <w:spacing w:after="0" w:line="266"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Notice of Successor Rights Agent</w:t>
      </w:r>
      <w:r>
        <w:rPr>
          <w:rFonts w:ascii="Times New Roman" w:cs="Times New Roman" w:eastAsia="Times New Roman" w:hAnsi="Times New Roman"/>
          <w:sz w:val="18"/>
          <w:szCs w:val="18"/>
          <w:color w:val="auto"/>
        </w:rPr>
        <w:t>. In the event a successor Rights Agent shall be appointed, the Company shall give notice thereof to the predecessor Rights Agent and the transfer agent for the Class A Ordinary Shares not later than the effective date of any such appointment.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0" w:name="page111"/>
    <w:bookmarkEnd w:id="110"/>
    <w:p>
      <w:pPr>
        <w:ind w:left="980" w:right="20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6.2.3 </w:t>
      </w:r>
      <w:r>
        <w:rPr>
          <w:rFonts w:ascii="Times New Roman" w:cs="Times New Roman" w:eastAsia="Times New Roman" w:hAnsi="Times New Roman"/>
          <w:sz w:val="18"/>
          <w:szCs w:val="18"/>
          <w:u w:val="single" w:color="auto"/>
          <w:color w:val="auto"/>
        </w:rPr>
        <w:t>Merger or Consolidation of Rights Agent</w:t>
      </w:r>
      <w:r>
        <w:rPr>
          <w:rFonts w:ascii="Times New Roman" w:cs="Times New Roman" w:eastAsia="Times New Roman" w:hAnsi="Times New Roman"/>
          <w:sz w:val="18"/>
          <w:szCs w:val="18"/>
          <w:color w:val="auto"/>
        </w:rPr>
        <w:t>. Any corporation into which the Rights Agent may be merged or with which it may be consolidated or any corporation resulting from any merger or consolidation to which the Rights Agent shall be a party shall be the successor Rights Agent under this Agreement without any further 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Fees and Expenses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100" w:firstLine="401"/>
        <w:spacing w:after="0" w:line="266"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Rights Agent reasonable remuneration for its services as such Rights Agent hereunder and will reimburse the Rights Agent promptly upon demand for all expenditures that the Rights Agent may reasonably incur in the execution of its duties hereunder.</w:t>
      </w:r>
    </w:p>
    <w:p>
      <w:pPr>
        <w:spacing w:after="0" w:line="68" w:lineRule="exact"/>
        <w:rPr>
          <w:sz w:val="20"/>
          <w:szCs w:val="20"/>
          <w:color w:val="auto"/>
        </w:rPr>
      </w:pPr>
    </w:p>
    <w:p>
      <w:pPr>
        <w:ind w:left="980" w:right="200" w:firstLine="401"/>
        <w:spacing w:after="0" w:line="266" w:lineRule="auto"/>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Rights Agent for the carrying out or performing of the provisions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Liability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firstLine="401"/>
        <w:spacing w:after="0" w:line="256" w:lineRule="auto"/>
        <w:rPr>
          <w:sz w:val="20"/>
          <w:szCs w:val="20"/>
          <w:color w:val="auto"/>
        </w:rPr>
      </w:pPr>
      <w:r>
        <w:rPr>
          <w:rFonts w:ascii="Times New Roman" w:cs="Times New Roman" w:eastAsia="Times New Roman" w:hAnsi="Times New Roman"/>
          <w:sz w:val="18"/>
          <w:szCs w:val="18"/>
          <w:color w:val="auto"/>
        </w:rPr>
        <w:t xml:space="preserve">6.4.1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Operating Officer or Chief Financial Officer and delivered to the Rights Agent. The Rights Agent may rely upon such statement for any action taken or suffered in good faith by it pursuant to the provisions of this Agreement.</w:t>
      </w:r>
    </w:p>
    <w:p>
      <w:pPr>
        <w:spacing w:after="0" w:line="79" w:lineRule="exact"/>
        <w:rPr>
          <w:sz w:val="20"/>
          <w:szCs w:val="20"/>
          <w:color w:val="auto"/>
        </w:rPr>
      </w:pPr>
    </w:p>
    <w:p>
      <w:pPr>
        <w:ind w:left="980" w:right="480" w:firstLine="401"/>
        <w:spacing w:after="0" w:line="261" w:lineRule="auto"/>
        <w:rPr>
          <w:sz w:val="20"/>
          <w:szCs w:val="20"/>
          <w:color w:val="auto"/>
        </w:rPr>
      </w:pPr>
      <w:r>
        <w:rPr>
          <w:rFonts w:ascii="Times New Roman" w:cs="Times New Roman" w:eastAsia="Times New Roman" w:hAnsi="Times New Roman"/>
          <w:sz w:val="18"/>
          <w:szCs w:val="18"/>
          <w:color w:val="auto"/>
        </w:rPr>
        <w:t xml:space="preserve">6.4.2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The Rights Agent shall be liable hereunder only for its own gross negligence, willful misconduct or bad faith.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below, the Company agrees to indemnify the Rights Agent and save it harmless against any and all liabilities, including judgments, costs and reasonable counsel fees, for anything done or omitted by the Rights Agent in the execution of this Agreement except as a result of the Rights Agent’s gross negligence, willful misconduct, or bad faith.</w:t>
      </w:r>
    </w:p>
    <w:p>
      <w:pPr>
        <w:spacing w:after="0" w:line="72" w:lineRule="exact"/>
        <w:rPr>
          <w:sz w:val="20"/>
          <w:szCs w:val="20"/>
          <w:color w:val="auto"/>
        </w:rPr>
      </w:pPr>
    </w:p>
    <w:p>
      <w:pPr>
        <w:ind w:left="980" w:right="20" w:firstLine="401"/>
        <w:spacing w:after="0" w:line="258" w:lineRule="auto"/>
        <w:rPr>
          <w:sz w:val="20"/>
          <w:szCs w:val="20"/>
          <w:color w:val="auto"/>
        </w:rPr>
      </w:pPr>
      <w:r>
        <w:rPr>
          <w:rFonts w:ascii="Times New Roman" w:cs="Times New Roman" w:eastAsia="Times New Roman" w:hAnsi="Times New Roman"/>
          <w:sz w:val="18"/>
          <w:szCs w:val="18"/>
          <w:color w:val="auto"/>
        </w:rPr>
        <w:t xml:space="preserve">6.4.3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Rights Agent shall have no responsibility with respect to the validity of this Agreement or with respect to the validity or execution of any Right (except its countersignature thereof); nor shall it be responsible for any breach by the Company of any covenant or condition contained in this Agreement or in any Right; nor shall it by any act hereunder be deemed to make any representation or warranty as to the authorization or reservation of any Class A Ordinary Shares to be issued pursuant to this Agreement or any Right or as to whether any Class A Ordinary Shares will when issued be valid and fully paid and nonassessable.</w:t>
      </w:r>
    </w:p>
    <w:p>
      <w:pPr>
        <w:spacing w:after="0" w:line="183"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Rights Agent hereby accepts the agency established by this Agreement and agrees to perform the same upon the terms and conditions herein set forth.</w:t>
      </w:r>
    </w:p>
    <w:p>
      <w:pPr>
        <w:spacing w:after="0" w:line="162"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Trust Waiver</w:t>
      </w:r>
      <w:r>
        <w:rPr>
          <w:rFonts w:ascii="Times New Roman" w:cs="Times New Roman" w:eastAsia="Times New Roman" w:hAnsi="Times New Roman"/>
          <w:sz w:val="17"/>
          <w:szCs w:val="17"/>
          <w:color w:val="auto"/>
        </w:rPr>
        <w:t>. Notwithstanding anything to the contrary herein, the Rights Agent hereby waives any and all right, title, interest or claim of any kind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xml:space="preserve">) in or to any distribution from the trust account in which the proceeds of the Offering will be deposited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and hereby agrees not to seek recourse, reimbursement, payment or satisfaction for any Claim against the Trust Account for any reason whatsoever.</w:t>
      </w:r>
    </w:p>
    <w:p>
      <w:pPr>
        <w:spacing w:after="0" w:line="158" w:lineRule="exact"/>
        <w:rPr>
          <w:sz w:val="20"/>
          <w:szCs w:val="20"/>
          <w:color w:val="auto"/>
        </w:rPr>
      </w:pPr>
    </w:p>
    <w:p>
      <w:pPr>
        <w:ind w:left="620" w:hanging="184"/>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w:t>
      </w:r>
    </w:p>
    <w:p>
      <w:pPr>
        <w:spacing w:after="0" w:line="16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Rights Agent or by the holder of any Right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Rights Agent),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Dr. Avi S. Katz</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1" w:name="page112"/>
    <w:bookmarkEnd w:id="111"/>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statement or demand authorized by this Agreement to be given or made by the holder of any Right or by the Company to or on the Rights Agent shall be sufficiently given when so delivered if by hand or overnight delivery or if sent by certified mail or private courier service within five days after deposit of such notice, postage prepaid, addressed (until another address is filed in writing by the Rights Agent with the Company), as follows: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440"/>
        <w:spacing w:after="0" w:line="196" w:lineRule="auto"/>
        <w:rPr>
          <w:sz w:val="20"/>
          <w:szCs w:val="20"/>
          <w:color w:val="auto"/>
        </w:rPr>
      </w:pPr>
      <w:r>
        <w:rPr>
          <w:rFonts w:ascii="Times New Roman" w:cs="Times New Roman" w:eastAsia="Times New Roman" w:hAnsi="Times New Roman"/>
          <w:sz w:val="18"/>
          <w:szCs w:val="18"/>
          <w:color w:val="auto"/>
        </w:rPr>
        <w:t>1 State Street Plaza,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20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Agreement and of the Rights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7.2 hereof. Such mailing shall be deemed personal service and shall be legal and binding upon the Company in any action, proceeding or claim.</w:t>
      </w:r>
    </w:p>
    <w:p>
      <w:pPr>
        <w:spacing w:after="0" w:line="192"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xml:space="preserve">. Nothing in this Agreement expressed and nothing that may be implied from any of the provisions hereof is intended, or shall be construed, to confer upon, or give to, any person or corporation other than the parties hereto and the registered holders of the Rights and, for the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and 7.8 hereof; the Representative, any right, remedy, or claim under or by reason of this Agreement or of any covenant, condition, stipulation, promise, or agreement hereof. The Representative shall be deemed to be a third-party beneficiary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7.4 and 7.8 hereof. All covenants, conditions, stipulations, promises, and agreements contained in this Agreement shall be for the sole and exclusive benefit of the parties hereto (and the Representative with respect to the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7.4 and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and their successors and assigns and of the registered holders of the Rights. 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may not be modified, amended or deleted without the prior written consent of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-715010</wp:posOffset>
            </wp:positionV>
            <wp:extent cx="1714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-440690</wp:posOffset>
            </wp:positionV>
            <wp:extent cx="171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-440690</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-303530</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Examination of the Right Agreement</w:t>
      </w:r>
      <w:r>
        <w:rPr>
          <w:rFonts w:ascii="Times New Roman" w:cs="Times New Roman" w:eastAsia="Times New Roman" w:hAnsi="Times New Roman"/>
          <w:sz w:val="18"/>
          <w:szCs w:val="18"/>
          <w:color w:val="auto"/>
        </w:rPr>
        <w:t>. A copy of this Agreement shall be available at all reasonable times at the office of the Rights Agent in the Borough of Manhattan, City and State of New York, for inspection by the registered holder of any Right. The Rights Agent may require any such holder to submit his, her or its Right for inspection by it.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the written consent or vote of the registered holders of 51% of the then outstanding Rights. The provisions of this Section 7.8 may not be modified, amended or deleted without the prior written consent of the Representative.</w:t>
      </w:r>
    </w:p>
    <w:p>
      <w:pPr>
        <w:spacing w:after="0" w:line="18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17145</wp:posOffset>
            </wp:positionV>
            <wp:extent cx="26231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COMPANY, as Rights Agent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Henry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17145</wp:posOffset>
            </wp:positionV>
            <wp:extent cx="26231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Henry Farrell</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Rights Agreement</w:t>
      </w:r>
    </w:p>
    <w:p>
      <w:pPr>
        <w:sectPr>
          <w:pgSz w:w="11900" w:h="16838" w:orient="portrait"/>
          <w:cols w:equalWidth="0" w:num="1">
            <w:col w:w="9820"/>
          </w:cols>
          <w:pgMar w:left="880" w:top="270" w:right="119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 CERTIFICATE</w:t>
      </w:r>
    </w:p>
    <w:p>
      <w:pPr>
        <w:sectPr>
          <w:pgSz w:w="11900" w:h="16838" w:orient="portrait"/>
          <w:cols w:equalWidth="0" w:num="1">
            <w:col w:w="9019"/>
          </w:cols>
          <w:pgMar w:left="1440" w:top="266"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590 Madison Avenue, 39th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Initial Public Offering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by and among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 Boral Capital LLC,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the several underwriters named therein (the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xml:space="preserve">”), of 22,000,000 units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Initial Units</w:t>
      </w:r>
      <w:r>
        <w:rPr>
          <w:rFonts w:ascii="Times New Roman" w:cs="Times New Roman" w:eastAsia="Times New Roman" w:hAnsi="Times New Roman"/>
          <w:sz w:val="18"/>
          <w:szCs w:val="18"/>
          <w:color w:val="auto"/>
        </w:rPr>
        <w:t>”) of the Company, and up to 3,300,000 Units that may be purchased to cover over-allotments, if any (together with the Initial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Class A ordinary share of the Company, par value $0.0001 per share (each, a “</w:t>
      </w:r>
      <w:r>
        <w:rPr>
          <w:rFonts w:ascii="Times New Roman" w:cs="Times New Roman" w:eastAsia="Times New Roman" w:hAnsi="Times New Roman"/>
          <w:sz w:val="18"/>
          <w:szCs w:val="18"/>
          <w:b w:val="1"/>
          <w:bCs w:val="1"/>
          <w:i w:val="1"/>
          <w:iCs w:val="1"/>
          <w:color w:val="auto"/>
        </w:rPr>
        <w:t>Class A Ordinary Share</w:t>
      </w:r>
      <w:r>
        <w:rPr>
          <w:rFonts w:ascii="Times New Roman" w:cs="Times New Roman" w:eastAsia="Times New Roman" w:hAnsi="Times New Roman"/>
          <w:sz w:val="18"/>
          <w:szCs w:val="18"/>
          <w:color w:val="auto"/>
        </w:rPr>
        <w:t>” and such shares included in the Units,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and one right to receive one-fifth of one Class A Ordinary Share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and the Rights included in the Units sold, the “</w:t>
      </w:r>
      <w:r>
        <w:rPr>
          <w:rFonts w:ascii="Times New Roman" w:cs="Times New Roman" w:eastAsia="Times New Roman" w:hAnsi="Times New Roman"/>
          <w:sz w:val="18"/>
          <w:szCs w:val="18"/>
          <w:b w:val="1"/>
          <w:bCs w:val="1"/>
          <w:i w:val="1"/>
          <w:iCs w:val="1"/>
          <w:color w:val="auto"/>
        </w:rPr>
        <w:t>Offering Rights</w:t>
      </w:r>
      <w:r>
        <w:rPr>
          <w:rFonts w:ascii="Times New Roman" w:cs="Times New Roman" w:eastAsia="Times New Roman" w:hAnsi="Times New Roman"/>
          <w:sz w:val="18"/>
          <w:szCs w:val="18"/>
          <w:color w:val="auto"/>
        </w:rPr>
        <w:t>”). Each five rights entitles the holder thereof to receive one Class A Ordinary Share upon the consummation of our business combination. The Units shall be sold in the Public Offering pursuant to a registration statement on Form S-1 and a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Certain capitalized terms used herein are defined in paragraph 13 hereof.</w:t>
      </w:r>
    </w:p>
    <w:p>
      <w:pPr>
        <w:spacing w:after="0" w:line="189"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In order to induce the Company and the Underwriters to enter into the Underwriting Agreement and to proceed with the Public Offering and for other good and valuable consideration, the receipt and sufficiency of which are hereby acknowledged, (i) GigAcquisitions8 Corp., a Cayman Islands exempted company (the “</w:t>
      </w:r>
      <w:r>
        <w:rPr>
          <w:rFonts w:ascii="Times New Roman" w:cs="Times New Roman" w:eastAsia="Times New Roman" w:hAnsi="Times New Roman"/>
          <w:sz w:val="17"/>
          <w:szCs w:val="17"/>
          <w:b w:val="1"/>
          <w:bCs w:val="1"/>
          <w:i w:val="1"/>
          <w:iCs w:val="1"/>
          <w:color w:val="auto"/>
        </w:rPr>
        <w:t>Sponsor</w:t>
      </w:r>
      <w:r>
        <w:rPr>
          <w:rFonts w:ascii="Times New Roman" w:cs="Times New Roman" w:eastAsia="Times New Roman" w:hAnsi="Times New Roman"/>
          <w:sz w:val="17"/>
          <w:szCs w:val="17"/>
          <w:color w:val="auto"/>
        </w:rPr>
        <w:t>”), (ii) Lynrock Lake Master Fund LP as a transferee of Founder Shares from the Sponsor (“</w:t>
      </w:r>
      <w:r>
        <w:rPr>
          <w:rFonts w:ascii="Times New Roman" w:cs="Times New Roman" w:eastAsia="Times New Roman" w:hAnsi="Times New Roman"/>
          <w:sz w:val="17"/>
          <w:szCs w:val="17"/>
          <w:b w:val="1"/>
          <w:bCs w:val="1"/>
          <w:i w:val="1"/>
          <w:iCs w:val="1"/>
          <w:color w:val="auto"/>
        </w:rPr>
        <w:t>Lynrock Lake</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120" w:hanging="4"/>
        <w:spacing w:after="0" w:line="253" w:lineRule="auto"/>
        <w:tabs>
          <w:tab w:leader="none" w:pos="3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individuals, being an executive officer, director or director nominee of the Company (certain of which are also transferees of Founder Shares from the Sponsor) and signing this Letter Agreement in his or her personal capacity and not on behalf of the Company (each individual in (iii),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hereby agrees with the Company as follows (for the avoidance of doubt, Lynrock Lake shall not be a Sponsor nor an Insider under this Letter Agreement):</w:t>
      </w:r>
    </w:p>
    <w:p>
      <w:pPr>
        <w:spacing w:after="0" w:line="18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shareholder votes and associated conversion rights,</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solicits shareholder approval of a Business Combination via a proxy solicitation, then the undersigned will vote all then outstanding Ordinary Shares beneficially owned by him, her or it in favor of such Business Combination (including any proposals recommended by the Company’s board of directors in connection with such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undersigned acknowledges and agrees that prior to entering into a Business Combination with a target business that is affiliated with the Sponsor or any Insiders, such transaction must be approved by a majority of the Company’s disinterested independent directors and the Company must obtain an opinion from an independent investment banking firm, or another independent entity that commonly renders valuation opinions on the type of target business the Company is seeking to acquire, that such Business Combination is fair to the Company’s unaffiliated shareholders from a financial point of view, and (ii) neither the Sponsor, nor any Insider, will be entitled to receive or accept a finder’s fee or any other compensation in the event such Insider originates a Business Combination;</w:t>
      </w:r>
    </w:p>
    <w:p>
      <w:pPr>
        <w:spacing w:after="0" w:line="19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not to propose for a shareholder approval any amendment to the Amended and Restated Memorandum and Articles of Association that would (i) affect the substance or timing of the Company’s obligation to redeem 100% of the Offering Shares if the Company does not complete a Business Combination within 24 months of the closing of the Public Offering (or such longer period set forth in the Company’s Amended and Restated Memorandum and Articles of Association, as may be amended from time to time), or (ii) alter its provisions relating to the Company’s pre-Business Combination activity or the related</w:t>
      </w:r>
    </w:p>
    <w:p>
      <w:pPr>
        <w:sectPr>
          <w:pgSz w:w="11900" w:h="16838" w:orient="portrait"/>
          <w:cols w:equalWidth="0" w:num="1">
            <w:col w:w="11024"/>
          </w:cols>
          <w:pgMar w:left="436" w:top="117" w:right="439" w:bottom="1440" w:gutter="0" w:footer="0" w:header="0"/>
        </w:sectPr>
      </w:pPr>
    </w:p>
    <w:bookmarkStart w:id="115" w:name="page116"/>
    <w:bookmarkEnd w:id="115"/>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shareholders’ rights prior to the consummation of such Business Combination, unless, in each case, the Company provides the holders of any Offering Shares with the opportunity to redeem their Offering Shares upon the approval of any such amendment. Such redemption must be at a per-share price, payable in cash, equal to the aggregate amount then on deposit in the Trust Account including interest (which interest shall be net of Permitted Withdrawals (as defined below)), divided by the number of then outstanding Offering Shares; and</w:t>
      </w:r>
    </w:p>
    <w:p>
      <w:pPr>
        <w:spacing w:after="0" w:line="180" w:lineRule="exact"/>
        <w:rPr>
          <w:sz w:val="20"/>
          <w:szCs w:val="20"/>
          <w:color w:val="auto"/>
        </w:rPr>
      </w:pPr>
    </w:p>
    <w:p>
      <w:pPr>
        <w:ind w:left="4" w:right="320" w:firstLine="987"/>
        <w:spacing w:after="0" w:line="266" w:lineRule="auto"/>
        <w:tabs>
          <w:tab w:leader="none" w:pos="124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redeem any Founder Shares beneficially owned by him, her or it in connection with a solicitation for shareholder approval described in either of clauses (a) or (b) above, or sell any such Founder Shares in a tender offer undertaken by the Company in connection with a Business Combination.</w:t>
      </w:r>
    </w:p>
    <w:p>
      <w:pPr>
        <w:spacing w:after="0" w:line="175"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consummate a Business Combination within 24 months of the completion of the Public Offering (or such longer period set forth in the Company’s Amended and Restated Memorandum and Articles of Association, as may be amended from time to time), the Sponsor and each Insider will cause the Company to (i) cease all operations except for the purpose of winding up, (ii) as promptly as reasonably possible but not more than ten (10) business days thereafter, redeem the outstanding Offering Shares, at a per share price, payable in cash, equal to the aggregate amount then on deposit in the Trust Account, including interest (which interest shall be net of taxes payable by the Company (“</w:t>
      </w:r>
      <w:r>
        <w:rPr>
          <w:rFonts w:ascii="Times New Roman" w:cs="Times New Roman" w:eastAsia="Times New Roman" w:hAnsi="Times New Roman"/>
          <w:sz w:val="18"/>
          <w:szCs w:val="18"/>
          <w:b w:val="1"/>
          <w:bCs w:val="1"/>
          <w:i w:val="1"/>
          <w:iCs w:val="1"/>
          <w:color w:val="auto"/>
        </w:rPr>
        <w:t>Permitted Withdrawals</w:t>
      </w:r>
      <w:r>
        <w:rPr>
          <w:rFonts w:ascii="Times New Roman" w:cs="Times New Roman" w:eastAsia="Times New Roman" w:hAnsi="Times New Roman"/>
          <w:sz w:val="18"/>
          <w:szCs w:val="18"/>
          <w:color w:val="auto"/>
        </w:rPr>
        <w:t>”), plus up to $100,000 of interest to pay dissolution expenses), divided by the number of then issued and outstanding Offering Shares, which redemption will completely extinguish all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w:t>
      </w:r>
    </w:p>
    <w:p>
      <w:pPr>
        <w:spacing w:after="0" w:line="194" w:lineRule="exact"/>
        <w:rPr>
          <w:rFonts w:ascii="Times New Roman" w:cs="Times New Roman" w:eastAsia="Times New Roman" w:hAnsi="Times New Roman"/>
          <w:sz w:val="18"/>
          <w:szCs w:val="18"/>
          <w:color w:val="auto"/>
        </w:rPr>
      </w:pPr>
    </w:p>
    <w:p>
      <w:pPr>
        <w:ind w:left="4" w:firstLine="436"/>
        <w:spacing w:after="0" w:line="254" w:lineRule="auto"/>
        <w:tabs>
          <w:tab w:leader="none" w:pos="6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undersigned hereby waives any and all right, title, interest or claim of any kind the undersigned may have in the future in or to any distribution of the Trust Account and any remaining assets of the Company as a result of, or arising out of, any contracts or agreements with the Company and will not seek recourse against the Trust Account for any reason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waiver shall not apply with respect to liquidating distributions from the Trust Account made in connection with any Offering Shares purchased by the undersigned or its Affiliates during the Public Offering or on the open market after the completion of the Public Offering if the Company fails to complete a Business Combination within 24 months of the closing of the Public Offering (or such longer period set forth in the Company’s Amended and Restated Memorandum and Articles of Association, as may be amended from time to time). Each of the undersigned acknowledges and agrees that there will be no distribution from the Trust Account with respect to any of the Offering Rights, all rights of which will terminate upon the Company’s liquidation.</w:t>
      </w:r>
    </w:p>
    <w:p>
      <w:pPr>
        <w:spacing w:after="0" w:line="191"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that may arise from multiple corporate affiliations, each of the Sponsor and the Insiders shall present to the Company for its consideration, prior to presentation to any other entity, any target business in the aerospace and defense services, cybersecurity and secured communications and quantum-based command and control systems, or artificial intelligence and machine-learning industries that has a fair market value of at least 80% of the assets held in the Trust Account (excluding Permitted Withdrawals), subject to any pre-existing fiduciary or contractual obligations the undersigned might have.</w:t>
      </w:r>
    </w:p>
    <w:p>
      <w:pPr>
        <w:spacing w:after="0" w:line="183"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hereby acknowledges and agrees that (i) the Underwriters and the Company may be irreparably injured in the event of a breach of any of the obligations contained in this Letter Agreement, (ii) monetary damages may not be an adequate remedy for such breach, and</w:t>
      </w:r>
    </w:p>
    <w:p>
      <w:pPr>
        <w:ind w:left="324" w:hanging="324"/>
        <w:spacing w:after="0"/>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non-breaching party shall be entitled to injunctive relief, in addition to any other remedy that such party may have in law or in equity, in the</w:t>
      </w:r>
    </w:p>
    <w:p>
      <w:pPr>
        <w:spacing w:after="0" w:line="9" w:lineRule="exact"/>
        <w:rPr>
          <w:rFonts w:ascii="Times New Roman" w:cs="Times New Roman" w:eastAsia="Times New Roman" w:hAnsi="Times New Roman"/>
          <w:sz w:val="18"/>
          <w:szCs w:val="18"/>
          <w:color w:val="auto"/>
        </w:rPr>
      </w:pP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such breach. Notwithstanding anything to the contrary herein, Lynrock Lake shall only be subject to Section 1, Section 3 and Section 10 hereof and shall only have liability hereunder for its breach of such sections.</w:t>
      </w:r>
    </w:p>
    <w:p>
      <w:pPr>
        <w:spacing w:after="0" w:line="181"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2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undersigned or any of their Affiliates will be entitled to receive, and none of them may accept, any compensation or other cash payment prior to, or for services rendered in order to effectuate, the consummation of the Business Combination, except for the following:</w:t>
      </w:r>
    </w:p>
    <w:p>
      <w:pPr>
        <w:spacing w:after="0" w:line="53"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GigManagement, LLC, a Delaware limited liability company and an affiliate of the Sponsor, may receive compensation for office space, utilities, secretarial and administrative services, as provided for under that certain Administrative Services Agreement, dated as of October 3, 2025, between the Company and GigManagement, LLC;</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16" w:name="page117"/>
    <w:bookmarkEnd w:id="116"/>
    <w:p>
      <w:pPr>
        <w:ind w:left="1244" w:hanging="253"/>
        <w:spacing w:after="0"/>
        <w:tabs>
          <w:tab w:leader="none" w:pos="1244"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Chief Financial Officer of the Company will receive monthly payments of $15,000 per month; and</w:t>
      </w:r>
    </w:p>
    <w:p>
      <w:pPr>
        <w:spacing w:after="0" w:line="225"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Sponsor or Insiders and their Affiliates may receive reimbursement of out-of-pocket expenses incurred by them in connection with certain activities on behalf of the Company, such as identifying and investigating possible business targets and business combinations, as well as advisory fees to directors pertaining to board committee service and extraordinary administrative and analytical services, and repayment upon consummation of a Business Combination of any loans which may be made by them or by their Affiliates to finance transaction costs in connection with an intended Business Combination. While the terms of any such loans have not been determined nor have any written agreements been executed with respect thereto, it is acknowledged and agreed that up to $1,500,000 of any such loans may be convertible into private placement units at a price of $10.00 per unit at the option of the lender.</w:t>
      </w:r>
    </w:p>
    <w:p>
      <w:pPr>
        <w:spacing w:after="0" w:line="188" w:lineRule="exact"/>
        <w:rPr>
          <w:rFonts w:ascii="Times New Roman" w:cs="Times New Roman" w:eastAsia="Times New Roman" w:hAnsi="Times New Roman"/>
          <w:sz w:val="18"/>
          <w:szCs w:val="18"/>
          <w:color w:val="auto"/>
        </w:rPr>
      </w:pPr>
    </w:p>
    <w:p>
      <w:pPr>
        <w:ind w:left="4" w:firstLine="436"/>
        <w:spacing w:after="0" w:line="254" w:lineRule="auto"/>
        <w:tabs>
          <w:tab w:leader="none" w:pos="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receives either payment of a termination fee in connection with a Business Combination that is not consummated pursuant to a termination fee provision in a business combination agreement, or a settlement of a potential claim or dispute relating to a business combination (“</w:t>
      </w:r>
      <w:r>
        <w:rPr>
          <w:rFonts w:ascii="Times New Roman" w:cs="Times New Roman" w:eastAsia="Times New Roman" w:hAnsi="Times New Roman"/>
          <w:sz w:val="18"/>
          <w:szCs w:val="18"/>
          <w:b w:val="1"/>
          <w:bCs w:val="1"/>
          <w:i w:val="1"/>
          <w:iCs w:val="1"/>
          <w:color w:val="auto"/>
        </w:rPr>
        <w:t>Termination Assets</w:t>
      </w:r>
      <w:r>
        <w:rPr>
          <w:rFonts w:ascii="Times New Roman" w:cs="Times New Roman" w:eastAsia="Times New Roman" w:hAnsi="Times New Roman"/>
          <w:sz w:val="18"/>
          <w:szCs w:val="18"/>
          <w:color w:val="auto"/>
        </w:rPr>
        <w:t>”), the board of directors will, in fulfillment of their fiduciary duties, be empowered to determine whether to use such funds to pursue a different Business Combination, including by way of funding contributions to the Trust Account for the purpose of amending the Company’s Amended and Restated Memorandum and Articles of Association to allow for a longer period of time to close a Business Combination, or to liquidate or wind up the Company. If the board of directors determines to liquidate and wind up the Company and any Termination Assets are held by the Company outside of the Trust Account, then the undersigned agree that they will not act to cause the board of directors to not distribute such Termination Assets to all holders of Ordinary Shares as of the date of the determination of the board of directors to liquidate and wind up the Company, on a pro rata basis equal to the number of shares held by such holder of Ordinary Shares divided by the total number of Ordinary Shares as of such date.</w:t>
      </w:r>
    </w:p>
    <w:p>
      <w:pPr>
        <w:spacing w:after="0" w:line="188" w:lineRule="exact"/>
        <w:rPr>
          <w:rFonts w:ascii="Times New Roman" w:cs="Times New Roman" w:eastAsia="Times New Roman" w:hAnsi="Times New Roman"/>
          <w:sz w:val="18"/>
          <w:szCs w:val="18"/>
          <w:color w:val="auto"/>
        </w:rPr>
      </w:pPr>
    </w:p>
    <w:p>
      <w:pPr>
        <w:ind w:left="4" w:right="280" w:firstLine="436"/>
        <w:spacing w:after="0" w:line="261" w:lineRule="auto"/>
        <w:tabs>
          <w:tab w:leader="none" w:pos="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biographical information of the undersigned individual Insiders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Each undersigned Insiders’ FINRA Questionnaire previously furnished to the Company and the Representative is also true and accurate in all respects.</w:t>
      </w:r>
    </w:p>
    <w:p>
      <w:pPr>
        <w:spacing w:after="0" w:line="179"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represents and warrants that (i) he, she or it is not subject to, or a respondent in, any legal action for any injunction, cease-and-desist order, or order or stipulation to desist or refrain from any act or practice relating to the offering of securities in any jurisdiction; (ii) he, she or it has never been convicted of or pleaded guilty to any crime involving any fraud, relating to any financial transaction or handling of funds of another person, or pertaining to any dealings in any securities and he, she or it is not currently a defendant in any such criminal proceeding; and (iii) he, she or it has never been suspended or expelled from membership in any securities or commodities exchange or association, or had a securities or commodities license or registration denied, suspended or revoked.</w:t>
      </w:r>
    </w:p>
    <w:p>
      <w:pPr>
        <w:spacing w:after="0" w:line="187"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714"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undersigned agrees that he, she or it shall not Transfer (as defined below): (i) with respect to any Founder Shares or, except for the Ordinary Shares that are underlying the Private Placement Units or any Offering Shares that the undersigned acquires, any other Ordinary Shares of the Company held by him, her, it or by their Affiliates until the earlier of (A) six months after the completion of a Business Combination or (B) the date on which, subsequent to a Business Combination, (x) the last sale price of the Class A Ordinary Shares equals or exceeds $11.50 per share (as adjusted for stock splits, stock dividends, reorganizations, recapitalizations and the like) for any 20 trading days within any 30-trading day period commencing at least 90 days after a business combination or (y) the SPAC completes a liquidation, merger, stock exchange or other similar transaction that results in all of the SPAC’s shareholders having the right to exchange their Class B Ordinary Shares for cash, securities or other property and (ii) in the case of the Private Placement Units or any securities underlying the Private Placement Units, until 30 days after the completion of a business combination (clauses</w:t>
      </w:r>
    </w:p>
    <w:p>
      <w:pPr>
        <w:ind w:left="224" w:hanging="224"/>
        <w:spacing w:after="0"/>
        <w:tabs>
          <w:tab w:leader="none" w:pos="2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17" w:name="page118"/>
    <w:bookmarkEnd w:id="11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collectively,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Notwithstanding the foregoing, during the Lock-up Period, Transfers of Founder Shares or, except for any Offering Shares, any other Ordinary Shares of the Company, the Private Placement Rights and Ordinary Shares issued or issuable upon the conversion of the Private Placement Rights or the Founder Shares, are permitted to be made (a) amongst such of the undersigned holding such securities and their Affiliates, to the Company’s executive officers or directors, or to any Affiliate or family member of any of the Company’s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the Company’s securities; (f) through private sales or transfers made in connection with the consummation of a Business Combination at prices no greater than the price at which such securities were originally purchased; (g) to the Company for no value for cancellation in connection with the consummation of a Business Combination; (h) in the event of the Company’s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the Company’s completion of a liquidation, merger, share exchange, reorganization or other similar transaction which results in all of the Company’s shareholders having the right to exchange their Ordinary Shares for cash, securities or other property subsequent to the completion of the Company’s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 (a) through (f), these permitted transferees must enter into a written agreement agreeing to be bound by these transfer restrictions and the other terms described in this Letter Agreement to the extent and for the duration that such terms remain in effect at the time of the Transfer.</w:t>
      </w:r>
    </w:p>
    <w:p>
      <w:pPr>
        <w:spacing w:after="0" w:line="195"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11.  Notwithstanding the foregoing paragraph 10, each of the undersigned agrees that during the period commencing on the effective date of the Underwriting Agreement and ending 180 days after such date, none of them nor any of their Affiliates, may, without the prior written approval of the Underwriters, offer, sell, contract to sell, pledge, or otherwise dispose of, directly or indirectly, or hedge the Company’s Units, Rights, Ordinary Shares or any other securities convertible into or exchangeable or exercisable for Ordinary Shares, or publicly announce an intention to effect any such transaction. The foregoing sentence shall not apply to (i) the registration of the offer and sale of Units contemplated by the Underwriting Agreement,</w:t>
      </w:r>
    </w:p>
    <w:p>
      <w:pPr>
        <w:spacing w:after="0" w:line="3" w:lineRule="exact"/>
        <w:rPr>
          <w:sz w:val="20"/>
          <w:szCs w:val="20"/>
          <w:color w:val="auto"/>
        </w:rPr>
      </w:pPr>
    </w:p>
    <w:p>
      <w:pPr>
        <w:ind w:left="4" w:right="220" w:hanging="4"/>
        <w:spacing w:after="0" w:line="253" w:lineRule="auto"/>
        <w:tabs>
          <w:tab w:leader="none" w:pos="2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Units to the Underwriters, and (iii)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w:t>
      </w:r>
    </w:p>
    <w:p>
      <w:pPr>
        <w:spacing w:after="0" w:line="183"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12.  In the event of the liquidation of the Trust Account, Sponsor (the “</w:t>
      </w:r>
      <w:r>
        <w:rPr>
          <w:rFonts w:ascii="Times New Roman" w:cs="Times New Roman" w:eastAsia="Times New Roman" w:hAnsi="Times New Roman"/>
          <w:sz w:val="17"/>
          <w:szCs w:val="17"/>
          <w:b w:val="1"/>
          <w:bCs w:val="1"/>
          <w:i w:val="1"/>
          <w:iCs w:val="1"/>
          <w:color w:val="auto"/>
        </w:rPr>
        <w:t>Indemnitor</w:t>
      </w:r>
      <w:r>
        <w:rPr>
          <w:rFonts w:ascii="Times New Roman" w:cs="Times New Roman" w:eastAsia="Times New Roman" w:hAnsi="Times New Roman"/>
          <w:sz w:val="17"/>
          <w:szCs w:val="17"/>
          <w:color w:val="auto"/>
        </w:rPr>
        <w:t xml:space="preserve">”)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 prospective target business with which the Company has entered into an acquisition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indemnification of the Company by the Indemnitor shall apply only to the extent necessary to ensure that such claims by a third party for services rendered (other than the Company’s independent public accountants) or products sold to the Company or a target do not reduce the amount of funds in the Trust Account to below the lesser of (i) $10.00 per share of the Offering Shares, or (ii) such lesser amount per share of the Offering Shares held in the Trust Account due to reductions in the value of the trust assets as of the date of the liquidation of the Trust Account, in each case, net of the amount of interest earned on the property in the Trust Account which may be withdrawn as a Permitted Withdrawal, except as to any claims by a third party who executed a waiver of any and all rights to seek access to the Trust Account (whether or not such agreement is enforceable) and as to any claims under the Company’s indemnity of the Underwriters against certain liabilities, including liabilities under the Securities Act. In the event that any such executed waiver is deemed to be unenforceable against such</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18" w:name="page119"/>
    <w:bookmarkEnd w:id="118"/>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the Indemnitor shall not be responsible for any liability as a result of any such third-party claims. The Indemnitor shall have the right to defend against any such claim with counsel of its choice reasonably satisfactory to the Company if, within fifteen (15) days following written receipt of notice of the claim to the Indemnitor, the Indemnitor notifies the Company in writing that it shall undertake such defense.</w:t>
      </w:r>
    </w:p>
    <w:p>
      <w:pPr>
        <w:spacing w:after="0" w:line="176" w:lineRule="exact"/>
        <w:rPr>
          <w:sz w:val="20"/>
          <w:szCs w:val="20"/>
          <w:color w:val="auto"/>
        </w:rPr>
      </w:pPr>
    </w:p>
    <w:p>
      <w:pPr>
        <w:jc w:val="both"/>
        <w:ind w:right="60" w:firstLine="436"/>
        <w:spacing w:after="0" w:line="261" w:lineRule="auto"/>
        <w:tabs>
          <w:tab w:leader="none" w:pos="71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has full right and power, without violating any agreement by which it is bound, to enter into this Letter Agreement. Lynrock Lake has full right and power, without violating any agreement by which it is bound, to enter into this Letter Agreement. Each of the undersigned individuals has full right and power, without violating any agreement by which he or she is bound, to enter into this Letter Agreement and to serve as an executive officer and/or director of the Company (if applicable).</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set forth in Rule 144(a)(1) under the Securities Act; (ii)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share purchase, reorganization or similar business combination, involving the Company and one or more businesses; (ii)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(iii)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the 7,850,229 Class B ordinary shares, par value $0.0001 per share, issued and outstanding immediately prior to the consummation of the Public Offering, and initially held by the Sponsor, and any Class A ordinary shares issuable upon conversion thereof; (iv)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mean Class A Ordinary Shares and Class B ordinary shares of the Company; (v) “</w:t>
      </w:r>
      <w:r>
        <w:rPr>
          <w:rFonts w:ascii="Times New Roman" w:cs="Times New Roman" w:eastAsia="Times New Roman" w:hAnsi="Times New Roman"/>
          <w:sz w:val="18"/>
          <w:szCs w:val="18"/>
          <w:b w:val="1"/>
          <w:bCs w:val="1"/>
          <w:i w:val="1"/>
          <w:iCs w:val="1"/>
          <w:color w:val="auto"/>
        </w:rPr>
        <w:t>Private Placement Rights</w:t>
      </w:r>
      <w:r>
        <w:rPr>
          <w:rFonts w:ascii="Times New Roman" w:cs="Times New Roman" w:eastAsia="Times New Roman" w:hAnsi="Times New Roman"/>
          <w:sz w:val="18"/>
          <w:szCs w:val="18"/>
          <w:color w:val="auto"/>
        </w:rPr>
        <w:t>” shall mean the rights to receive one-fifth of one Class A ordinary share upon the consummation of an initial business combination included in the private placement units; (vi)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shall mean the holders of securities issued in the Public Offering; (vii)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the Registration Statement on Form S-1 (Registration</w:t>
      </w:r>
    </w:p>
    <w:p>
      <w:pPr>
        <w:spacing w:after="0" w:line="4"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333-280015) filed by the Company with the SEC in connection with the Public Offering, as the same may be amended or supplemented; (viii)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 (ix)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(x)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(xi)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shall be deposited.</w:t>
      </w:r>
    </w:p>
    <w:p>
      <w:pPr>
        <w:spacing w:after="0" w:line="193"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her or it arising out of or relating in any way to this Letter Agreement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brought and enforced in the courts of the State of New York of the United States of America for the Southern District of New York, and irrevocably submits to such jurisdiction, which jurisdiction shall be exclusive, (ii) waives any objection to such exclusive jurisdiction and that such courts represent an inconvenient forum, and (iii) irrevocably agrees to appoint DLA Piper LLP (US) as agent for the service of process in the State of New York to receive, for the undersigned and on his, her or its behalf, service of process in any Proceeding. If for any reason such agent is unable to act as such, the undersigned will promptly notify the Company and the Representative and appoint a substitute agent acceptable to each of the Company and the Representative within 30 days and nothing in this Letter Agreement will affect the right of either party to serve process in any other manner permitted by law.</w:t>
      </w:r>
    </w:p>
    <w:p>
      <w:pPr>
        <w:spacing w:after="0" w:line="194"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19" w:name="page120"/>
    <w:bookmarkEnd w:id="119"/>
    <w:p>
      <w:pPr>
        <w:ind w:left="-60" w:firstLine="436"/>
        <w:spacing w:after="0" w:line="289" w:lineRule="auto"/>
        <w:tabs>
          <w:tab w:leader="none" w:pos="65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acknowledges and understands that the Underwriters and the Company will rely upon the agreements, representations and warranties set forth herein in proceeding with the Public Offering. Nothing contained herein shall be deemed to render the Underwriters a representative of, or a fiduciary with respect to, the Company, its shareholders or any creditor or vendor of the Company with respect to the subject matter hereof.</w:t>
      </w:r>
    </w:p>
    <w:p>
      <w:pPr>
        <w:spacing w:after="0" w:line="157" w:lineRule="exact"/>
        <w:rPr>
          <w:rFonts w:ascii="Times New Roman" w:cs="Times New Roman" w:eastAsia="Times New Roman" w:hAnsi="Times New Roman"/>
          <w:sz w:val="17"/>
          <w:szCs w:val="17"/>
          <w:color w:val="auto"/>
        </w:rPr>
      </w:pPr>
    </w:p>
    <w:p>
      <w:pPr>
        <w:ind w:left="-60" w:right="180" w:firstLine="436"/>
        <w:spacing w:after="0" w:line="289" w:lineRule="auto"/>
        <w:tabs>
          <w:tab w:leader="none" w:pos="65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Letter Agreement shall be binding on the undersigned and such person’s respective successors, heirs, personal representatives and assigns. This Letter Agreement shall terminate on the earlier of (i) the Company’s consummation of a Business Combination, or (ii) the liquidation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termination shall not relieve the undersigned from liability for any breach of this agreement prior to its termination.</w:t>
      </w:r>
    </w:p>
    <w:p>
      <w:pPr>
        <w:spacing w:after="0" w:line="157" w:lineRule="exact"/>
        <w:rPr>
          <w:rFonts w:ascii="Times New Roman" w:cs="Times New Roman" w:eastAsia="Times New Roman" w:hAnsi="Times New Roman"/>
          <w:sz w:val="17"/>
          <w:szCs w:val="17"/>
          <w:color w:val="auto"/>
        </w:rPr>
      </w:pPr>
    </w:p>
    <w:p>
      <w:pPr>
        <w:ind w:left="-60" w:right="140" w:firstLine="436"/>
        <w:spacing w:after="0" w:line="254" w:lineRule="auto"/>
        <w:tabs>
          <w:tab w:leader="none" w:pos="65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counterparts, each of which when so executed shall be deemed to be an original and all of which when taken together shall constitute one and the same instrument. The words “execution,” signed,” “signature,” and words of like import in this Letter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70"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INSIDERS: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Marshall</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Christine Marshall</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Avi Katz</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Avi Katz</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Raluca Dinu</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Raluca Dinu</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Raanan Horowitz</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Raanan Horowitz</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Adrian Zuckerman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Adrian Zuckerman</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Ben-Bashat</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David Ben-Bashat</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Omri Dagul</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Omri Dagul</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Luis Machuca</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Luis Machuca</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Bryan Timm</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Bryan Timm</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Greene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James Greene</w:t>
            </w:r>
          </w:p>
        </w:tc>
        <w:tc>
          <w:tcPr>
            <w:tcW w:w="24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2"/>
        </w:trPr>
        <w:tc>
          <w:tcPr>
            <w:tcW w:w="620" w:type="dxa"/>
            <w:vAlign w:val="bottom"/>
          </w:tcPr>
          <w:p>
            <w:pPr>
              <w:spacing w:after="0"/>
              <w:rPr>
                <w:sz w:val="24"/>
                <w:szCs w:val="24"/>
                <w:color w:val="auto"/>
              </w:rPr>
            </w:pPr>
          </w:p>
        </w:tc>
        <w:tc>
          <w:tcPr>
            <w:tcW w:w="6240" w:type="dxa"/>
            <w:vAlign w:val="bottom"/>
            <w:gridSpan w:val="2"/>
          </w:tcPr>
          <w:p>
            <w:pPr>
              <w:ind w:left="3520"/>
              <w:spacing w:after="0"/>
              <w:rPr>
                <w:sz w:val="20"/>
                <w:szCs w:val="20"/>
                <w:color w:val="auto"/>
              </w:rPr>
            </w:pPr>
            <w:r>
              <w:rPr>
                <w:rFonts w:ascii="Times New Roman" w:cs="Times New Roman" w:eastAsia="Times New Roman" w:hAnsi="Times New Roman"/>
                <w:sz w:val="18"/>
                <w:szCs w:val="18"/>
                <w:i w:val="1"/>
                <w:iCs w:val="1"/>
                <w:color w:val="auto"/>
                <w:w w:val="98"/>
              </w:rPr>
              <w:t>[Signature Page to Letter Agreement]</w:t>
            </w:r>
          </w:p>
        </w:tc>
      </w:tr>
    </w:tbl>
    <w:p>
      <w:pPr>
        <w:sectPr>
          <w:pgSz w:w="11900" w:h="16838" w:orient="portrait"/>
          <w:cols w:equalWidth="0" w:num="1">
            <w:col w:w="10019"/>
          </w:cols>
          <w:pgMar w:left="440" w:top="26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GIGACQUISTIONS8 CORP.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Avi S.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LYNROCK LAKE: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LYNROCK LAKE MASTER FUND 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Lynrock Lake Partners LLC, its General Partner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Cynthia Paul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Cynthia Paul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BORAL CAPITAL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Gaurav Verma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Gaurav Verma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Co-Head of Investment Banking</w:t>
            </w:r>
          </w:p>
        </w:tc>
      </w:tr>
    </w:tbl>
    <w:p>
      <w:pPr>
        <w:spacing w:after="0" w:line="196"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i w:val="1"/>
          <w:iCs w:val="1"/>
          <w:color w:val="auto"/>
        </w:rPr>
        <w:t>[Signature Page to Letter Agreement]</w:t>
      </w:r>
    </w:p>
    <w:p>
      <w:pPr>
        <w:sectPr>
          <w:pgSz w:w="11900" w:h="16838" w:orient="portrait"/>
          <w:cols w:equalWidth="0" w:num="1">
            <w:col w:w="10019"/>
          </w:cols>
          <w:pgMar w:left="440" w:top="266"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3, 2025, is made and entered into by and among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GigAcquisitions8 Corp., a Cayman Islands exempted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any other parties listed on the signature page hereto (together with the Sponsor and any person or entity who hereafter becomes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30, 2025, in addition to one Class B ordinary share, par value $0.0001 per share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allotted to Harneys Fiduciary (Cayman) Limited (“</w:t>
      </w:r>
      <w:r>
        <w:rPr>
          <w:rFonts w:ascii="Times New Roman" w:cs="Times New Roman" w:eastAsia="Times New Roman" w:hAnsi="Times New Roman"/>
          <w:sz w:val="18"/>
          <w:szCs w:val="18"/>
          <w:b w:val="1"/>
          <w:bCs w:val="1"/>
          <w:color w:val="auto"/>
        </w:rPr>
        <w:t>Harneys Fiduciary</w:t>
      </w:r>
      <w:r>
        <w:rPr>
          <w:rFonts w:ascii="Times New Roman" w:cs="Times New Roman" w:eastAsia="Times New Roman" w:hAnsi="Times New Roman"/>
          <w:sz w:val="18"/>
          <w:szCs w:val="18"/>
          <w:color w:val="auto"/>
        </w:rPr>
        <w:t>”) that was transferred by Harneys Fiduciary to our Sponsor at formation, the Company and Sponsor entered into a subscription agreement pursuant to which the Company issued and sold to the Sponsor an additional</w:t>
      </w:r>
    </w:p>
    <w:p>
      <w:pPr>
        <w:ind w:right="40"/>
        <w:spacing w:after="0" w:line="253" w:lineRule="auto"/>
        <w:rPr>
          <w:sz w:val="20"/>
          <w:szCs w:val="20"/>
          <w:color w:val="auto"/>
        </w:rPr>
      </w:pPr>
      <w:r>
        <w:rPr>
          <w:rFonts w:ascii="Times New Roman" w:cs="Times New Roman" w:eastAsia="Times New Roman" w:hAnsi="Times New Roman"/>
          <w:sz w:val="18"/>
          <w:szCs w:val="18"/>
          <w:color w:val="auto"/>
        </w:rPr>
        <w:t>8,099,613 Class B Ordinary Shares (together with the initial Class B Ordinary Share allotted to Harneys Fiduciary and transferred by Harneys Fiduciary,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On July 18, 2025, the Sponsor surrendered 249,385 Founder Shares for no consideration, resulting in the Sponsor having acquired 7,850,229 Founder Shares, of which up to 1,023,943 Founder Shares remain subject to forfeiture depending on the extent to which the Underwriters’ over-allotment option is exercised during the Company’s initial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institutional investors (none of which are affiliated with any member of the Company’s management, the Sponsor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investor) (the “</w:t>
      </w:r>
      <w:r>
        <w:rPr>
          <w:rFonts w:ascii="Times New Roman" w:cs="Times New Roman" w:eastAsia="Times New Roman" w:hAnsi="Times New Roman"/>
          <w:sz w:val="18"/>
          <w:szCs w:val="18"/>
          <w:b w:val="1"/>
          <w:bCs w:val="1"/>
          <w:color w:val="auto"/>
        </w:rPr>
        <w:t>non-managing investors</w:t>
      </w:r>
      <w:r>
        <w:rPr>
          <w:rFonts w:ascii="Times New Roman" w:cs="Times New Roman" w:eastAsia="Times New Roman" w:hAnsi="Times New Roman"/>
          <w:sz w:val="18"/>
          <w:szCs w:val="18"/>
          <w:color w:val="auto"/>
        </w:rPr>
        <w:t>”) have committed, pursuant to written agreements, to purchase an aggregate of 2,964,203 Class B Ordinary Shares of the Company (of which 386,681 Class B Ordinary Shares remain subject to forfeiture depending on the extent to which the Underwriters’ over-allotment option is exercised during the Offering) (the “</w:t>
      </w:r>
      <w:r>
        <w:rPr>
          <w:rFonts w:ascii="Times New Roman" w:cs="Times New Roman" w:eastAsia="Times New Roman" w:hAnsi="Times New Roman"/>
          <w:sz w:val="18"/>
          <w:szCs w:val="18"/>
          <w:b w:val="1"/>
          <w:bCs w:val="1"/>
          <w:color w:val="auto"/>
        </w:rPr>
        <w:t>Private Investor Shares</w:t>
      </w:r>
      <w:r>
        <w:rPr>
          <w:rFonts w:ascii="Times New Roman" w:cs="Times New Roman" w:eastAsia="Times New Roman" w:hAnsi="Times New Roman"/>
          <w:sz w:val="18"/>
          <w:szCs w:val="18"/>
          <w:color w:val="auto"/>
        </w:rPr>
        <w:t>”) from the Company in a private placement that will close simultaneously with the Offering at the price of $0.023254 per Private Investor Share.</w:t>
      </w:r>
    </w:p>
    <w:p>
      <w:pPr>
        <w:spacing w:after="0" w:line="179"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has agreed to sell at the time of the Offering a total of 375,397 Founder Shares in the aggregate to four of its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to be independent directors, James Greene, Luis Machuca, Bryan Timm and Raanan Horowitz at an aggregate price of $9,244, and 1,416,665 Founder Shares to non-affiliated Lynrock Lake Master Fund LP (“</w:t>
      </w:r>
      <w:r>
        <w:rPr>
          <w:rFonts w:ascii="Times New Roman" w:cs="Times New Roman" w:eastAsia="Times New Roman" w:hAnsi="Times New Roman"/>
          <w:sz w:val="18"/>
          <w:szCs w:val="18"/>
          <w:b w:val="1"/>
          <w:bCs w:val="1"/>
          <w:color w:val="auto"/>
        </w:rPr>
        <w:t>Lynrock Lake</w:t>
      </w:r>
      <w:r>
        <w:rPr>
          <w:rFonts w:ascii="Times New Roman" w:cs="Times New Roman" w:eastAsia="Times New Roman" w:hAnsi="Times New Roman"/>
          <w:sz w:val="18"/>
          <w:szCs w:val="18"/>
          <w:color w:val="auto"/>
        </w:rPr>
        <w:t>”) at an aggregate price of $13,130, and also to transfer 5,000 Founder Shares to the Company’s Chief Financial Officer, Christine Marshall, thus reducing the number of Founder Shares held by the Sponsor to 6,053,167 Founder Shares.</w:t>
      </w:r>
    </w:p>
    <w:p>
      <w:pPr>
        <w:spacing w:after="0" w:line="179"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Founder Shares and Private Investor Shares are convertible into the Company’s Class A ordinary shares,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the time of the initial Business Combination (as defined below), or earlier at the option of the holder, on a one-for-one basis, subject to adjustment for share sub-divisions, share capitalizations, reorganizations, recapitalizations and the like, on the terms and conditions provided in the Company’s amended and restated memorandum and articles of association, as may be amended from time to time;</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Sponsor, the non-managing investors, Lynrock Lake, and Messrs. Greene, Machuca, Timm and Horowitz, have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the Company an aggregate of 337,675 (or 357,657 if the Underwriters’ over-allotment option is exercised during the Offering) private placement units (the “</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at the price of $9.7374 per Private Placement Unit, with each Private Placement Unit consisting of one Class A Ordinary Share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and one right (the “</w:t>
      </w:r>
      <w:r>
        <w:rPr>
          <w:rFonts w:ascii="Times New Roman" w:cs="Times New Roman" w:eastAsia="Times New Roman" w:hAnsi="Times New Roman"/>
          <w:sz w:val="18"/>
          <w:szCs w:val="18"/>
          <w:b w:val="1"/>
          <w:bCs w:val="1"/>
          <w:color w:val="auto"/>
        </w:rPr>
        <w:t>Private Placement Rights</w:t>
      </w:r>
      <w:r>
        <w:rPr>
          <w:rFonts w:ascii="Times New Roman" w:cs="Times New Roman" w:eastAsia="Times New Roman" w:hAnsi="Times New Roman"/>
          <w:sz w:val="18"/>
          <w:szCs w:val="18"/>
          <w:color w:val="auto"/>
        </w:rPr>
        <w:t>”) to receive one-fifth of one Class A Ordinary Share upon the consummation of the Company’s initial Business Combination; and</w:t>
      </w:r>
    </w:p>
    <w:p>
      <w:pPr>
        <w:spacing w:after="0" w:line="179"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ectPr>
          <w:pgSz w:w="11900" w:h="16838" w:orient="portrait"/>
          <w:cols w:equalWidth="0" w:num="1">
            <w:col w:w="11020"/>
          </w:cols>
          <w:pgMar w:left="440" w:top="117" w:right="439" w:bottom="1440" w:gutter="0" w:footer="0" w:header="0"/>
        </w:sectPr>
      </w:pPr>
    </w:p>
    <w:bookmarkStart w:id="123" w:name="page124"/>
    <w:bookmarkEnd w:id="123"/>
    <w:p>
      <w:pPr>
        <w:ind w:left="4" w:right="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defined in this Article I shall, for all purposes of this Agreement, have the respective meanings set forth below:</w:t>
      </w:r>
    </w:p>
    <w:p>
      <w:pPr>
        <w:spacing w:after="0" w:line="113" w:lineRule="exact"/>
        <w:rPr>
          <w:sz w:val="20"/>
          <w:szCs w:val="20"/>
          <w:color w:val="auto"/>
        </w:rPr>
      </w:pPr>
    </w:p>
    <w:p>
      <w:pPr>
        <w:jc w:val="both"/>
        <w:ind w:left="4" w:right="4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any public disclosure of material non-public information, which disclosure, in the good faith judgment of the Chairman, the chief executive officer of the Company or chief financial officer of the Company, after consultation with counsel to the Company,</w:t>
      </w:r>
    </w:p>
    <w:p>
      <w:pPr>
        <w:spacing w:after="0" w:line="1" w:lineRule="exact"/>
        <w:rPr>
          <w:sz w:val="20"/>
          <w:szCs w:val="20"/>
          <w:color w:val="auto"/>
        </w:rPr>
      </w:pPr>
    </w:p>
    <w:p>
      <w:pPr>
        <w:ind w:left="4" w:right="40" w:hanging="4"/>
        <w:spacing w:after="0" w:line="253"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4"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means the acquisition of direct or indirect ownership through a merger, share exchange, asset acquisition, stock purchase, recapitalization, reorganization or other similar business combination with one or more businesses or entities, involving the Company.</w:t>
      </w:r>
    </w:p>
    <w:p>
      <w:pPr>
        <w:spacing w:after="0" w:line="132"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any other federal agency then administering the Securities Act or the Exchange Act.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shall have the meaning given in the Recitals hereto and shall be deemed to include the Class A Ordinary Shares issuable upon conversion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Harneys Fiduciary</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means that certain letter agreement, dated as of October 3, 2025, by and among the Company, the Sponsor, Lynrock Lake and each of the Company’s officers, directors and director nominees.</w:t>
      </w:r>
    </w:p>
    <w:p>
      <w:pPr>
        <w:spacing w:after="0" w:line="9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66" w:right="539" w:bottom="1440" w:gutter="0" w:footer="0" w:header="0"/>
        </w:sectPr>
      </w:pPr>
    </w:p>
    <w:bookmarkStart w:id="124" w:name="page125"/>
    <w:bookmarkEnd w:id="12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(i) with respect to the Founder Shares and Private Investor Shares, the period ending on the earlier of (A) six months after the date of the consummation of our initial business combination or (B) subsequent to our initial business combination, (x) the date on which the last sale price of our Class A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(ii) with respect to the Private Placement Units, Private Placement Shares, Private Placement Rights, and Class A Ordinary Shares issued for the Private Placement Rights upon the consummation of the Company’s initial Business Combination, until 30 days after the completion of the Company’s initial Business Combination.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Lynrock Lake</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non-managing investors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means any person or entity to whom a Holder of Registrable Securities is permitted to transfer such Registrable Securities prior to the expiration of the respective Lock-up Period, as the case may be, under the Insider Letter and any other applicable agreement between such Holder and the Company and to any transferee thereafter.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Investor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Rights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means (a) all of the Founder Shares, (b) all of the Private Investor Shares, (c) all of the Private Placement Shares, (d) all of the Class A Ordinary Shares issued for the Private Placement Rights upon the consummation of the Company’s initial Business Combination, (e) any outstanding Ordinary Shares or any other equity security (including the Ordinary Shares issued or issuable upon the exercise of any other equity security) of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25" w:name="page126"/>
    <w:bookmarkEnd w:id="12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held by a Holder as of the date of this Agreement, (f) any equity securities (including the Ordinary Shares issued or issuable upon the exercise or conversion of any such equity security) of the Company issuable upon the conversion of any working capital loans made to the Company by a Holder, and (g) any other equity security of the Company sold or issued or issuable with respect to any such Ordinary Share by way of a share dividend or share sub-division or in connection with a combination of shares, recapitalization, merger, consolidation, spin-off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(but with no volume or other restrictions or limitations); or (E) such securities have been sold to, or through, a broker, dealer or underwriter in a public distribution or other public securities transaction.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the out-of-pocket expenses of a Registration, including, without limitation, the following:</w:t>
      </w:r>
    </w:p>
    <w:p>
      <w:pPr>
        <w:spacing w:after="0" w:line="121" w:lineRule="exact"/>
        <w:rPr>
          <w:sz w:val="20"/>
          <w:szCs w:val="20"/>
          <w:color w:val="auto"/>
        </w:rPr>
      </w:pPr>
    </w:p>
    <w:p>
      <w:pPr>
        <w:ind w:right="360" w:firstLine="436"/>
        <w:spacing w:after="0" w:line="282" w:lineRule="auto"/>
        <w:tabs>
          <w:tab w:leader="none" w:pos="7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7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blue-sky laws (including reasonable fees and disbursements of outside counsel for the Underwriters in connection with blue-sky qualifications of Registrable Securities);</w:t>
      </w:r>
    </w:p>
    <w:p>
      <w:pPr>
        <w:spacing w:after="0" w:line="161"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7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right="480" w:firstLine="436"/>
        <w:spacing w:after="0" w:line="282" w:lineRule="auto"/>
        <w:tabs>
          <w:tab w:leader="none" w:pos="70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Subject to the provisions of subsection 2.1.4 and Section 2.4 hereof, at any time and from time to time on or after the date the Company consummates the initial Business Combination, the Holders of at least a majority-in-interest of the then-outstanding number of Registrable Securities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so notify the Company, in writing, within five (5) days after the receipt by the Holder of the notice from the Company. Upon receipt by the Company of any such written notification from a Requesting Holder(s),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 including by filing a Registration Statement relating thereto as soon as practicable, but not more than forty five (45) days immediately after the Company’s receipt of the Demand Registration. Under no circumstances shall the Company be obligated to effect more than an aggregate of two (2)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Form S-1 or any similar long-form registration statement that may be available at such time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on Form S-1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Demand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Subject to the provisions of subsection 2.1.4 and Section 2.4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subsection 2.1.3 shall enter into an underwriting agreement in customary form with the Underwriter(s) selected for such Underwritten Offering by the majority-in-interest of the Demanding Holders initiating the Demand Registration.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27" w:name="page128"/>
    <w:bookmarkEnd w:id="127"/>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respective number of Registrable Securities that each such Demanding Holder and Requesting Holder has requested be included in such Underwritten Registration and the aggregate number of Registrable Securities that such Holders have requested be included in such Underwritten Registration (such proportion is referred to herein as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without exceeding the Maximum Number of Securities; and (iii) third, to the extent that the Maximum Number of Securities has not been reached under the foregoing clauses (i) and (ii), the Ordinary Shares or other equity securities that the Company desires to sell, which can be sold without exceeding the Maximum Number of Securities; and (iv) fourth, to the extent that the Maximum Number of Securities has not been reached under the foregoing clauses (i), (ii) and (iii),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9"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Demanding Holders initiating a Demand Registration pursuant to a Registration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 the Company may effect any Underwritten Registration pursuant to any then effective Registration Statement, including a Form S-3, that is then available for such offering and (ii)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If, at any time on or after the date the Company consummates an initial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the account of shareholders of the Company (or by the Company and by the shareholders of the Company),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w:t>
      </w:r>
    </w:p>
    <w:p>
      <w:pPr>
        <w:spacing w:after="0" w:line="4" w:lineRule="exact"/>
        <w:rPr>
          <w:sz w:val="20"/>
          <w:szCs w:val="20"/>
          <w:color w:val="auto"/>
        </w:rPr>
      </w:pPr>
    </w:p>
    <w:p>
      <w:pPr>
        <w:ind w:left="4" w:right="100" w:hanging="4"/>
        <w:spacing w:after="0" w:line="252"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subsection 2.2.1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28" w:name="page129"/>
    <w:bookmarkEnd w:id="128"/>
    <w:p>
      <w:pPr>
        <w:ind w:left="4" w:right="2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securities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Section 2.2 hereof, and (iii) the Ordinary Shares or other equity securities, if any, as to which Registration has been requested pursuant to separate written contractual piggyback registration rights of other shareholders of the Company, exceeds the Maximum Number of Securities, then:</w:t>
      </w:r>
    </w:p>
    <w:p>
      <w:pPr>
        <w:spacing w:after="0" w:line="81" w:lineRule="exact"/>
        <w:rPr>
          <w:sz w:val="20"/>
          <w:szCs w:val="20"/>
          <w:color w:val="auto"/>
        </w:rPr>
      </w:pPr>
    </w:p>
    <w:p>
      <w:pPr>
        <w:ind w:left="4" w:right="200" w:firstLine="1428"/>
        <w:spacing w:after="0" w:line="276" w:lineRule="auto"/>
        <w:tabs>
          <w:tab w:leader="none" w:pos="1681"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left="4" w:right="180" w:hanging="4"/>
        <w:spacing w:after="0" w:line="252" w:lineRule="auto"/>
        <w:tabs>
          <w:tab w:leader="none" w:pos="2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exercising its rights to register its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188"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0"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29" w:name="page130"/>
    <w:bookmarkEnd w:id="129"/>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Registrations on Form S-3</w:t>
      </w:r>
      <w:r>
        <w:rPr>
          <w:rFonts w:ascii="Times New Roman" w:cs="Times New Roman" w:eastAsia="Times New Roman" w:hAnsi="Times New Roman"/>
          <w:sz w:val="17"/>
          <w:szCs w:val="17"/>
          <w:color w:val="auto"/>
        </w:rPr>
        <w:t>. The Holders of Registrable Securities may at any time, and from time to time, request in writing that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415 under the Securities Act (or any successor rule promulgated thereafter by the Commission), register the resale of any or all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on Form S-3 or any similar short-form registration statement that may be available at such time pursuant to this Section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effect such request through an Underwritten Offering. Within five (5) days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receipt of a written request from a Holder or Holders of Registrable Securities for a Registration on Form S-3,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give written notice of the proposed Registration on Form S-3 to all other Holders of Registrable Securities, and each Holder of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who thereafter wishes to include all or a portion of such Holder’s Registrable Securities in such Registration on Form S-3 shall so notify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in writing, within ten (10) days after the receipt by the Holder of the notice from the Company. As soon as practicable thereafter, but not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twelve (12) days after the Company’s initial receipt of such written request for a Registration on Form S-3, the Company shall file a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relating to all or such portion of such Holder’s Registrable Securities as are specified in such written request, together with all or such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Registrable Securities of any other Holder or Holders joining in such request as are specified in the written notification given by such Holder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effect any such Registration pursuant to Section 2.3 hereof if (i) a Form S-3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available for such offering; or (ii) the Holders of Registrable Securities, together with the Holders of any other equity securities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inclusion in such Registration, propose to sell the Registrable Securities and such other equity securities (if any) at any aggregate price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 less than $5,000,000.</w:t>
      </w:r>
    </w:p>
    <w:p>
      <w:pPr>
        <w:spacing w:after="0" w:line="207" w:lineRule="exact"/>
        <w:rPr>
          <w:sz w:val="20"/>
          <w:szCs w:val="20"/>
          <w:color w:val="auto"/>
        </w:rPr>
      </w:pPr>
    </w:p>
    <w:p>
      <w:pPr>
        <w:ind w:right="1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the chief executive officer of the Company or chief financial officer of the Company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respective Lock-Up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229"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 Procedures</w:t>
      </w:r>
      <w:r>
        <w:rPr>
          <w:rFonts w:ascii="Times New Roman" w:cs="Times New Roman" w:eastAsia="Times New Roman" w:hAnsi="Times New Roman"/>
          <w:sz w:val="17"/>
          <w:szCs w:val="17"/>
          <w:color w:val="auto"/>
        </w:rPr>
        <w:t>. If at any time on or after the date the Company consummates an initial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5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0" w:name="page131"/>
    <w:bookmarkEnd w:id="130"/>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1" w:name="page132"/>
    <w:bookmarkEnd w:id="131"/>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76"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w:t>
      </w:r>
    </w:p>
    <w:p>
      <w:pPr>
        <w:spacing w:after="0" w:line="27" w:lineRule="exact"/>
        <w:rPr>
          <w:sz w:val="20"/>
          <w:szCs w:val="20"/>
          <w:color w:val="auto"/>
        </w:rPr>
      </w:pPr>
    </w:p>
    <w:p>
      <w:pPr>
        <w:ind w:left="4" w:right="20" w:hanging="4"/>
        <w:spacing w:after="0" w:line="290" w:lineRule="auto"/>
        <w:tabs>
          <w:tab w:leader="none" w:pos="34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7" w:lineRule="exact"/>
        <w:rPr>
          <w:sz w:val="20"/>
          <w:szCs w:val="20"/>
          <w:color w:val="auto"/>
        </w:rPr>
      </w:pPr>
    </w:p>
    <w:p>
      <w:pPr>
        <w:jc w:val="both"/>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3.1.16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all reasonable fees and expenses of any legal counsel representing the Holders.</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w:t>
      </w:r>
    </w:p>
    <w:p>
      <w:pPr>
        <w:spacing w:after="0" w:line="180"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3.4.2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2" w:name="page133"/>
    <w:bookmarkEnd w:id="13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 and upon the expiration of such period the Holders shall be entitled to resume the use of any such Prospectus in connection with any sale or offer to sell Registrable Securities.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4.1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The Company agrees to indemnify, to the extent permitted by law, each Holder of Registrable Securities, its officers, directors and agents and each person who controls such Holder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7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xml:space="preserve">.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officers and agents and each person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33" w:name="page134"/>
    <w:bookmarkEnd w:id="13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70" w:right="5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5.1.1 This Agreement and the rights, duties and obligations of the Company hereunder may not be assigned or delegated by the Company in whole or in part.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5.1.2 Prior to the expiration of the respective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5.1.3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5.1.4 This Agreement shall not confer any rights or benefits on any persons that are not parties hereto, other than as expressly set forth in this Agreement.</w:t>
      </w:r>
    </w:p>
    <w:p>
      <w:pPr>
        <w:spacing w:after="0" w:line="162"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 xml:space="preserve">5.1.5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shall be null and void.</w:t>
      </w:r>
    </w:p>
    <w:p>
      <w:pPr>
        <w:spacing w:after="0" w:line="16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Dr. Avi Katz</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Telephone: (415) 615-6095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Holder, to the address set forth below such Holder’s name on Exhibit A hereto.</w:t>
      </w:r>
    </w:p>
    <w:p>
      <w:pPr>
        <w:spacing w:after="0" w:line="23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35" w:name="page136"/>
    <w:bookmarkEnd w:id="135"/>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Investors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w:t>
      </w:r>
    </w:p>
    <w:p>
      <w:pPr>
        <w:spacing w:after="0" w:line="180" w:lineRule="exact"/>
        <w:rPr>
          <w:sz w:val="20"/>
          <w:szCs w:val="20"/>
          <w:color w:val="auto"/>
        </w:rPr>
      </w:pPr>
    </w:p>
    <w:p>
      <w:pPr>
        <w:ind w:right="5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58"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(which majority interest must include Spartan if such amendment or modification affects in any way the rights of Spartan hereunder),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36" w:name="page137"/>
    <w:bookmarkEnd w:id="13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with respect to any Holder on the date that such Holder no longer holds any Registrable Securities. The provisions of Section 3.5 and Article IV shall survive any termination.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Avi S.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GIGACQUISITIONS8 CORP.</w:t>
            </w:r>
          </w:p>
        </w:tc>
      </w:tr>
      <w:tr>
        <w:trPr>
          <w:trHeight w:val="44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Avi S.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INVESTMENT MANAGEMENT TRUST AGREEMENT</w:t>
      </w:r>
    </w:p>
    <w:p>
      <w:pPr>
        <w:spacing w:after="0" w:line="22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This Investment Management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as of October 3, 2025 by and between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limited purposes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Company’s registration statement on Form S-1, File No. 333-289479 (the “Registration Statement”) and related prospectus (the “Prospectus”) for the initial public offering (the “Offering”) of the Company’s units (the “Units”), each of which consists of (i) one Class A Ordinary Share of the Company, par value $0.0001 per share (the “Ordinary Shares”); and (ii) one right to receive one-fifth of one Ordinary Share, each five rights entitling the holder thereof to receive one Ordinary Share, has been declared effective as of the date hereof by the U.S. Securities and Exchange Commission;</w:t>
      </w:r>
    </w:p>
    <w:p>
      <w:pPr>
        <w:spacing w:after="0" w:line="179"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D. Boral Capital LLC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as representative of the several underwriters named therein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780" w:firstLine="440"/>
        <w:spacing w:after="0" w:line="266" w:lineRule="auto"/>
        <w:rPr>
          <w:sz w:val="20"/>
          <w:szCs w:val="20"/>
          <w:color w:val="auto"/>
        </w:rPr>
      </w:pPr>
      <w:r>
        <w:rPr>
          <w:rFonts w:ascii="Times New Roman" w:cs="Times New Roman" w:eastAsia="Times New Roman" w:hAnsi="Times New Roman"/>
          <w:sz w:val="18"/>
          <w:szCs w:val="18"/>
          <w:color w:val="auto"/>
        </w:rPr>
        <w:t>WHEREAS, if a Business Combination (as defined herein) is not consummated within time period set forth in the amended and restated memorandum and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following the closing of the Offering, upon the request of the Company’s sponsor, GigAquisitions8 Corp., a Cayman Islands exempted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WHEREAS, as described in the Registration Statement, $220,000,000 of the gross proceeds of the Offering and sale of the Units (or $253,000,000 if the Underwriters’ over-allotment option is exercised in full) and the proceeds from any loans in connection with an Extension will be delivered to the Trustee to be deposited and held in a segregated trust account located at all times in the United States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for the benefit of the Company and the holders of the Company’s Ordinary Shares included in the Units issued in the Offering as hereinafter provided (the amount to be delivered to the Trustee (and any interest subsequently earned thereon) is referred to herein as the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shareholders for whose benefit the Trustee shall hold the Property are referred herein to as the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and the Public Shareholders and the Company together are referred to herein as the “</w:t>
      </w:r>
      <w:r>
        <w:rPr>
          <w:rFonts w:ascii="Times New Roman" w:cs="Times New Roman" w:eastAsia="Times New Roman" w:hAnsi="Times New Roman"/>
          <w:sz w:val="18"/>
          <w:szCs w:val="18"/>
          <w:b w:val="1"/>
          <w:bCs w:val="1"/>
          <w:i w:val="1"/>
          <w:iCs w:val="1"/>
          <w:color w:val="auto"/>
        </w:rPr>
        <w:t>Beneficiaries</w:t>
      </w:r>
      <w:r>
        <w:rPr>
          <w:rFonts w:ascii="Times New Roman" w:cs="Times New Roman" w:eastAsia="Times New Roman" w:hAnsi="Times New Roman"/>
          <w:sz w:val="18"/>
          <w:szCs w:val="18"/>
          <w:color w:val="auto"/>
        </w:rPr>
        <w:t>”);and</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7" w:lineRule="exact"/>
        <w:rPr>
          <w:sz w:val="20"/>
          <w:szCs w:val="20"/>
          <w:color w:val="auto"/>
        </w:rPr>
      </w:pPr>
    </w:p>
    <w:p>
      <w:pPr>
        <w:ind w:left="620" w:hanging="184"/>
        <w:spacing w:after="0"/>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the Trust Account established by the Trustee at JP Morgan Chase Bank, N.A. (or at another U.S. chartered commercial bank with consolidated assets of $100 billion or more) in the United States, maintained by the Trustee and at a brokerage institution selected by the Trustee that is reasonably satisfactory to the Company;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25"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written instruction of the Company, (i)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(ii) hold the Property as uninvested cash or (iii) hold the Property in an interest or non-interest bearing bank demand account at a US chartered commercial bank with consolidated assets of $100 billion or more selected by the Trustee that is reasonably satisfactory to the Company; the Trustee may not invest in any other securities or assets; it being understood that the Trust Account will earn no interest while account funds are uninvested awaiting the Company’s instructions hereunder and while invested or uninvested the Trustee may earn bank credits or other consideration during such periods;</w:t>
      </w:r>
    </w:p>
    <w:p>
      <w:pPr>
        <w:sectPr>
          <w:pgSz w:w="11900" w:h="16838" w:orient="portrait"/>
          <w:cols w:equalWidth="0" w:num="1">
            <w:col w:w="11020"/>
          </w:cols>
          <w:pgMar w:left="440" w:top="117" w:right="439" w:bottom="1440" w:gutter="0" w:footer="0" w:header="0"/>
        </w:sectPr>
      </w:pPr>
    </w:p>
    <w:bookmarkStart w:id="139" w:name="page140"/>
    <w:bookmarkEnd w:id="139"/>
    <w:p>
      <w:pPr>
        <w:ind w:left="-987" w:right="60" w:firstLine="987"/>
        <w:spacing w:after="0" w:line="266"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 and receive, when due, all principal and interest income arising from the Property, all of which income shall become part of the Property and which interest income can then be released to the Company to the extent required to pay taxes when requested by the Company as provided for in Section 1(l) below;</w:t>
      </w:r>
    </w:p>
    <w:p>
      <w:pPr>
        <w:spacing w:after="0" w:line="175" w:lineRule="exact"/>
        <w:rPr>
          <w:rFonts w:ascii="Times New Roman" w:cs="Times New Roman" w:eastAsia="Times New Roman" w:hAnsi="Times New Roman"/>
          <w:sz w:val="18"/>
          <w:szCs w:val="18"/>
          <w:color w:val="auto"/>
        </w:rPr>
      </w:pPr>
    </w:p>
    <w:p>
      <w:pPr>
        <w:ind w:left="-987" w:right="500" w:firstLine="987"/>
        <w:spacing w:after="0" w:line="282" w:lineRule="auto"/>
        <w:tabs>
          <w:tab w:leader="none" w:pos="24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Company and the Representative of all communications received by the Trustee with respect to any Property requiring action by the Company;</w:t>
      </w:r>
    </w:p>
    <w:p>
      <w:pPr>
        <w:spacing w:after="0" w:line="161" w:lineRule="exact"/>
        <w:rPr>
          <w:rFonts w:ascii="Times New Roman" w:cs="Times New Roman" w:eastAsia="Times New Roman" w:hAnsi="Times New Roman"/>
          <w:sz w:val="18"/>
          <w:szCs w:val="18"/>
          <w:color w:val="auto"/>
        </w:rPr>
      </w:pPr>
    </w:p>
    <w:p>
      <w:pPr>
        <w:ind w:left="-987" w:right="120" w:firstLine="987"/>
        <w:spacing w:after="0" w:line="282" w:lineRule="auto"/>
        <w:tabs>
          <w:tab w:leader="none" w:pos="2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61" w:lineRule="exact"/>
        <w:rPr>
          <w:rFonts w:ascii="Times New Roman" w:cs="Times New Roman" w:eastAsia="Times New Roman" w:hAnsi="Times New Roman"/>
          <w:sz w:val="18"/>
          <w:szCs w:val="18"/>
          <w:color w:val="auto"/>
        </w:rPr>
      </w:pPr>
    </w:p>
    <w:p>
      <w:pPr>
        <w:ind w:left="-987" w:right="720" w:firstLine="987"/>
        <w:spacing w:after="0" w:line="282"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in writing to do so;</w:t>
      </w:r>
    </w:p>
    <w:p>
      <w:pPr>
        <w:spacing w:after="0" w:line="161" w:lineRule="exact"/>
        <w:rPr>
          <w:rFonts w:ascii="Times New Roman" w:cs="Times New Roman" w:eastAsia="Times New Roman" w:hAnsi="Times New Roman"/>
          <w:sz w:val="18"/>
          <w:szCs w:val="18"/>
          <w:color w:val="auto"/>
        </w:rPr>
      </w:pPr>
    </w:p>
    <w:p>
      <w:pPr>
        <w:ind w:left="-987" w:right="380" w:firstLine="987"/>
        <w:spacing w:after="0" w:line="282"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and to such other person as the Company may instruct, monthly written statements of the activities of and amounts in the Trust Account reflecting all receipts and disbursements of the Trust Account;</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52"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liquidation of the Trust Account only after and promptly after (x) receipt of, and only in accordance with, the terms of a letter from the Company (“</w:t>
      </w:r>
      <w:r>
        <w:rPr>
          <w:rFonts w:ascii="Times New Roman" w:cs="Times New Roman" w:eastAsia="Times New Roman" w:hAnsi="Times New Roman"/>
          <w:sz w:val="18"/>
          <w:szCs w:val="18"/>
          <w:b w:val="1"/>
          <w:bCs w:val="1"/>
          <w:i w:val="1"/>
          <w:iCs w:val="1"/>
          <w:color w:val="auto"/>
        </w:rPr>
        <w:t>Termination Letter</w:t>
      </w:r>
      <w:r>
        <w:rPr>
          <w:rFonts w:ascii="Times New Roman" w:cs="Times New Roman" w:eastAsia="Times New Roman" w:hAnsi="Times New Roman"/>
          <w:sz w:val="18"/>
          <w:szCs w:val="18"/>
          <w:color w:val="auto"/>
        </w:rPr>
        <w:t xml:space="preserve">”)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signed on behalf of the Company by its Chief Executive Officer, President, Chief Financial Officer or Chairman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or other authorized officer of the Company (and in the case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jointly acknowledged and agreed to by the Representative), and complete the liquidation of the Trust Account and distribute the Property in the Trust Account, including any amounts representing interest earned on the Trust Account, less interest previously released to, or reserved for use by, the Company in an amount up to $100,000 to pay dissolution expenses (as applicable) and less any other interest released to, or reserved for use by, the Company to pay taxes as provided in this Agreement only as directed in the Termination Letter and the other documents referred to therein, (y) upon the date which is the later of (1) twenty-four months after the closing of the Offering and (2) such later date as may be approved by the Company’s shareholders in accordance with the Company’s Articles, or (z) upon the end of a 30-day cure period after the date any additional amount of funds was required to be deposited into the Trust Account as a condition of any extension of such date approved by the Company’s shareholders but was not deposited; if a Termination Letter has not been received by the Trustee prior to such date, in which case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Property in the Trust Account, including any amounts representing interest earned on the Trust Account, less interest previously released to, or reserved for use by, the Company in an amount up to $100,000 to pay dissolution expenses (as applicable) and less any other interest released to, or reserved for use by, the Company to pay taxes, shall be distributed to the Public Shareholders of record as of such date. The Trustee agrees to serve as the paying agent of record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with respect to any distribution of Property that is to be made to the Public Shareholders and, in its separate capacity as Paying Agent, agrees to distribute such Property directly to the Company’s Public Shareholders in accordance with the terms of this Agreement and the Company’s Articles in effect at the time of such distribution;</w:t>
      </w:r>
    </w:p>
    <w:p>
      <w:pPr>
        <w:spacing w:after="0" w:line="191" w:lineRule="exact"/>
        <w:rPr>
          <w:rFonts w:ascii="Times New Roman" w:cs="Times New Roman" w:eastAsia="Times New Roman" w:hAnsi="Times New Roman"/>
          <w:sz w:val="18"/>
          <w:szCs w:val="18"/>
          <w:color w:val="auto"/>
        </w:rPr>
      </w:pPr>
    </w:p>
    <w:p>
      <w:pPr>
        <w:ind w:left="-987" w:firstLine="987"/>
        <w:spacing w:after="0" w:line="253"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Withdrawal Request</w:t>
      </w:r>
      <w:r>
        <w:rPr>
          <w:rFonts w:ascii="Times New Roman" w:cs="Times New Roman" w:eastAsia="Times New Roman" w:hAnsi="Times New Roman"/>
          <w:sz w:val="18"/>
          <w:szCs w:val="18"/>
          <w:color w:val="auto"/>
        </w:rPr>
        <w:t xml:space="preserve">”), withdraw from the Trust Account and distribute to the Company interest in an amount up to $100,000 to pay dissolution expenses and any interest to cover any tax obligation owed by the Company as a result of assets of the Company or any taxes of the Company which amount shall be delivered directly to the Company by electronic funds transfer or other method of prompt payment, and the Company shall forward such payment to the relevant taxing authority. To the extent there is not sufficient cash in the Trust Account to fulfill a Withdrawal Request, the Trustee shall liquidate such assets held in the Trust Account as shall be designated by the Company in writing to make such distribution, so long as there is no reduction in the principal amount per share initially deposited in the Trust Account. The Trustee acknowledges and agrees that no amount in excess of interest income earned on the Property shall be payable from the Trust Account to the Company pursuant to this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A Withdrawal Request shall constitute presumptive evidence that the Company is entitled to said funds, and the Trustee shall have no responsibility to look beyond said request;</w:t>
      </w:r>
    </w:p>
    <w:p>
      <w:pPr>
        <w:sectPr>
          <w:pgSz w:w="11900" w:h="16838" w:orient="portrait"/>
          <w:cols w:equalWidth="0" w:num="1">
            <w:col w:w="10033"/>
          </w:cols>
          <w:pgMar w:left="1427" w:top="270" w:right="439" w:bottom="1440" w:gutter="0" w:footer="0" w:header="0"/>
        </w:sectPr>
      </w:pPr>
    </w:p>
    <w:bookmarkStart w:id="140" w:name="page141"/>
    <w:bookmarkEnd w:id="140"/>
    <w:p>
      <w:pPr>
        <w:ind w:left="-436" w:firstLine="987"/>
        <w:spacing w:after="0" w:line="254" w:lineRule="auto"/>
        <w:tabs>
          <w:tab w:leader="none" w:pos="81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Trustee shall distribute on behalf of the Company the amount requested by the Company to be used to redeem Ordinary Shares from Public Shareholders properly submitted in connection with a shareholder vote to approve an amendment to the Company’s Articles (i) to modify the substance or timing of the Company’s obligation to provide Public Shareholders the right to have their Ordinary Shares redeemed in connection with an initial Business Combination or to redeem 100% of the Ordinary Shares included in the Units sold in the Offering if the Company has not consummated an initial Business Combination within such time as is described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this Agreement or (ii) with respect to the other provisions relating to shareholders’ rights or pre-Business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91"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make any withdrawals or distributions from the Trust Account other than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117" w:lineRule="exact"/>
        <w:rPr>
          <w:rFonts w:ascii="Times New Roman" w:cs="Times New Roman" w:eastAsia="Times New Roman" w:hAnsi="Times New Roman"/>
          <w:sz w:val="18"/>
          <w:szCs w:val="18"/>
          <w:color w:val="auto"/>
        </w:rPr>
      </w:pPr>
    </w:p>
    <w:p>
      <w:pPr>
        <w:ind w:left="-436" w:right="40" w:firstLine="987"/>
        <w:spacing w:after="0" w:line="258" w:lineRule="auto"/>
        <w:tabs>
          <w:tab w:leader="none" w:pos="8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all instructions to the Trustee hereunder in writing, signed by the Company’s Chief Executive Officer, President, Chief Financial Officer, Chairman of the Board or another authorized officer. In addition, except with respect to its duties under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3" w:lineRule="exact"/>
        <w:rPr>
          <w:rFonts w:ascii="Times New Roman" w:cs="Times New Roman" w:eastAsia="Times New Roman" w:hAnsi="Times New Roman"/>
          <w:sz w:val="18"/>
          <w:szCs w:val="18"/>
          <w:color w:val="auto"/>
        </w:rPr>
      </w:pPr>
    </w:p>
    <w:p>
      <w:pPr>
        <w:ind w:left="-436" w:right="20" w:firstLine="987"/>
        <w:spacing w:after="0" w:line="253" w:lineRule="auto"/>
        <w:tabs>
          <w:tab w:leader="none" w:pos="81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Trustee shall notify the Company in writing of such claim (hereinafter referred to as the “</w:t>
      </w:r>
      <w:r>
        <w:rPr>
          <w:rFonts w:ascii="Times New Roman" w:cs="Times New Roman" w:eastAsia="Times New Roman" w:hAnsi="Times New Roman"/>
          <w:sz w:val="18"/>
          <w:szCs w:val="18"/>
          <w:b w:val="1"/>
          <w:bCs w:val="1"/>
          <w:i w:val="1"/>
          <w:iCs w:val="1"/>
          <w:color w:val="auto"/>
        </w:rPr>
        <w:t>Indemnified Claim</w:t>
      </w:r>
      <w:r>
        <w:rPr>
          <w:rFonts w:ascii="Times New Roman" w:cs="Times New Roman" w:eastAsia="Times New Roman" w:hAnsi="Times New Roman"/>
          <w:sz w:val="18"/>
          <w:szCs w:val="18"/>
          <w:color w:val="auto"/>
        </w:rPr>
        <w:t xml:space="preserve">”). The Trustee shall have the right to conduct and manage the defense against such Indemnified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obtain the consent of the Company with respect to the selection of counsel, which consent shall not be unreasonably withheld. The Trustee shall not agree to settle any Indemnified Claim without the prior written consent of the Company, which such consent shall not be unreasonably withheld. The Company may participate in such action with its own counsel;</w:t>
      </w:r>
    </w:p>
    <w:p>
      <w:pPr>
        <w:spacing w:after="0" w:line="191" w:lineRule="exact"/>
        <w:rPr>
          <w:rFonts w:ascii="Times New Roman" w:cs="Times New Roman" w:eastAsia="Times New Roman" w:hAnsi="Times New Roman"/>
          <w:sz w:val="18"/>
          <w:szCs w:val="18"/>
          <w:color w:val="auto"/>
        </w:rPr>
      </w:pPr>
    </w:p>
    <w:p>
      <w:pPr>
        <w:ind w:left="-436" w:right="20" w:firstLine="987"/>
        <w:spacing w:after="0" w:line="256" w:lineRule="auto"/>
        <w:tabs>
          <w:tab w:leader="none" w:pos="8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Trustee the fees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the Business Combination is consummated.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as may be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ind w:left="-436" w:right="20" w:firstLine="987"/>
        <w:spacing w:after="0" w:line="261" w:lineRule="auto"/>
        <w:tabs>
          <w:tab w:leader="none" w:pos="81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shareholders regarding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provide to the Trustee an affidavit or certificate of the inspector of elections for the general meeting verifying the vote of such shareholders regarding such Business Combination;</w:t>
      </w:r>
    </w:p>
    <w:p>
      <w:pPr>
        <w:sectPr>
          <w:pgSz w:w="11900" w:h="16838" w:orient="portrait"/>
          <w:cols w:equalWidth="0" w:num="1">
            <w:col w:w="10524"/>
          </w:cols>
          <w:pgMar w:left="876" w:top="270" w:right="499" w:bottom="1440" w:gutter="0" w:footer="0" w:header="0"/>
        </w:sectPr>
      </w:pPr>
    </w:p>
    <w:bookmarkStart w:id="141" w:name="page142"/>
    <w:bookmarkEnd w:id="141"/>
    <w:p>
      <w:pPr>
        <w:ind w:left="-436" w:right="240" w:firstLine="987"/>
        <w:spacing w:after="0" w:line="282" w:lineRule="auto"/>
        <w:tabs>
          <w:tab w:leader="none" w:pos="8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the Representative with a copy of any Termination Letter(s) and/or any other correspondence that is sent to the Trustee with respect to any proposed withdrawal from the Trust Account promptly after it issues the same; and</w:t>
      </w:r>
    </w:p>
    <w:p>
      <w:pPr>
        <w:spacing w:after="0" w:line="161" w:lineRule="exact"/>
        <w:rPr>
          <w:rFonts w:ascii="Times New Roman" w:cs="Times New Roman" w:eastAsia="Times New Roman" w:hAnsi="Times New Roman"/>
          <w:sz w:val="18"/>
          <w:szCs w:val="18"/>
          <w:color w:val="auto"/>
        </w:rPr>
      </w:pPr>
    </w:p>
    <w:p>
      <w:pPr>
        <w:ind w:left="-436" w:firstLine="987"/>
        <w:spacing w:after="0" w:line="282" w:lineRule="auto"/>
        <w:tabs>
          <w:tab w:leader="none" w:pos="7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Trustee to make only those distributions that are permitted under this Agreement, and refrain from instructing the Trustee to make any distributions that are not permitted under this Agreement.</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117" w:lineRule="exact"/>
        <w:rPr>
          <w:rFonts w:ascii="Times New Roman" w:cs="Times New Roman" w:eastAsia="Times New Roman" w:hAnsi="Times New Roman"/>
          <w:sz w:val="18"/>
          <w:szCs w:val="18"/>
          <w:color w:val="auto"/>
        </w:rPr>
      </w:pPr>
    </w:p>
    <w:p>
      <w:pPr>
        <w:ind w:left="-436" w:right="460" w:firstLine="987"/>
        <w:spacing w:after="0" w:line="282" w:lineRule="auto"/>
        <w:tabs>
          <w:tab w:leader="none" w:pos="8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w:t>
      </w:r>
    </w:p>
    <w:p>
      <w:pPr>
        <w:spacing w:after="0" w:line="161" w:lineRule="exact"/>
        <w:rPr>
          <w:rFonts w:ascii="Times New Roman" w:cs="Times New Roman" w:eastAsia="Times New Roman" w:hAnsi="Times New Roman"/>
          <w:sz w:val="18"/>
          <w:szCs w:val="18"/>
          <w:color w:val="auto"/>
        </w:rPr>
      </w:pPr>
    </w:p>
    <w:p>
      <w:pPr>
        <w:ind w:left="-436" w:right="260" w:firstLine="987"/>
        <w:spacing w:after="0" w:line="282" w:lineRule="auto"/>
        <w:tabs>
          <w:tab w:leader="none" w:pos="81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with respect to the Property, other than as directed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and the Trustee shall have no liability to any third party except for liability arising out of the Trustee’s gross negligence, fraud or willful misconduct;</w:t>
      </w:r>
    </w:p>
    <w:p>
      <w:pPr>
        <w:spacing w:after="0" w:line="161" w:lineRule="exact"/>
        <w:rPr>
          <w:rFonts w:ascii="Times New Roman" w:cs="Times New Roman" w:eastAsia="Times New Roman" w:hAnsi="Times New Roman"/>
          <w:sz w:val="18"/>
          <w:szCs w:val="18"/>
          <w:color w:val="auto"/>
        </w:rPr>
      </w:pPr>
    </w:p>
    <w:p>
      <w:pPr>
        <w:jc w:val="both"/>
        <w:ind w:left="-436" w:right="20" w:firstLine="987"/>
        <w:spacing w:after="0" w:line="266" w:lineRule="auto"/>
        <w:tabs>
          <w:tab w:leader="none" w:pos="8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left="-436" w:right="440" w:firstLine="987"/>
        <w:spacing w:after="0" w:line="282" w:lineRule="auto"/>
        <w:tabs>
          <w:tab w:leader="none" w:pos="8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ind w:left="-436" w:right="40" w:firstLine="987"/>
        <w:spacing w:after="0" w:line="254" w:lineRule="auto"/>
        <w:tabs>
          <w:tab w:leader="none" w:pos="7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8"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accuracy of the information contained in the Registration Statement;</w:t>
      </w:r>
    </w:p>
    <w:p>
      <w:pPr>
        <w:spacing w:after="0" w:line="225" w:lineRule="exact"/>
        <w:rPr>
          <w:rFonts w:ascii="Times New Roman" w:cs="Times New Roman" w:eastAsia="Times New Roman" w:hAnsi="Times New Roman"/>
          <w:sz w:val="18"/>
          <w:szCs w:val="18"/>
          <w:color w:val="auto"/>
        </w:rPr>
      </w:pPr>
    </w:p>
    <w:p>
      <w:pPr>
        <w:ind w:left="-436" w:right="280" w:firstLine="987"/>
        <w:spacing w:after="0" w:line="282" w:lineRule="auto"/>
        <w:tabs>
          <w:tab w:leader="none" w:pos="81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assurance that any Business Combination entered into by the Company or any other action taken by the Company is as contemplated by the Registration Statement;</w:t>
      </w:r>
    </w:p>
    <w:p>
      <w:pPr>
        <w:spacing w:after="0" w:line="161" w:lineRule="exact"/>
        <w:rPr>
          <w:rFonts w:ascii="Times New Roman" w:cs="Times New Roman" w:eastAsia="Times New Roman" w:hAnsi="Times New Roman"/>
          <w:sz w:val="18"/>
          <w:szCs w:val="18"/>
          <w:color w:val="auto"/>
        </w:rPr>
      </w:pPr>
    </w:p>
    <w:p>
      <w:pPr>
        <w:ind w:left="-436" w:right="220" w:firstLine="987"/>
        <w:spacing w:after="0" w:line="282" w:lineRule="auto"/>
        <w:tabs>
          <w:tab w:leader="none" w:pos="77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61" w:lineRule="exact"/>
        <w:rPr>
          <w:rFonts w:ascii="Times New Roman" w:cs="Times New Roman" w:eastAsia="Times New Roman" w:hAnsi="Times New Roman"/>
          <w:sz w:val="18"/>
          <w:szCs w:val="18"/>
          <w:color w:val="auto"/>
        </w:rPr>
      </w:pPr>
    </w:p>
    <w:p>
      <w:pPr>
        <w:ind w:left="-436" w:right="220" w:firstLine="987"/>
        <w:spacing w:after="0" w:line="266" w:lineRule="auto"/>
        <w:tabs>
          <w:tab w:leader="none" w:pos="77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hereof; or</w:t>
      </w:r>
    </w:p>
    <w:p>
      <w:pPr>
        <w:sectPr>
          <w:pgSz w:w="11900" w:h="16838" w:orient="portrait"/>
          <w:cols w:equalWidth="0" w:num="1">
            <w:col w:w="10544"/>
          </w:cols>
          <w:pgMar w:left="876" w:top="270" w:right="479" w:bottom="1440" w:gutter="0" w:footer="0" w:header="0"/>
        </w:sectPr>
      </w:pPr>
    </w:p>
    <w:bookmarkStart w:id="142" w:name="page143"/>
    <w:bookmarkEnd w:id="14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Verify calculations, qualify or otherwise approve the Company’s written requests for distributions pursuant to </w:t>
      </w:r>
      <w:r>
        <w:rPr>
          <w:rFonts w:ascii="Times New Roman" w:cs="Times New Roman" w:eastAsia="Times New Roman" w:hAnsi="Times New Roman"/>
          <w:sz w:val="17"/>
          <w:szCs w:val="17"/>
          <w:u w:val="single" w:color="auto"/>
          <w:color w:val="auto"/>
        </w:rPr>
        <w:t>Sections 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ind w:right="120" w:firstLine="436"/>
        <w:spacing w:after="0" w:line="259" w:lineRule="auto"/>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Company does not locate a successor trustee within ninety (90) days after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that the Trustee has completed the liquidation of the Trust Account and its obligations in accordance with the provisions of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(which section may not be amended except as described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and distributed the Property in accordance with the provisions of the Termination Letter, this Agreement shall terminate except as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75"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contains the entire agreement and understanding of the parties hereto with respect to the subject matter hereof. Except for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(which may not be changed, modified, amended or deleted without the affirmative vote of a majority of all issued and outstanding ordinary shares of the Company having voted in favor of such change, modification, amendment or deletion; provided that no such amendment will affect any Public Shareholder who has elected to redeem his, her or its Ordinary Shares in connection with a shareholder vote sought to amend this Agreement), this Agreement or any provision hereof may only be changed, amended, modified or deleted (other than to correct a typographical error) by a writing signed by each of the parties hereto.</w:t>
      </w:r>
    </w:p>
    <w:p>
      <w:pPr>
        <w:sectPr>
          <w:pgSz w:w="11900" w:h="16838" w:orient="portrait"/>
          <w:cols w:equalWidth="0" w:num="1">
            <w:col w:w="11000"/>
          </w:cols>
          <w:pgMar w:left="440" w:top="270" w:right="459" w:bottom="1440" w:gutter="0" w:footer="0" w:header="0"/>
        </w:sectPr>
      </w:pPr>
    </w:p>
    <w:bookmarkStart w:id="143" w:name="page144"/>
    <w:bookmarkEnd w:id="143"/>
    <w:p>
      <w:pPr>
        <w:ind w:firstLine="987"/>
        <w:spacing w:after="0" w:line="266"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 or by electronic mail: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Avi S. Katz</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Jeffrey Selman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(415) 659-7465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ind w:left="440" w:right="9020" w:hanging="4"/>
        <w:spacing w:after="0" w:line="250" w:lineRule="auto"/>
        <w:tabs>
          <w:tab w:leader="none" w:pos="7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39th Floor</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10022</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[___________________]</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[___________________]</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1345 Avenue of the Americas, 11th Fl.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Douglas S. Ellenoff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Stuart Neuhauser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Anthony Ain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right="200" w:firstLine="987"/>
        <w:spacing w:after="0" w:line="261" w:lineRule="auto"/>
        <w:tabs>
          <w:tab w:leader="none" w:pos="12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ectPr>
          <w:pgSz w:w="11900" w:h="16838" w:orient="portrait"/>
          <w:cols w:equalWidth="0" w:num="1">
            <w:col w:w="10980"/>
          </w:cols>
          <w:pgMar w:left="440" w:top="270" w:right="479" w:bottom="1440" w:gutter="0" w:footer="0" w:header="0"/>
        </w:sectPr>
      </w:pPr>
    </w:p>
    <w:bookmarkStart w:id="144" w:name="page145"/>
    <w:bookmarkEnd w:id="144"/>
    <w:p>
      <w:pPr>
        <w:ind w:right="720" w:firstLine="987"/>
        <w:spacing w:after="0" w:line="282"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right="600" w:firstLine="987"/>
        <w:spacing w:after="0" w:line="266"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specified herein, no party to this Agreement may assign its rights or delegate its obligations hereunder to any other person or entity, without the written consent of the other party.</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acknowledges and agrees that the Representatives, on behalf of the Underwriters, are third party beneficiaries of this Agreement.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hereby consents to the inclusion of Continental Stock Transfer &amp; Trust Company in the Registration Statement and other materials relating to the IPO.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ectPr>
          <w:pgSz w:w="11900" w:h="16838" w:orient="portrait"/>
          <w:cols w:equalWidth="0" w:num="1">
            <w:col w:w="11000"/>
          </w:cols>
          <w:pgMar w:left="440" w:top="270" w:right="459" w:bottom="1440" w:gutter="0" w:footer="0" w:header="0"/>
        </w:sectPr>
      </w:pPr>
    </w:p>
    <w:bookmarkStart w:id="145" w:name="page146"/>
    <w:bookmarkEnd w:id="145"/>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duly executed this Investment Management Trust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Continental Stock Transfer &amp; Trust Company, </w:t>
      </w:r>
      <w:r>
        <w:rPr>
          <w:rFonts w:ascii="Times New Roman" w:cs="Times New Roman" w:eastAsia="Times New Roman" w:hAnsi="Times New Roman"/>
          <w:sz w:val="18"/>
          <w:szCs w:val="18"/>
          <w:color w:val="auto"/>
        </w:rPr>
        <w:t>as Trustee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Francis Wolf</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Francis Wolf</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GigCapital8 Corp.</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Avi S.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[Signature Page to the Investment Management Trust Agreement]</w:t>
      </w:r>
    </w:p>
    <w:p>
      <w:pPr>
        <w:sectPr>
          <w:pgSz w:w="11900" w:h="16838" w:orient="portrait"/>
          <w:cols w:equalWidth="0" w:num="1">
            <w:col w:w="10540"/>
          </w:cols>
          <w:pgMar w:left="440" w:top="266" w:right="91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Item</w:t>
            </w: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Time and method of payment</w:t>
            </w:r>
          </w:p>
        </w:tc>
        <w:tc>
          <w:tcPr>
            <w:tcW w:w="16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acceptance fee</w:t>
            </w:r>
          </w:p>
        </w:tc>
        <w:tc>
          <w:tcPr>
            <w:tcW w:w="20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closing of IPO by wire transfer</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 fee</w:t>
            </w:r>
          </w:p>
        </w:tc>
        <w:tc>
          <w:tcPr>
            <w:tcW w:w="67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First year, initial closing of IPO by wire transfer; thereafter on the anniversary of the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640" w:type="dxa"/>
            <w:vAlign w:val="bottom"/>
          </w:tcPr>
          <w:p>
            <w:pPr>
              <w:spacing w:after="0"/>
              <w:rPr>
                <w:sz w:val="20"/>
                <w:szCs w:val="20"/>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effective date of the IPO by wire transfer or check</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w:t>
            </w: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processing fee for</w:t>
            </w:r>
          </w:p>
        </w:tc>
        <w:tc>
          <w:tcPr>
            <w:tcW w:w="67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Billed to Company following disbursement made to Company under Section 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disbursements to Company</w:t>
            </w:r>
          </w:p>
        </w:tc>
        <w:tc>
          <w:tcPr>
            <w:tcW w:w="2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Section 1</w:t>
            </w:r>
          </w:p>
        </w:tc>
        <w:tc>
          <w:tcPr>
            <w:tcW w:w="20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Paying Agent services as required</w:t>
            </w:r>
          </w:p>
        </w:tc>
        <w:tc>
          <w:tcPr>
            <w:tcW w:w="67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Billed to Company upon delivery of service pursuant to Section 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1</w:t>
            </w:r>
          </w:p>
        </w:tc>
        <w:tc>
          <w:tcPr>
            <w:tcW w:w="20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Prevailing rates</w:t>
            </w:r>
          </w:p>
        </w:tc>
      </w:tr>
    </w:tbl>
    <w:p>
      <w:pPr>
        <w:sectPr>
          <w:pgSz w:w="11900" w:h="16838" w:orient="portrait"/>
          <w:cols w:equalWidth="0" w:num="1">
            <w:col w:w="11020"/>
          </w:cols>
          <w:pgMar w:left="440" w:top="266" w:right="439" w:bottom="1440" w:gutter="0" w:footer="0" w:header="0"/>
        </w:sectPr>
      </w:pPr>
    </w:p>
    <w:bookmarkStart w:id="147" w:name="page148"/>
    <w:bookmarkEnd w:id="14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GigCapital8 Corp.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October 3,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you that the Company has entered into an agreement with </w:t>
      </w:r>
      <w:r>
        <w:rPr>
          <w:rFonts w:ascii="Times New Roman" w:cs="Times New Roman" w:eastAsia="Times New Roman" w:hAnsi="Times New Roman"/>
          <w:sz w:val="18"/>
          <w:szCs w:val="18"/>
          <w:b w:val="1"/>
          <w:bCs w:val="1"/>
          <w:color w:val="auto"/>
        </w:rPr>
        <w:t>[insert business]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Target Business</w:t>
      </w:r>
      <w:r>
        <w:rPr>
          <w:rFonts w:ascii="Times New Roman" w:cs="Times New Roman" w:eastAsia="Times New Roman" w:hAnsi="Times New Roman"/>
          <w:sz w:val="18"/>
          <w:szCs w:val="18"/>
          <w:color w:val="auto"/>
        </w:rPr>
        <w:t>”) to consummate a business combination with Target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seventy-two (72) hours in advance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actual date (or such shorter period as you may agree) of the consummation of the Business Combination (the “</w:t>
      </w:r>
      <w:r>
        <w:rPr>
          <w:rFonts w:ascii="Times New Roman" w:cs="Times New Roman" w:eastAsia="Times New Roman" w:hAnsi="Times New Roman"/>
          <w:sz w:val="17"/>
          <w:szCs w:val="17"/>
          <w:b w:val="1"/>
          <w:bCs w:val="1"/>
          <w:i w:val="1"/>
          <w:iCs w:val="1"/>
          <w:color w:val="auto"/>
        </w:rPr>
        <w:t>Consummation Date</w:t>
      </w:r>
      <w:r>
        <w:rPr>
          <w:rFonts w:ascii="Times New Roman" w:cs="Times New Roman" w:eastAsia="Times New Roman" w:hAnsi="Times New Roman"/>
          <w:sz w:val="17"/>
          <w:szCs w:val="17"/>
          <w:color w:val="auto"/>
        </w:rPr>
        <w:t>”). Capitalized terms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used but not defined herein shall have the meanings set forth in the Trust Agreement.</w:t>
      </w:r>
    </w:p>
    <w:p>
      <w:pPr>
        <w:spacing w:after="0" w:line="20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commence to liquidate all of the assets of the Trust Account and to transfer the proceeds into a segregated account at J.P. Morgan Chase Bank, N.A held by you on behalf of the Beneficiaries so that, on the Consummation Date, all of funds held in the Trust Account will be immediately available for transfer to the account or accounts that the Company shall direct on the Consummation Date . It is acknowledged and agreed that while the funds are on deposit in the segregated account at J.P. Morgan Chase Bank, N.A awaiting distribution, the Company will not earn any interest or dividends.</w:t>
      </w:r>
    </w:p>
    <w:p>
      <w:pPr>
        <w:spacing w:after="0" w:line="183" w:lineRule="exact"/>
        <w:rPr>
          <w:sz w:val="20"/>
          <w:szCs w:val="20"/>
          <w:color w:val="auto"/>
        </w:rPr>
      </w:pPr>
    </w:p>
    <w:p>
      <w:pPr>
        <w:jc w:val="center"/>
        <w:ind w:right="216"/>
        <w:spacing w:after="0" w:line="276" w:lineRule="auto"/>
        <w:rPr>
          <w:sz w:val="20"/>
          <w:szCs w:val="20"/>
          <w:color w:val="auto"/>
        </w:rPr>
      </w:pPr>
      <w:r>
        <w:rPr>
          <w:rFonts w:ascii="Times New Roman" w:cs="Times New Roman" w:eastAsia="Times New Roman" w:hAnsi="Times New Roman"/>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Times New Roman" w:cs="Times New Roman" w:eastAsia="Times New Roman" w:hAnsi="Times New Roman"/>
          <w:sz w:val="17"/>
          <w:szCs w:val="17"/>
          <w:b w:val="1"/>
          <w:bCs w:val="1"/>
          <w:i w:val="1"/>
          <w:iCs w:val="1"/>
          <w:color w:val="auto"/>
        </w:rPr>
        <w:t>Notification</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20" w:hanging="4"/>
        <w:spacing w:after="0" w:line="265" w:lineRule="auto"/>
        <w:tabs>
          <w:tab w:leader="none" w:pos="26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deliver to you (a) a certificate by the Chief Executive Officer, President, Chief Financial Officer, Executive Vice President, Vice President, Secretary or Chairman, which verifies that the Business Combination has been approved by a vote of the Company’s shareholders, if a vote is held, and (b) a written instruction signed by the Company with respect to the transfer of the funds held in the Trust Account (the “</w:t>
      </w:r>
      <w:r>
        <w:rPr>
          <w:rFonts w:ascii="Times New Roman" w:cs="Times New Roman" w:eastAsia="Times New Roman" w:hAnsi="Times New Roman"/>
          <w:sz w:val="17"/>
          <w:szCs w:val="17"/>
          <w:b w:val="1"/>
          <w:bCs w:val="1"/>
          <w:i w:val="1"/>
          <w:iCs w:val="1"/>
          <w:color w:val="auto"/>
        </w:rPr>
        <w:t>Instruction Letter</w:t>
      </w:r>
      <w:r>
        <w:rPr>
          <w:rFonts w:ascii="Times New Roman" w:cs="Times New Roman" w:eastAsia="Times New Roman" w:hAnsi="Times New Roman"/>
          <w:sz w:val="17"/>
          <w:szCs w:val="17"/>
          <w:color w:val="auto"/>
        </w:rPr>
        <w:t>”).</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from the Trust Account, your obligations under the Trust Agreement shall be terminated.</w:t>
      </w:r>
    </w:p>
    <w:p>
      <w:pPr>
        <w:spacing w:after="0" w:line="18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Trust Agreement on the business day immediately following the Consummation Date as set forth in such notice as soon thereafter as possible.</w:t>
      </w:r>
    </w:p>
    <w:p>
      <w:pPr>
        <w:sectPr>
          <w:pgSz w:w="11900" w:h="16838" w:orient="portrait"/>
          <w:cols w:equalWidth="0" w:num="1">
            <w:col w:w="10984"/>
          </w:cols>
          <w:pgMar w:left="436" w:top="266"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22860</wp:posOffset>
            </wp:positionV>
            <wp:extent cx="24345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-121920</wp:posOffset>
            </wp:positionV>
            <wp:extent cx="24345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cc:D.    Boral Capital LLC</w:t>
      </w:r>
    </w:p>
    <w:p>
      <w:pPr>
        <w:sectPr>
          <w:pgSz w:w="11900" w:h="16838" w:orient="portrait"/>
          <w:cols w:equalWidth="0" w:num="1">
            <w:col w:w="10019"/>
          </w:cols>
          <w:pgMar w:left="440" w:top="270" w:right="1440" w:bottom="1440" w:gutter="0" w:footer="0" w:header="0"/>
        </w:sectPr>
      </w:pPr>
    </w:p>
    <w:bookmarkStart w:id="149" w:name="page150"/>
    <w:bookmarkEnd w:id="1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GigCapital8 Corp.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October 3,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that the Company has been unable to effect a Business Combination with a target business within the time frame specified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Agreement. Capitalized terms used but not defined herein shall have the meanings set forth in the Trust Agreement.</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of the Trust Agreement, we hereby authorize you to liquidate all of the assets in the Trust Account and to transfer the total proceeds into the segregated account at J.P. Morgan Chase Bank, N.A. held by you on behalf of the Beneficiaries to await distribution to the Public Shareholders. The Company has selected [___], 202_, as the effective date for the purpose of determining when the Public Shareholders will be entitled to receive their share of the liquidation proceeds. You agree to be the Paying Agent of record and, in your separate capacity as Paying Agent, we hereby direct you to distribute said funds directly to the Company’s Public Shareholders in accordance with the terms of the Trust Agreement and the amended and restated memorandum and articles of association of the Company as in effect at the time of such distribution. Upon the distribution of all funds in the Trust Account, your obligations under the Trust Agreement shall be terminated, except to the extent otherwise provided in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Trust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22860</wp:posOffset>
            </wp:positionV>
            <wp:extent cx="2434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-121920</wp:posOffset>
            </wp:positionV>
            <wp:extent cx="24345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 D.Boral Capital LLC</w:t>
      </w:r>
    </w:p>
    <w:p>
      <w:pPr>
        <w:sectPr>
          <w:pgSz w:w="11900" w:h="16838" w:orient="portrait"/>
          <w:cols w:equalWidth="0" w:num="1">
            <w:col w:w="10980"/>
          </w:cols>
          <w:pgMar w:left="440" w:top="266" w:right="479" w:bottom="1440" w:gutter="0" w:footer="0" w:header="0"/>
        </w:sectPr>
      </w:pPr>
    </w:p>
    <w:bookmarkStart w:id="150" w:name="page151"/>
    <w:bookmarkEnd w:id="1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Withdrawal Instruction</w:t>
      </w:r>
    </w:p>
    <w:p>
      <w:pPr>
        <w:spacing w:after="0" w:line="11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October 3,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deliver to the Company $____ of the interest income earned on the Property as of the date hereof. Capitalized terms used but not defined herein shall have the meanings set forth in the Trust Agreement.</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needs such funds [to pay for the tax obligations as set forth on the attached tax return or tax statement] [in connection with its dissolution [upon the expiration of the 24 month period following completion of the Offering (or upon such later date as may be extended in accordance with the terms described in the Company’s amended and restated memorandum and articles of association)]. In accordance with the terms of the Trust Agreement, you are hereby directed and authorized to transfer (via wire transfer) such funds promptly upon your receipt of this letter to the Company’s operating account at: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22860</wp:posOffset>
            </wp:positionV>
            <wp:extent cx="24345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-121920</wp:posOffset>
            </wp:positionV>
            <wp:extent cx="24345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 D.Boral Capital LLC</w:t>
      </w:r>
    </w:p>
    <w:p>
      <w:pPr>
        <w:sectPr>
          <w:pgSz w:w="11900" w:h="16838" w:orient="portrait"/>
          <w:cols w:equalWidth="0" w:num="1">
            <w:col w:w="10960"/>
          </w:cols>
          <w:pgMar w:left="440" w:top="266" w:right="499" w:bottom="1440" w:gutter="0" w:footer="0" w:header="0"/>
        </w:sectPr>
      </w:pPr>
    </w:p>
    <w:bookmarkStart w:id="151" w:name="page152"/>
    <w:bookmarkEnd w:id="15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Shareholder Redemption Withdrawal Instruction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October 3,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liquidate sufficient amounts from the trust account and deliver to the redeeming Public Shareholders of the Company $____ of the principal and interest income earned on the Property as of the date hereof to a segregated account held by you on behalf of the Beneficiaries.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Trust Agreement.</w:t>
      </w:r>
    </w:p>
    <w:p>
      <w:pPr>
        <w:spacing w:after="0" w:line="207" w:lineRule="exact"/>
        <w:rPr>
          <w:sz w:val="20"/>
          <w:szCs w:val="20"/>
          <w:color w:val="auto"/>
        </w:rPr>
      </w:pPr>
    </w:p>
    <w:p>
      <w:pPr>
        <w:ind w:right="2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The Company needs such funds to pay its Public Shareholders who have properly elected to have their Ordinary Shares redeemed by the Company in connection with a shareholder vote to approve an amendment to the Company’s amended and restated memorandum and articles of association (i) to modify the substance or timing of the Company’s obligation to redeem 100% of its public Ordinary Shares if the Company has not consummated an initial Business Combination within such time as is described in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Trust Agreement or (ii) with respect to the other material provisions relating to shareholders’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22860</wp:posOffset>
            </wp:positionV>
            <wp:extent cx="24345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-121920</wp:posOffset>
            </wp:positionV>
            <wp:extent cx="2434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 D.Boral Capital LLC</w:t>
      </w:r>
    </w:p>
    <w:p>
      <w:pPr>
        <w:sectPr>
          <w:pgSz w:w="11900" w:h="16838" w:orient="portrait"/>
          <w:cols w:equalWidth="0" w:num="1">
            <w:col w:w="10920"/>
          </w:cols>
          <w:pgMar w:left="440" w:top="266" w:right="539" w:bottom="1440" w:gutter="0" w:footer="0" w:header="0"/>
        </w:sectPr>
      </w:pPr>
    </w:p>
    <w:bookmarkStart w:id="152" w:name="page153"/>
    <w:bookmarkEnd w:id="152"/>
    <w:p>
      <w:pPr>
        <w:ind w:left="100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1731 Embarcadero Road,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will confirm our agreement that, commencing on the date the securities of GigCapital8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first listed 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(the “</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pursuant to a Registration Statement on Form S-1 and prospectus filed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continuing until the earlier of the consummation by the Company of an initial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or the Company’s liquidation (in each case as described in the Registration Statement) (such earlier date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GigManagement, LLC (“</w:t>
      </w:r>
      <w:r>
        <w:rPr>
          <w:rFonts w:ascii="Times New Roman" w:cs="Times New Roman" w:eastAsia="Times New Roman" w:hAnsi="Times New Roman"/>
          <w:sz w:val="18"/>
          <w:szCs w:val="18"/>
          <w:b w:val="1"/>
          <w:bCs w:val="1"/>
          <w:color w:val="auto"/>
        </w:rPr>
        <w:t>GigManagement</w:t>
      </w:r>
      <w:r>
        <w:rPr>
          <w:rFonts w:ascii="Times New Roman" w:cs="Times New Roman" w:eastAsia="Times New Roman" w:hAnsi="Times New Roman"/>
          <w:sz w:val="18"/>
          <w:szCs w:val="18"/>
          <w:color w:val="auto"/>
        </w:rPr>
        <w:t>”) shall make available to the Company, at 1731 Embarcadero Road, Suite 200, Palo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Alto, CA 94303 (or any successor location), certain office space, utilities, and general office, receptionist and secretarial support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as may be reasonably required by the Company. In exchange therefor, the Company shall pay GigManagement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per month starting on the Listing Date and continuing monthly thereafter and will be entitled to be reimbursed for any out-of-pocket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Termination Date.</w:t>
      </w:r>
    </w:p>
    <w:p>
      <w:pPr>
        <w:spacing w:after="0" w:line="20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GigManagement hereby irrevocably waives any and all right, title, interest, causes of action and claims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and any and all right to seek payment of any amounts due to it out of, the trust account established for the benefit of the public shareholders of the Company and into which substantially all of the proceeds of the Company’s initial public offering will be deposited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8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may not be amended, modified or waived as to any particular provision, except by a written instrument executed by all parties hereto.</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20"/>
          </w:cols>
          <w:pgMar w:left="440" w:top="117" w:right="439" w:bottom="1440" w:gutter="0" w:footer="0" w:header="0"/>
        </w:sectPr>
      </w:pPr>
    </w:p>
    <w:bookmarkStart w:id="153" w:name="page154"/>
    <w:bookmarkEnd w:id="15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the entire relationship of the parties hereto, and any litigation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Avi Katz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GIGMANAGEMENT, LLC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Administrative Services Agreement]</w:t>
      </w:r>
    </w:p>
    <w:p>
      <w:pPr>
        <w:sectPr>
          <w:pgSz w:w="11900" w:h="16838" w:orient="portrait"/>
          <w:cols w:equalWidth="0" w:num="1">
            <w:col w:w="10940"/>
          </w:cols>
          <w:pgMar w:left="440" w:top="270" w:right="5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3,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Dr. Avi Katz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155" w:name="page156"/>
    <w:bookmarkEnd w:id="155"/>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156" w:name="page157"/>
    <w:bookmarkEnd w:id="15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157" w:name="page158"/>
    <w:bookmarkEnd w:id="15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158" w:name="page159"/>
    <w:bookmarkEnd w:id="158"/>
    <w:p>
      <w:pPr>
        <w:ind w:left="-436" w:right="20" w:firstLine="436"/>
        <w:spacing w:after="0" w:line="254" w:lineRule="auto"/>
        <w:tabs>
          <w:tab w:leader="none" w:pos="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159" w:name="page160"/>
    <w:bookmarkEnd w:id="159"/>
    <w:p>
      <w:pPr>
        <w:ind w:left="184" w:hanging="184"/>
        <w:spacing w:after="0"/>
        <w:tabs>
          <w:tab w:leader="none" w:pos="1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160" w:name="page161"/>
    <w:bookmarkEnd w:id="16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161" w:name="page162"/>
    <w:bookmarkEnd w:id="16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162" w:name="page163"/>
    <w:bookmarkEnd w:id="162"/>
    <w:p>
      <w:pPr>
        <w:ind w:left="4" w:firstLine="436"/>
        <w:spacing w:after="0" w:line="254" w:lineRule="auto"/>
        <w:tabs>
          <w:tab w:leader="none" w:pos="69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163" w:name="page164"/>
    <w:bookmarkEnd w:id="163"/>
    <w:p>
      <w:pPr>
        <w:ind w:left="-436" w:right="60" w:firstLine="436"/>
        <w:spacing w:after="0" w:line="266" w:lineRule="auto"/>
        <w:tabs>
          <w:tab w:leader="none" w:pos="2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164" w:name="page165"/>
    <w:bookmarkEnd w:id="164"/>
    <w:p>
      <w:pPr>
        <w:ind w:left="4" w:firstLine="436"/>
        <w:spacing w:after="0" w:line="254" w:lineRule="auto"/>
        <w:tabs>
          <w:tab w:leader="none" w:pos="68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165" w:name="page166"/>
    <w:bookmarkEnd w:id="165"/>
    <w:p>
      <w:pPr>
        <w:ind w:left="264" w:hanging="264"/>
        <w:spacing w:after="0"/>
        <w:tabs>
          <w:tab w:leader="none" w:pos="2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157" w:lineRule="exact"/>
        <w:rPr>
          <w:sz w:val="20"/>
          <w:szCs w:val="20"/>
          <w:color w:val="auto"/>
        </w:rPr>
      </w:pPr>
    </w:p>
    <w:p>
      <w:pPr>
        <w:ind w:left="-436" w:right="100" w:firstLine="436"/>
        <w:spacing w:after="0" w:line="282" w:lineRule="auto"/>
        <w:tabs>
          <w:tab w:leader="none" w:pos="24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166" w:name="page167"/>
    <w:bookmarkEnd w:id="1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167" w:name="page168"/>
    <w:bookmarkEnd w:id="16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68" w:name="page169"/>
    <w:bookmarkEnd w:id="16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Dr. Avi Katz</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3,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Dr. Raluca Dinu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170" w:name="page171"/>
    <w:bookmarkEnd w:id="170"/>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171" w:name="page172"/>
    <w:bookmarkEnd w:id="17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172" w:name="page173"/>
    <w:bookmarkEnd w:id="172"/>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173" w:name="page174"/>
    <w:bookmarkEnd w:id="173"/>
    <w:p>
      <w:pPr>
        <w:ind w:left="-436" w:right="20" w:firstLine="436"/>
        <w:spacing w:after="0" w:line="254" w:lineRule="auto"/>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174" w:name="page175"/>
    <w:bookmarkEnd w:id="174"/>
    <w:p>
      <w:pPr>
        <w:ind w:left="184" w:hanging="184"/>
        <w:spacing w:after="0"/>
        <w:tabs>
          <w:tab w:leader="none" w:pos="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175" w:name="page176"/>
    <w:bookmarkEnd w:id="17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176" w:name="page177"/>
    <w:bookmarkEnd w:id="17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177" w:name="page178"/>
    <w:bookmarkEnd w:id="177"/>
    <w:p>
      <w:pPr>
        <w:ind w:left="4" w:firstLine="436"/>
        <w:spacing w:after="0" w:line="254" w:lineRule="auto"/>
        <w:tabs>
          <w:tab w:leader="none" w:pos="69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178" w:name="page179"/>
    <w:bookmarkEnd w:id="178"/>
    <w:p>
      <w:pPr>
        <w:ind w:left="-436" w:right="60" w:firstLine="436"/>
        <w:spacing w:after="0" w:line="266" w:lineRule="auto"/>
        <w:tabs>
          <w:tab w:leader="none" w:pos="24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179" w:name="page180"/>
    <w:bookmarkEnd w:id="179"/>
    <w:p>
      <w:pPr>
        <w:ind w:left="4" w:firstLine="436"/>
        <w:spacing w:after="0" w:line="254" w:lineRule="auto"/>
        <w:tabs>
          <w:tab w:leader="none" w:pos="6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180" w:name="page181"/>
    <w:bookmarkEnd w:id="180"/>
    <w:p>
      <w:pPr>
        <w:ind w:left="264" w:hanging="264"/>
        <w:spacing w:after="0"/>
        <w:tabs>
          <w:tab w:leader="none" w:pos="26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181" w:name="page182"/>
    <w:bookmarkEnd w:id="1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182" w:name="page183"/>
    <w:bookmarkEnd w:id="18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83" w:name="page184"/>
    <w:bookmarkEnd w:id="18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Raluca Dinu</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Dr. Raluca Dinu</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9,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Admiral (Ret.) David Ben-Bashat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185" w:name="page186"/>
    <w:bookmarkEnd w:id="185"/>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sz w:val="20"/>
          <w:szCs w:val="20"/>
          <w:color w:val="auto"/>
        </w:rPr>
      </w:pPr>
    </w:p>
    <w:p>
      <w:pPr>
        <w:ind w:right="80" w:firstLine="436"/>
        <w:spacing w:after="0" w:line="256"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186" w:name="page187"/>
    <w:bookmarkEnd w:id="18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187" w:name="page188"/>
    <w:bookmarkEnd w:id="18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188" w:name="page189"/>
    <w:bookmarkEnd w:id="188"/>
    <w:p>
      <w:pPr>
        <w:ind w:left="-436" w:right="20" w:firstLine="436"/>
        <w:spacing w:after="0" w:line="254" w:lineRule="auto"/>
        <w:tabs>
          <w:tab w:leader="none" w:pos="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189" w:name="page190"/>
    <w:bookmarkEnd w:id="189"/>
    <w:p>
      <w:pPr>
        <w:ind w:left="184" w:hanging="184"/>
        <w:spacing w:after="0"/>
        <w:tabs>
          <w:tab w:leader="none" w:pos="1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190" w:name="page191"/>
    <w:bookmarkEnd w:id="19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191" w:name="page192"/>
    <w:bookmarkEnd w:id="19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192" w:name="page193"/>
    <w:bookmarkEnd w:id="192"/>
    <w:p>
      <w:pPr>
        <w:ind w:left="4" w:firstLine="436"/>
        <w:spacing w:after="0" w:line="254" w:lineRule="auto"/>
        <w:tabs>
          <w:tab w:leader="none" w:pos="69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193" w:name="page194"/>
    <w:bookmarkEnd w:id="193"/>
    <w:p>
      <w:pPr>
        <w:ind w:left="-436" w:right="60" w:firstLine="436"/>
        <w:spacing w:after="0" w:line="266" w:lineRule="auto"/>
        <w:tabs>
          <w:tab w:leader="none" w:pos="2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194" w:name="page195"/>
    <w:bookmarkEnd w:id="194"/>
    <w:p>
      <w:pPr>
        <w:ind w:left="4" w:firstLine="436"/>
        <w:spacing w:after="0" w:line="254" w:lineRule="auto"/>
        <w:tabs>
          <w:tab w:leader="none" w:pos="68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195" w:name="page196"/>
    <w:bookmarkEnd w:id="195"/>
    <w:p>
      <w:pPr>
        <w:ind w:left="264" w:hanging="264"/>
        <w:spacing w:after="0"/>
        <w:tabs>
          <w:tab w:leader="none" w:pos="26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196" w:name="page197"/>
    <w:bookmarkEnd w:id="1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197" w:name="page198"/>
    <w:bookmarkEnd w:id="19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98" w:name="page199"/>
    <w:bookmarkEnd w:id="19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Admiral (Ret.) David Ben-Bashat</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Admiral (Ret.) David Ben-Bashat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7,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Rear Admiral (Ret.) Omri Dagul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00" w:name="page201"/>
    <w:bookmarkEnd w:id="200"/>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01" w:name="page202"/>
    <w:bookmarkEnd w:id="20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w:t>
      </w:r>
      <w:r>
        <w:rPr>
          <w:rFonts w:ascii="Times New Roman" w:cs="Times New Roman" w:eastAsia="Times New Roman" w:hAnsi="Times New Roman"/>
          <w:sz w:val="18"/>
          <w:szCs w:val="18"/>
          <w:b w:val="1"/>
          <w:bCs w:val="1"/>
          <w:color w:val="auto"/>
        </w:rPr>
        <w:t>serving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ectPr>
          <w:pgSz w:w="11900" w:h="16838" w:orient="portrait"/>
          <w:cols w:equalWidth="0" w:num="1">
            <w:col w:w="11000"/>
          </w:cols>
          <w:pgMar w:left="440" w:top="270" w:right="459" w:bottom="1440" w:gutter="0" w:footer="0" w:header="0"/>
        </w:sectPr>
      </w:pPr>
    </w:p>
    <w:bookmarkStart w:id="202" w:name="page203"/>
    <w:bookmarkEnd w:id="202"/>
    <w:p>
      <w:pPr>
        <w:ind w:left="4" w:right="120" w:firstLine="436"/>
        <w:spacing w:after="0" w:line="274" w:lineRule="auto"/>
        <w:tabs>
          <w:tab w:leader="none" w:pos="659"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66" w:right="459" w:bottom="1440" w:gutter="0" w:footer="0" w:header="0"/>
        </w:sectPr>
      </w:pPr>
    </w:p>
    <w:bookmarkStart w:id="203" w:name="page204"/>
    <w:bookmarkEnd w:id="203"/>
    <w:p>
      <w:pPr>
        <w:ind w:left="-436" w:right="20" w:firstLine="436"/>
        <w:spacing w:after="0" w:line="254" w:lineRule="auto"/>
        <w:tabs>
          <w:tab w:leader="none" w:pos="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04" w:name="page205"/>
    <w:bookmarkEnd w:id="204"/>
    <w:p>
      <w:pPr>
        <w:ind w:left="184" w:hanging="184"/>
        <w:spacing w:after="0"/>
        <w:tabs>
          <w:tab w:leader="none" w:pos="18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05" w:name="page206"/>
    <w:bookmarkEnd w:id="20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06" w:name="page207"/>
    <w:bookmarkEnd w:id="20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07" w:name="page208"/>
    <w:bookmarkEnd w:id="207"/>
    <w:p>
      <w:pPr>
        <w:ind w:left="4" w:firstLine="436"/>
        <w:spacing w:after="0" w:line="254" w:lineRule="auto"/>
        <w:tabs>
          <w:tab w:leader="none" w:pos="69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08" w:name="page209"/>
    <w:bookmarkEnd w:id="208"/>
    <w:p>
      <w:pPr>
        <w:ind w:left="-436" w:right="60" w:firstLine="436"/>
        <w:spacing w:after="0" w:line="266" w:lineRule="auto"/>
        <w:tabs>
          <w:tab w:leader="none" w:pos="24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09" w:name="page210"/>
    <w:bookmarkEnd w:id="209"/>
    <w:p>
      <w:pPr>
        <w:ind w:left="4" w:firstLine="436"/>
        <w:spacing w:after="0" w:line="254" w:lineRule="auto"/>
        <w:tabs>
          <w:tab w:leader="none" w:pos="68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10" w:name="page211"/>
    <w:bookmarkEnd w:id="210"/>
    <w:p>
      <w:pPr>
        <w:ind w:left="264" w:hanging="264"/>
        <w:spacing w:after="0"/>
        <w:tabs>
          <w:tab w:leader="none" w:pos="26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11" w:name="page212"/>
    <w:bookmarkEnd w:id="2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12" w:name="page213"/>
    <w:bookmarkEnd w:id="21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13" w:name="page214"/>
    <w:bookmarkEnd w:id="21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Rear Admiral (Ret.) Omri Dagul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Rear Admiral (Ret.) Omri Dagul</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7,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Raanan I. Horowtiz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15" w:name="page216"/>
    <w:bookmarkEnd w:id="215"/>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16" w:name="page217"/>
    <w:bookmarkEnd w:id="21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w:t>
      </w:r>
      <w:r>
        <w:rPr>
          <w:rFonts w:ascii="Times New Roman" w:cs="Times New Roman" w:eastAsia="Times New Roman" w:hAnsi="Times New Roman"/>
          <w:sz w:val="18"/>
          <w:szCs w:val="18"/>
          <w:b w:val="1"/>
          <w:bCs w:val="1"/>
          <w:color w:val="auto"/>
        </w:rPr>
        <w:t>serving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ectPr>
          <w:pgSz w:w="11900" w:h="16838" w:orient="portrait"/>
          <w:cols w:equalWidth="0" w:num="1">
            <w:col w:w="11000"/>
          </w:cols>
          <w:pgMar w:left="440" w:top="270" w:right="459" w:bottom="1440" w:gutter="0" w:footer="0" w:header="0"/>
        </w:sectPr>
      </w:pPr>
    </w:p>
    <w:bookmarkStart w:id="217" w:name="page218"/>
    <w:bookmarkEnd w:id="217"/>
    <w:p>
      <w:pPr>
        <w:ind w:left="4" w:right="120" w:firstLine="436"/>
        <w:spacing w:after="0" w:line="274" w:lineRule="auto"/>
        <w:tabs>
          <w:tab w:leader="none" w:pos="659"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66" w:right="459" w:bottom="1440" w:gutter="0" w:footer="0" w:header="0"/>
        </w:sectPr>
      </w:pPr>
    </w:p>
    <w:bookmarkStart w:id="218" w:name="page219"/>
    <w:bookmarkEnd w:id="218"/>
    <w:p>
      <w:pPr>
        <w:ind w:left="-436" w:right="20" w:firstLine="436"/>
        <w:spacing w:after="0" w:line="254" w:lineRule="auto"/>
        <w:tabs>
          <w:tab w:leader="none" w:pos="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19" w:name="page220"/>
    <w:bookmarkEnd w:id="219"/>
    <w:p>
      <w:pPr>
        <w:ind w:left="184" w:hanging="184"/>
        <w:spacing w:after="0"/>
        <w:tabs>
          <w:tab w:leader="none" w:pos="1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20" w:name="page221"/>
    <w:bookmarkEnd w:id="22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21" w:name="page222"/>
    <w:bookmarkEnd w:id="2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22" w:name="page223"/>
    <w:bookmarkEnd w:id="222"/>
    <w:p>
      <w:pPr>
        <w:ind w:left="4" w:firstLine="436"/>
        <w:spacing w:after="0" w:line="254" w:lineRule="auto"/>
        <w:tabs>
          <w:tab w:leader="none" w:pos="69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23" w:name="page224"/>
    <w:bookmarkEnd w:id="223"/>
    <w:p>
      <w:pPr>
        <w:ind w:left="-436" w:right="60" w:firstLine="436"/>
        <w:spacing w:after="0" w:line="266" w:lineRule="auto"/>
        <w:tabs>
          <w:tab w:leader="none" w:pos="24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24" w:name="page225"/>
    <w:bookmarkEnd w:id="224"/>
    <w:p>
      <w:pPr>
        <w:ind w:left="4" w:firstLine="436"/>
        <w:spacing w:after="0" w:line="254" w:lineRule="auto"/>
        <w:tabs>
          <w:tab w:leader="none" w:pos="68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25" w:name="page226"/>
    <w:bookmarkEnd w:id="225"/>
    <w:p>
      <w:pPr>
        <w:ind w:left="264" w:hanging="264"/>
        <w:spacing w:after="0"/>
        <w:tabs>
          <w:tab w:leader="none" w:pos="26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27" w:name="page228"/>
    <w:bookmarkEnd w:id="22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28" w:name="page229"/>
    <w:bookmarkEnd w:id="22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Raanan I. Horowtiz</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Raanan I. Horowtiz</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8,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Ambassador Adrian Zuckerman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30" w:name="page231"/>
    <w:bookmarkEnd w:id="230"/>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31" w:name="page232"/>
    <w:bookmarkEnd w:id="23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w:t>
      </w:r>
      <w:r>
        <w:rPr>
          <w:rFonts w:ascii="Times New Roman" w:cs="Times New Roman" w:eastAsia="Times New Roman" w:hAnsi="Times New Roman"/>
          <w:sz w:val="18"/>
          <w:szCs w:val="18"/>
          <w:b w:val="1"/>
          <w:bCs w:val="1"/>
          <w:color w:val="auto"/>
        </w:rPr>
        <w:t>serving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ectPr>
          <w:pgSz w:w="11900" w:h="16838" w:orient="portrait"/>
          <w:cols w:equalWidth="0" w:num="1">
            <w:col w:w="11000"/>
          </w:cols>
          <w:pgMar w:left="440" w:top="270" w:right="459" w:bottom="1440" w:gutter="0" w:footer="0" w:header="0"/>
        </w:sectPr>
      </w:pPr>
    </w:p>
    <w:bookmarkStart w:id="232" w:name="page233"/>
    <w:bookmarkEnd w:id="232"/>
    <w:p>
      <w:pPr>
        <w:ind w:left="4" w:right="120" w:firstLine="436"/>
        <w:spacing w:after="0" w:line="274" w:lineRule="auto"/>
        <w:tabs>
          <w:tab w:leader="none" w:pos="659" w:val="left"/>
        </w:tabs>
        <w:numPr>
          <w:ilvl w:val="1"/>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66" w:right="459" w:bottom="1440" w:gutter="0" w:footer="0" w:header="0"/>
        </w:sectPr>
      </w:pPr>
    </w:p>
    <w:bookmarkStart w:id="233" w:name="page234"/>
    <w:bookmarkEnd w:id="233"/>
    <w:p>
      <w:pPr>
        <w:ind w:left="-436" w:right="20" w:firstLine="436"/>
        <w:spacing w:after="0" w:line="254" w:lineRule="auto"/>
        <w:tabs>
          <w:tab w:leader="none" w:pos="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34" w:name="page235"/>
    <w:bookmarkEnd w:id="234"/>
    <w:p>
      <w:pPr>
        <w:ind w:left="184" w:hanging="184"/>
        <w:spacing w:after="0"/>
        <w:tabs>
          <w:tab w:leader="none" w:pos="18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35" w:name="page236"/>
    <w:bookmarkEnd w:id="23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36" w:name="page237"/>
    <w:bookmarkEnd w:id="23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37" w:name="page238"/>
    <w:bookmarkEnd w:id="237"/>
    <w:p>
      <w:pPr>
        <w:ind w:left="4" w:firstLine="436"/>
        <w:spacing w:after="0" w:line="254" w:lineRule="auto"/>
        <w:tabs>
          <w:tab w:leader="none" w:pos="69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38" w:name="page239"/>
    <w:bookmarkEnd w:id="238"/>
    <w:p>
      <w:pPr>
        <w:ind w:left="-436" w:right="60" w:firstLine="436"/>
        <w:spacing w:after="0" w:line="266" w:lineRule="auto"/>
        <w:tabs>
          <w:tab w:leader="none" w:pos="24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39" w:name="page240"/>
    <w:bookmarkEnd w:id="239"/>
    <w:p>
      <w:pPr>
        <w:ind w:left="4" w:firstLine="436"/>
        <w:spacing w:after="0" w:line="254" w:lineRule="auto"/>
        <w:tabs>
          <w:tab w:leader="none" w:pos="68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40" w:name="page241"/>
    <w:bookmarkEnd w:id="240"/>
    <w:p>
      <w:pPr>
        <w:ind w:left="264" w:hanging="264"/>
        <w:spacing w:after="0"/>
        <w:tabs>
          <w:tab w:leader="none" w:pos="26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41" w:name="page242"/>
    <w:bookmarkEnd w:id="2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42" w:name="page243"/>
    <w:bookmarkEnd w:id="24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43" w:name="page244"/>
    <w:bookmarkEnd w:id="24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Ambassador Adrian Zuckerman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Ambassador Adrian Zuckerman</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7,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Luis Machuca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45" w:name="page246"/>
    <w:bookmarkEnd w:id="245"/>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sz w:val="20"/>
          <w:szCs w:val="20"/>
          <w:color w:val="auto"/>
        </w:rPr>
      </w:pPr>
    </w:p>
    <w:p>
      <w:pPr>
        <w:ind w:right="60" w:firstLine="436"/>
        <w:spacing w:after="0" w:line="275" w:lineRule="auto"/>
        <w:tabs>
          <w:tab w:leader="none" w:pos="655"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46" w:name="page247"/>
    <w:bookmarkEnd w:id="24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247" w:name="page248"/>
    <w:bookmarkEnd w:id="24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248" w:name="page249"/>
    <w:bookmarkEnd w:id="248"/>
    <w:p>
      <w:pPr>
        <w:ind w:left="-436" w:right="20" w:firstLine="436"/>
        <w:spacing w:after="0" w:line="254" w:lineRule="auto"/>
        <w:tabs>
          <w:tab w:leader="none" w:pos="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49" w:name="page250"/>
    <w:bookmarkEnd w:id="249"/>
    <w:p>
      <w:pPr>
        <w:ind w:left="184" w:hanging="184"/>
        <w:spacing w:after="0"/>
        <w:tabs>
          <w:tab w:leader="none" w:pos="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50" w:name="page251"/>
    <w:bookmarkEnd w:id="25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51" w:name="page252"/>
    <w:bookmarkEnd w:id="25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52" w:name="page253"/>
    <w:bookmarkEnd w:id="252"/>
    <w:p>
      <w:pPr>
        <w:ind w:left="4" w:firstLine="436"/>
        <w:spacing w:after="0" w:line="254" w:lineRule="auto"/>
        <w:tabs>
          <w:tab w:leader="none" w:pos="69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53" w:name="page254"/>
    <w:bookmarkEnd w:id="253"/>
    <w:p>
      <w:pPr>
        <w:ind w:left="-436" w:right="60" w:firstLine="436"/>
        <w:spacing w:after="0" w:line="266" w:lineRule="auto"/>
        <w:tabs>
          <w:tab w:leader="none" w:pos="24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54" w:name="page255"/>
    <w:bookmarkEnd w:id="254"/>
    <w:p>
      <w:pPr>
        <w:ind w:left="4" w:firstLine="436"/>
        <w:spacing w:after="0" w:line="254" w:lineRule="auto"/>
        <w:tabs>
          <w:tab w:leader="none" w:pos="68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55" w:name="page256"/>
    <w:bookmarkEnd w:id="255"/>
    <w:p>
      <w:pPr>
        <w:ind w:left="264" w:hanging="264"/>
        <w:spacing w:after="0"/>
        <w:tabs>
          <w:tab w:leader="none" w:pos="26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56" w:name="page257"/>
    <w:bookmarkEnd w:id="2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57" w:name="page258"/>
    <w:bookmarkEnd w:id="25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58" w:name="page259"/>
    <w:bookmarkEnd w:id="25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Luis Machuca</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Luis Machuca</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7,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Bryan Timm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60" w:name="page261"/>
    <w:bookmarkEnd w:id="260"/>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61" w:name="page262"/>
    <w:bookmarkEnd w:id="26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262" w:name="page263"/>
    <w:bookmarkEnd w:id="262"/>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263" w:name="page264"/>
    <w:bookmarkEnd w:id="263"/>
    <w:p>
      <w:pPr>
        <w:ind w:left="-436" w:right="20" w:firstLine="436"/>
        <w:spacing w:after="0" w:line="254" w:lineRule="auto"/>
        <w:tabs>
          <w:tab w:leader="none" w:pos="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64" w:name="page265"/>
    <w:bookmarkEnd w:id="264"/>
    <w:p>
      <w:pPr>
        <w:ind w:left="184" w:hanging="184"/>
        <w:spacing w:after="0"/>
        <w:tabs>
          <w:tab w:leader="none" w:pos="18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65" w:name="page266"/>
    <w:bookmarkEnd w:id="26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66" w:name="page267"/>
    <w:bookmarkEnd w:id="26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67" w:name="page268"/>
    <w:bookmarkEnd w:id="267"/>
    <w:p>
      <w:pPr>
        <w:ind w:left="4" w:firstLine="436"/>
        <w:spacing w:after="0" w:line="254" w:lineRule="auto"/>
        <w:tabs>
          <w:tab w:leader="none" w:pos="69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68" w:name="page269"/>
    <w:bookmarkEnd w:id="268"/>
    <w:p>
      <w:pPr>
        <w:ind w:left="-436" w:right="60" w:firstLine="436"/>
        <w:spacing w:after="0" w:line="266" w:lineRule="auto"/>
        <w:tabs>
          <w:tab w:leader="none" w:pos="249"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69" w:name="page270"/>
    <w:bookmarkEnd w:id="269"/>
    <w:p>
      <w:pPr>
        <w:ind w:left="4" w:firstLine="436"/>
        <w:spacing w:after="0" w:line="254" w:lineRule="auto"/>
        <w:tabs>
          <w:tab w:leader="none" w:pos="68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70" w:name="page271"/>
    <w:bookmarkEnd w:id="270"/>
    <w:p>
      <w:pPr>
        <w:ind w:left="264" w:hanging="264"/>
        <w:spacing w:after="0"/>
        <w:tabs>
          <w:tab w:leader="none" w:pos="26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71" w:name="page272"/>
    <w:bookmarkEnd w:id="2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72" w:name="page273"/>
    <w:bookmarkEnd w:id="27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73" w:name="page274"/>
    <w:bookmarkEnd w:id="27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Bryan Timm</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Bryan Timm</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7,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James Greene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17" w:right="439" w:bottom="1440" w:gutter="0" w:footer="0" w:header="0"/>
        </w:sectPr>
      </w:pPr>
    </w:p>
    <w:bookmarkStart w:id="275" w:name="page276"/>
    <w:bookmarkEnd w:id="275"/>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36"/>
        <w:spacing w:after="0" w:line="275" w:lineRule="auto"/>
        <w:tabs>
          <w:tab w:leader="none" w:pos="620"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right="80" w:firstLine="436"/>
        <w:spacing w:after="0" w:line="256" w:lineRule="auto"/>
        <w:tabs>
          <w:tab w:leader="none" w:pos="68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right="60" w:firstLine="436"/>
        <w:spacing w:after="0" w:line="275" w:lineRule="auto"/>
        <w:tabs>
          <w:tab w:leader="none" w:pos="655"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right="120" w:firstLine="436"/>
        <w:spacing w:after="0" w:line="261" w:lineRule="auto"/>
        <w:tabs>
          <w:tab w:leader="none" w:pos="705"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755"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1000"/>
          </w:cols>
          <w:pgMar w:left="440" w:top="266" w:right="459" w:bottom="1440" w:gutter="0" w:footer="0" w:header="0"/>
        </w:sectPr>
      </w:pPr>
    </w:p>
    <w:bookmarkStart w:id="276" w:name="page277"/>
    <w:bookmarkEnd w:id="27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277" w:name="page278"/>
    <w:bookmarkEnd w:id="27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278" w:name="page279"/>
    <w:bookmarkEnd w:id="278"/>
    <w:p>
      <w:pPr>
        <w:ind w:left="-436" w:right="20" w:firstLine="436"/>
        <w:spacing w:after="0" w:line="254" w:lineRule="auto"/>
        <w:tabs>
          <w:tab w:leader="none" w:pos="184"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79" w:name="page280"/>
    <w:bookmarkEnd w:id="279"/>
    <w:p>
      <w:pPr>
        <w:ind w:left="184" w:hanging="184"/>
        <w:spacing w:after="0"/>
        <w:tabs>
          <w:tab w:leader="none" w:pos="18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80" w:name="page281"/>
    <w:bookmarkEnd w:id="28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81" w:name="page282"/>
    <w:bookmarkEnd w:id="28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82" w:name="page283"/>
    <w:bookmarkEnd w:id="282"/>
    <w:p>
      <w:pPr>
        <w:ind w:left="4" w:firstLine="436"/>
        <w:spacing w:after="0" w:line="254" w:lineRule="auto"/>
        <w:tabs>
          <w:tab w:leader="none" w:pos="699"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83" w:name="page284"/>
    <w:bookmarkEnd w:id="283"/>
    <w:p>
      <w:pPr>
        <w:ind w:left="-436" w:right="60" w:firstLine="436"/>
        <w:spacing w:after="0" w:line="266" w:lineRule="auto"/>
        <w:tabs>
          <w:tab w:leader="none" w:pos="24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84" w:name="page285"/>
    <w:bookmarkEnd w:id="284"/>
    <w:p>
      <w:pPr>
        <w:ind w:left="4" w:firstLine="436"/>
        <w:spacing w:after="0" w:line="254" w:lineRule="auto"/>
        <w:tabs>
          <w:tab w:leader="none" w:pos="68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285" w:name="page286"/>
    <w:bookmarkEnd w:id="285"/>
    <w:p>
      <w:pPr>
        <w:ind w:left="264" w:hanging="264"/>
        <w:spacing w:after="0"/>
        <w:tabs>
          <w:tab w:leader="none" w:pos="26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286" w:name="page287"/>
    <w:bookmarkEnd w:id="2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287" w:name="page288"/>
    <w:bookmarkEnd w:id="28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88" w:name="page289"/>
    <w:bookmarkEnd w:id="28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Greene</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Greene</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3,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Christine M. Marshall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ectPr>
          <w:pgSz w:w="11900" w:h="16838" w:orient="portrait"/>
          <w:cols w:equalWidth="0" w:num="1">
            <w:col w:w="11020"/>
          </w:cols>
          <w:pgMar w:left="440" w:top="117" w:right="4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w:t>
      </w:r>
    </w:p>
    <w:p>
      <w:pPr>
        <w:spacing w:after="0" w:line="225" w:lineRule="exact"/>
        <w:rPr>
          <w:sz w:val="20"/>
          <w:szCs w:val="20"/>
          <w:color w:val="auto"/>
        </w:rPr>
      </w:pPr>
    </w:p>
    <w:p>
      <w:pPr>
        <w:ind w:left="-20" w:firstLine="436"/>
        <w:spacing w:after="0" w:line="275" w:lineRule="auto"/>
        <w:tabs>
          <w:tab w:leader="none" w:pos="600" w:val="left"/>
        </w:tabs>
        <w:numPr>
          <w:ilvl w:val="0"/>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8" w:lineRule="exact"/>
        <w:rPr>
          <w:rFonts w:ascii="Times New Roman" w:cs="Times New Roman" w:eastAsia="Times New Roman" w:hAnsi="Times New Roman"/>
          <w:sz w:val="17"/>
          <w:szCs w:val="17"/>
          <w:color w:val="auto"/>
        </w:rPr>
      </w:pPr>
    </w:p>
    <w:p>
      <w:pPr>
        <w:ind w:left="600" w:hanging="184"/>
        <w:spacing w:after="0"/>
        <w:tabs>
          <w:tab w:leader="none" w:pos="60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left="-20" w:right="80" w:firstLine="436"/>
        <w:spacing w:after="0" w:line="256" w:lineRule="auto"/>
        <w:tabs>
          <w:tab w:leader="none" w:pos="665"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2" w:lineRule="exact"/>
        <w:rPr>
          <w:rFonts w:ascii="Times New Roman" w:cs="Times New Roman" w:eastAsia="Times New Roman" w:hAnsi="Times New Roman"/>
          <w:sz w:val="18"/>
          <w:szCs w:val="18"/>
          <w:color w:val="auto"/>
        </w:rPr>
      </w:pPr>
    </w:p>
    <w:p>
      <w:pPr>
        <w:ind w:left="-20" w:right="20" w:firstLine="436"/>
        <w:spacing w:after="0" w:line="286" w:lineRule="auto"/>
        <w:tabs>
          <w:tab w:leader="none" w:pos="675"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left="-20" w:right="60" w:firstLine="436"/>
        <w:spacing w:after="0" w:line="275" w:lineRule="auto"/>
        <w:tabs>
          <w:tab w:leader="none" w:pos="635" w:val="left"/>
        </w:tabs>
        <w:numPr>
          <w:ilvl w:val="0"/>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2" w:lineRule="exact"/>
        <w:rPr>
          <w:rFonts w:ascii="Times New Roman" w:cs="Times New Roman" w:eastAsia="Times New Roman" w:hAnsi="Times New Roman"/>
          <w:sz w:val="17"/>
          <w:szCs w:val="17"/>
          <w:color w:val="auto"/>
        </w:rPr>
      </w:pPr>
    </w:p>
    <w:p>
      <w:pPr>
        <w:ind w:left="-20" w:right="120" w:firstLine="436"/>
        <w:spacing w:after="0" w:line="261" w:lineRule="auto"/>
        <w:tabs>
          <w:tab w:leader="none" w:pos="685"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5" w:lineRule="auto"/>
        <w:tabs>
          <w:tab w:leader="none" w:pos="735"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w:t>
      </w:r>
    </w:p>
    <w:p>
      <w:pPr>
        <w:sectPr>
          <w:pgSz w:w="11900" w:h="16838" w:orient="portrait"/>
          <w:cols w:equalWidth="0" w:num="1">
            <w:col w:w="10980"/>
          </w:cols>
          <w:pgMar w:left="460" w:top="266" w:right="459" w:bottom="1440" w:gutter="0" w:footer="0" w:header="0"/>
        </w:sectPr>
      </w:pPr>
    </w:p>
    <w:bookmarkStart w:id="291" w:name="page292"/>
    <w:bookmarkEnd w:id="29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sz w:val="20"/>
          <w:szCs w:val="20"/>
          <w:color w:val="auto"/>
        </w:rPr>
      </w:pPr>
    </w:p>
    <w:p>
      <w:pPr>
        <w:ind w:right="300" w:firstLine="436"/>
        <w:spacing w:after="0" w:line="261" w:lineRule="auto"/>
        <w:tabs>
          <w:tab w:leader="none" w:pos="74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2" w:lineRule="exact"/>
        <w:rPr>
          <w:sz w:val="20"/>
          <w:szCs w:val="20"/>
          <w:color w:val="auto"/>
        </w:rPr>
      </w:pPr>
    </w:p>
    <w:p>
      <w:pPr>
        <w:ind w:left="680" w:hanging="244"/>
        <w:spacing w:after="0"/>
        <w:tabs>
          <w:tab w:leader="none" w:pos="6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right="20" w:firstLine="436"/>
        <w:spacing w:after="0" w:line="268" w:lineRule="auto"/>
        <w:tabs>
          <w:tab w:leader="none" w:pos="66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69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91" w:lineRule="auto"/>
        <w:tabs>
          <w:tab w:leader="none" w:pos="695"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b w:val="1"/>
          <w:bCs w:val="1"/>
          <w:color w:val="auto"/>
        </w:rPr>
        <w:t>fines</w:t>
      </w:r>
      <w:r>
        <w:rPr>
          <w:rFonts w:ascii="Times New Roman" w:cs="Times New Roman" w:eastAsia="Times New Roman" w:hAnsi="Times New Roman"/>
          <w:sz w:val="17"/>
          <w:szCs w:val="17"/>
          <w:color w:val="auto"/>
        </w:rPr>
        <w:t>” shall include any excise tax assessed on Indemnitee with respect to any employee benefit plan; references to “</w:t>
      </w:r>
      <w:r>
        <w:rPr>
          <w:rFonts w:ascii="Times New Roman" w:cs="Times New Roman" w:eastAsia="Times New Roman" w:hAnsi="Times New Roman"/>
          <w:sz w:val="17"/>
          <w:szCs w:val="17"/>
          <w:b w:val="1"/>
          <w:bCs w:val="1"/>
          <w:color w:val="auto"/>
        </w:rPr>
        <w:t>serving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involves services by, such director, officer, employee, agent or fiduciary with respect to an employee benefit plan, its participants or beneficiaries; and if</w:t>
      </w:r>
    </w:p>
    <w:p>
      <w:pPr>
        <w:sectPr>
          <w:pgSz w:w="11900" w:h="16838" w:orient="portrait"/>
          <w:cols w:equalWidth="0" w:num="1">
            <w:col w:w="11000"/>
          </w:cols>
          <w:pgMar w:left="440" w:top="270" w:right="459" w:bottom="1440" w:gutter="0" w:footer="0" w:header="0"/>
        </w:sectPr>
      </w:pPr>
    </w:p>
    <w:bookmarkStart w:id="292" w:name="page293"/>
    <w:bookmarkEnd w:id="292"/>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72" w:lineRule="exact"/>
        <w:rPr>
          <w:sz w:val="20"/>
          <w:szCs w:val="20"/>
          <w:color w:val="auto"/>
        </w:rPr>
      </w:pPr>
    </w:p>
    <w:p>
      <w:pPr>
        <w:ind w:left="4" w:right="120" w:firstLine="436"/>
        <w:spacing w:after="0" w:line="274" w:lineRule="auto"/>
        <w:tabs>
          <w:tab w:leader="none" w:pos="659"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4" w:hanging="264"/>
        <w:spacing w:after="0"/>
        <w:tabs>
          <w:tab w:leader="none" w:pos="26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sz w:val="20"/>
          <w:szCs w:val="20"/>
          <w:color w:val="auto"/>
        </w:rPr>
      </w:pPr>
    </w:p>
    <w:p>
      <w:pPr>
        <w:ind w:left="4" w:right="20" w:firstLine="436"/>
        <w:spacing w:after="0" w:line="257" w:lineRule="auto"/>
        <w:tabs>
          <w:tab w:leader="none" w:pos="74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8" w:lineRule="exact"/>
        <w:rPr>
          <w:rFonts w:ascii="Times New Roman" w:cs="Times New Roman" w:eastAsia="Times New Roman" w:hAnsi="Times New Roman"/>
          <w:sz w:val="18"/>
          <w:szCs w:val="18"/>
          <w:color w:val="auto"/>
        </w:rPr>
      </w:pPr>
    </w:p>
    <w:p>
      <w:pPr>
        <w:ind w:left="4" w:right="180" w:firstLine="436"/>
        <w:spacing w:after="0" w:line="286" w:lineRule="auto"/>
        <w:tabs>
          <w:tab w:leader="none" w:pos="69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5" w:lineRule="exact"/>
        <w:rPr>
          <w:sz w:val="20"/>
          <w:szCs w:val="20"/>
          <w:color w:val="auto"/>
        </w:rPr>
      </w:pPr>
    </w:p>
    <w:p>
      <w:pPr>
        <w:ind w:left="4" w:right="100" w:firstLine="436"/>
        <w:spacing w:after="0" w:line="253" w:lineRule="auto"/>
        <w:tabs>
          <w:tab w:leader="none" w:pos="624"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ectPr>
          <w:pgSz w:w="11900" w:h="16838" w:orient="portrait"/>
          <w:cols w:equalWidth="0" w:num="1">
            <w:col w:w="11004"/>
          </w:cols>
          <w:pgMar w:left="436" w:top="270" w:right="459" w:bottom="1440" w:gutter="0" w:footer="0" w:header="0"/>
        </w:sectPr>
      </w:pPr>
    </w:p>
    <w:bookmarkStart w:id="293" w:name="page294"/>
    <w:bookmarkEnd w:id="293"/>
    <w:p>
      <w:pPr>
        <w:ind w:left="-436" w:right="20" w:firstLine="436"/>
        <w:spacing w:after="0" w:line="254" w:lineRule="auto"/>
        <w:tabs>
          <w:tab w:leader="none" w:pos="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2" w:lineRule="exact"/>
        <w:rPr>
          <w:rFonts w:ascii="Times New Roman" w:cs="Times New Roman" w:eastAsia="Times New Roman" w:hAnsi="Times New Roman"/>
          <w:sz w:val="18"/>
          <w:szCs w:val="18"/>
          <w:color w:val="auto"/>
        </w:rPr>
      </w:pPr>
    </w:p>
    <w:p>
      <w:pPr>
        <w:ind w:left="-436" w:firstLine="436"/>
        <w:spacing w:after="0" w:line="253" w:lineRule="auto"/>
        <w:tabs>
          <w:tab w:leader="none" w:pos="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436" w:firstLine="436"/>
        <w:spacing w:after="0" w:line="262" w:lineRule="auto"/>
        <w:tabs>
          <w:tab w:leader="none" w:pos="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40" w:firstLine="436"/>
        <w:spacing w:after="0" w:line="254" w:lineRule="auto"/>
        <w:tabs>
          <w:tab w:leader="none" w:pos="24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1"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5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0564"/>
          </w:cols>
          <w:pgMar w:left="876" w:top="266" w:right="459" w:bottom="1440" w:gutter="0" w:footer="0" w:header="0"/>
        </w:sectPr>
      </w:pPr>
    </w:p>
    <w:bookmarkStart w:id="294" w:name="page295"/>
    <w:bookmarkEnd w:id="294"/>
    <w:p>
      <w:pPr>
        <w:ind w:left="184" w:hanging="184"/>
        <w:spacing w:after="0"/>
        <w:tabs>
          <w:tab w:leader="none" w:pos="184"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8" w:lineRule="auto"/>
        <w:tabs>
          <w:tab w:leader="none" w:pos="24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436" w:right="300" w:firstLine="436"/>
        <w:spacing w:after="0" w:line="282" w:lineRule="auto"/>
        <w:tabs>
          <w:tab w:leader="none" w:pos="25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24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8" w:lineRule="exact"/>
        <w:rPr>
          <w:sz w:val="20"/>
          <w:szCs w:val="20"/>
          <w:color w:val="auto"/>
        </w:rPr>
      </w:pPr>
    </w:p>
    <w:p>
      <w:pPr>
        <w:ind w:left="-436" w:right="480" w:firstLine="436"/>
        <w:spacing w:after="0" w:line="268" w:lineRule="auto"/>
        <w:tabs>
          <w:tab w:leader="none" w:pos="1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67" w:lineRule="exact"/>
        <w:rPr>
          <w:sz w:val="20"/>
          <w:szCs w:val="20"/>
          <w:color w:val="auto"/>
        </w:rPr>
      </w:pPr>
    </w:p>
    <w:p>
      <w:pPr>
        <w:jc w:val="both"/>
        <w:ind w:left="-436" w:right="240" w:firstLine="436"/>
        <w:spacing w:after="0" w:line="266" w:lineRule="auto"/>
        <w:tabs>
          <w:tab w:leader="none" w:pos="249"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259"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264" w:hanging="264"/>
        <w:spacing w:after="0"/>
        <w:tabs>
          <w:tab w:leader="none" w:pos="264"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54" w:lineRule="auto"/>
        <w:tabs>
          <w:tab w:leader="none" w:pos="249"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w:t>
      </w:r>
    </w:p>
    <w:p>
      <w:pPr>
        <w:sectPr>
          <w:pgSz w:w="11900" w:h="16838" w:orient="portrait"/>
          <w:cols w:equalWidth="0" w:num="1">
            <w:col w:w="10564"/>
          </w:cols>
          <w:pgMar w:left="876" w:top="266" w:right="459" w:bottom="1440" w:gutter="0" w:footer="0" w:header="0"/>
        </w:sectPr>
      </w:pPr>
    </w:p>
    <w:bookmarkStart w:id="295" w:name="page296"/>
    <w:bookmarkEnd w:id="29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9" w:lineRule="exact"/>
        <w:rPr>
          <w:sz w:val="20"/>
          <w:szCs w:val="20"/>
          <w:color w:val="auto"/>
        </w:rPr>
      </w:pPr>
    </w:p>
    <w:p>
      <w:pPr>
        <w:ind w:left="700" w:hanging="264"/>
        <w:spacing w:after="0"/>
        <w:tabs>
          <w:tab w:leader="none" w:pos="70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8" w:lineRule="exact"/>
        <w:rPr>
          <w:sz w:val="20"/>
          <w:szCs w:val="20"/>
          <w:color w:val="auto"/>
        </w:rPr>
      </w:pPr>
    </w:p>
    <w:p>
      <w:pPr>
        <w:ind w:left="700" w:hanging="264"/>
        <w:spacing w:after="0"/>
        <w:tabs>
          <w:tab w:leader="none" w:pos="70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1" w:lineRule="auto"/>
        <w:tabs>
          <w:tab w:leader="none" w:pos="68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6" w:lineRule="exact"/>
        <w:rPr>
          <w:sz w:val="20"/>
          <w:szCs w:val="20"/>
          <w:color w:val="auto"/>
        </w:rPr>
      </w:pPr>
    </w:p>
    <w:p>
      <w:pPr>
        <w:ind w:left="700" w:hanging="264"/>
        <w:spacing w:after="0"/>
        <w:tabs>
          <w:tab w:leader="none" w:pos="70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3" w:lineRule="auto"/>
        <w:tabs>
          <w:tab w:leader="none" w:pos="685"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If the Independent Counsel is selected by the</w:t>
      </w:r>
    </w:p>
    <w:p>
      <w:pPr>
        <w:sectPr>
          <w:pgSz w:w="11900" w:h="16838" w:orient="portrait"/>
          <w:cols w:equalWidth="0" w:num="1">
            <w:col w:w="11000"/>
          </w:cols>
          <w:pgMar w:left="440" w:top="270" w:right="459" w:bottom="1440" w:gutter="0" w:footer="0" w:header="0"/>
        </w:sectPr>
      </w:pPr>
    </w:p>
    <w:bookmarkStart w:id="296" w:name="page297"/>
    <w:bookmarkEnd w:id="29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96" w:lineRule="exact"/>
        <w:rPr>
          <w:sz w:val="20"/>
          <w:szCs w:val="20"/>
          <w:color w:val="auto"/>
        </w:rPr>
      </w:pPr>
    </w:p>
    <w:p>
      <w:pPr>
        <w:ind w:right="620" w:firstLine="436"/>
        <w:spacing w:after="0" w:line="266" w:lineRule="auto"/>
        <w:tabs>
          <w:tab w:leader="none" w:pos="685"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2" w:lineRule="exact"/>
        <w:rPr>
          <w:sz w:val="20"/>
          <w:szCs w:val="20"/>
          <w:color w:val="auto"/>
        </w:rPr>
      </w:pPr>
    </w:p>
    <w:p>
      <w:pPr>
        <w:ind w:left="700" w:hanging="264"/>
        <w:spacing w:after="0"/>
        <w:tabs>
          <w:tab w:leader="none" w:pos="7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4" w:lineRule="auto"/>
        <w:tabs>
          <w:tab w:leader="none" w:pos="68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pgSz w:w="11900" w:h="16838" w:orient="portrait"/>
          <w:cols w:equalWidth="0" w:num="1">
            <w:col w:w="11000"/>
          </w:cols>
          <w:pgMar w:left="440" w:top="270" w:right="459" w:bottom="1440" w:gutter="0" w:footer="0" w:header="0"/>
        </w:sectPr>
      </w:pPr>
    </w:p>
    <w:bookmarkStart w:id="297" w:name="page298"/>
    <w:bookmarkEnd w:id="297"/>
    <w:p>
      <w:pPr>
        <w:ind w:left="4" w:firstLine="436"/>
        <w:spacing w:after="0" w:line="254" w:lineRule="auto"/>
        <w:tabs>
          <w:tab w:leader="none" w:pos="699"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312" w:lineRule="auto"/>
        <w:tabs>
          <w:tab w:leader="none" w:pos="689"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6" w:lineRule="exact"/>
        <w:rPr>
          <w:sz w:val="20"/>
          <w:szCs w:val="20"/>
          <w:color w:val="auto"/>
        </w:rPr>
      </w:pPr>
    </w:p>
    <w:p>
      <w:pPr>
        <w:ind w:left="704" w:hanging="264"/>
        <w:spacing w:after="0"/>
        <w:tabs>
          <w:tab w:leader="none" w:pos="70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36"/>
        <w:spacing w:after="0" w:line="254" w:lineRule="auto"/>
        <w:tabs>
          <w:tab w:leader="none" w:pos="689"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3" w:lineRule="exact"/>
        <w:rPr>
          <w:rFonts w:ascii="Times New Roman" w:cs="Times New Roman" w:eastAsia="Times New Roman" w:hAnsi="Times New Roman"/>
          <w:sz w:val="18"/>
          <w:szCs w:val="18"/>
          <w:color w:val="auto"/>
        </w:rPr>
      </w:pPr>
    </w:p>
    <w:p>
      <w:pPr>
        <w:ind w:left="4" w:right="120" w:hanging="4"/>
        <w:spacing w:after="0" w:line="265" w:lineRule="auto"/>
        <w:tabs>
          <w:tab w:leader="none" w:pos="259"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ectPr>
          <w:pgSz w:w="11900" w:h="16838" w:orient="portrait"/>
          <w:cols w:equalWidth="0" w:num="1">
            <w:col w:w="11004"/>
          </w:cols>
          <w:pgMar w:left="436" w:top="270" w:right="459" w:bottom="1440" w:gutter="0" w:footer="0" w:header="0"/>
        </w:sectPr>
      </w:pPr>
    </w:p>
    <w:bookmarkStart w:id="298" w:name="page299"/>
    <w:bookmarkEnd w:id="298"/>
    <w:p>
      <w:pPr>
        <w:ind w:left="-436" w:right="60" w:firstLine="436"/>
        <w:spacing w:after="0" w:line="266" w:lineRule="auto"/>
        <w:tabs>
          <w:tab w:leader="none" w:pos="249"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4" w:lineRule="auto"/>
        <w:tabs>
          <w:tab w:leader="none" w:pos="229"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6" w:lineRule="exact"/>
        <w:rPr>
          <w:sz w:val="20"/>
          <w:szCs w:val="20"/>
          <w:color w:val="auto"/>
        </w:rPr>
      </w:pPr>
    </w:p>
    <w:p>
      <w:pPr>
        <w:ind w:left="-436" w:right="80" w:firstLine="436"/>
        <w:spacing w:after="0" w:line="262" w:lineRule="auto"/>
        <w:tabs>
          <w:tab w:leader="none" w:pos="27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53" w:lineRule="auto"/>
        <w:tabs>
          <w:tab w:leader="none" w:pos="249"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64"/>
          </w:cols>
          <w:pgMar w:left="876" w:top="270" w:right="459" w:bottom="1440" w:gutter="0" w:footer="0" w:header="0"/>
        </w:sectPr>
      </w:pPr>
    </w:p>
    <w:bookmarkStart w:id="299" w:name="page300"/>
    <w:bookmarkEnd w:id="299"/>
    <w:p>
      <w:pPr>
        <w:ind w:left="4" w:firstLine="436"/>
        <w:spacing w:after="0" w:line="254" w:lineRule="auto"/>
        <w:tabs>
          <w:tab w:leader="none" w:pos="68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6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8" w:lineRule="exact"/>
        <w:rPr>
          <w:sz w:val="20"/>
          <w:szCs w:val="20"/>
          <w:color w:val="auto"/>
        </w:rPr>
      </w:pPr>
    </w:p>
    <w:p>
      <w:pPr>
        <w:ind w:left="4" w:right="80" w:firstLine="436"/>
        <w:spacing w:after="0" w:line="256" w:lineRule="auto"/>
        <w:tabs>
          <w:tab w:leader="none" w:pos="71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14" w:val="left"/>
        </w:tabs>
        <w:numPr>
          <w:ilvl w:val="1"/>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120" w:hanging="4"/>
        <w:spacing w:after="0" w:line="253" w:lineRule="auto"/>
        <w:tabs>
          <w:tab w:leader="none" w:pos="259"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04"/>
          </w:cols>
          <w:pgMar w:left="436" w:top="270" w:right="459" w:bottom="1440" w:gutter="0" w:footer="0" w:header="0"/>
        </w:sectPr>
      </w:pPr>
    </w:p>
    <w:bookmarkStart w:id="300" w:name="page301"/>
    <w:bookmarkEnd w:id="300"/>
    <w:p>
      <w:pPr>
        <w:ind w:left="264" w:hanging="264"/>
        <w:spacing w:after="0"/>
        <w:tabs>
          <w:tab w:leader="none" w:pos="264"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60" w:firstLine="436"/>
        <w:spacing w:after="0" w:line="266" w:lineRule="auto"/>
        <w:tabs>
          <w:tab w:leader="none" w:pos="24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4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90" w:lineRule="exact"/>
        <w:rPr>
          <w:sz w:val="20"/>
          <w:szCs w:val="20"/>
          <w:color w:val="auto"/>
        </w:rPr>
      </w:pPr>
    </w:p>
    <w:p>
      <w:pPr>
        <w:ind w:left="-436" w:right="60" w:firstLine="436"/>
        <w:spacing w:after="0" w:line="268" w:lineRule="auto"/>
        <w:tabs>
          <w:tab w:leader="none" w:pos="27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36" w:right="240" w:firstLine="436"/>
        <w:spacing w:after="0" w:line="291" w:lineRule="auto"/>
        <w:tabs>
          <w:tab w:leader="none" w:pos="274"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9" w:lineRule="exact"/>
        <w:rPr>
          <w:sz w:val="20"/>
          <w:szCs w:val="20"/>
          <w:color w:val="auto"/>
        </w:rPr>
      </w:pPr>
    </w:p>
    <w:p>
      <w:pPr>
        <w:ind w:left="-436" w:right="100" w:firstLine="436"/>
        <w:spacing w:after="0" w:line="282" w:lineRule="auto"/>
        <w:tabs>
          <w:tab w:leader="none" w:pos="249"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ectPr>
          <w:pgSz w:w="11900" w:h="16838" w:orient="portrait"/>
          <w:cols w:equalWidth="0" w:num="1">
            <w:col w:w="10584"/>
          </w:cols>
          <w:pgMar w:left="876" w:top="266" w:right="439" w:bottom="1440" w:gutter="0" w:footer="0" w:header="0"/>
        </w:sectPr>
      </w:pPr>
    </w:p>
    <w:bookmarkStart w:id="301" w:name="page302"/>
    <w:bookmarkEnd w:id="3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36"/>
        <w:spacing w:after="0" w:line="254"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2" w:lineRule="exact"/>
        <w:rPr>
          <w:rFonts w:ascii="Times New Roman" w:cs="Times New Roman" w:eastAsia="Times New Roman" w:hAnsi="Times New Roman"/>
          <w:sz w:val="18"/>
          <w:szCs w:val="18"/>
          <w:color w:val="auto"/>
        </w:rPr>
      </w:pPr>
    </w:p>
    <w:p>
      <w:pPr>
        <w:ind w:right="180" w:firstLine="436"/>
        <w:spacing w:after="0" w:line="268"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right="80" w:firstLine="436"/>
        <w:spacing w:after="0" w:line="268"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right="320" w:firstLine="436"/>
        <w:spacing w:after="0" w:line="259"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380" w:firstLine="436"/>
        <w:spacing w:after="0" w:line="268"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302" w:name="page303"/>
    <w:bookmarkEnd w:id="30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303" w:name="page304"/>
    <w:bookmarkEnd w:id="30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INDEMNITEE</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Marshall</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620"/>
          </w:cols>
          <w:pgMar w:left="440" w:top="266" w:right="8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GigCapital8 Corp. Announces Pricing of $220,000,000 Initial Public Offering</w:t>
      </w:r>
    </w:p>
    <w:p>
      <w:pPr>
        <w:spacing w:after="0" w:line="225" w:lineRule="exact"/>
        <w:rPr>
          <w:sz w:val="20"/>
          <w:szCs w:val="20"/>
          <w:color w:val="auto"/>
        </w:rPr>
      </w:pPr>
    </w:p>
    <w:p>
      <w:pPr>
        <w:ind w:left="4" w:right="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Palo Alto, CA. – </w:t>
      </w:r>
      <w:r>
        <w:rPr>
          <w:rFonts w:ascii="Times New Roman" w:cs="Times New Roman" w:eastAsia="Times New Roman" w:hAnsi="Times New Roman"/>
          <w:sz w:val="17"/>
          <w:szCs w:val="17"/>
          <w:color w:val="auto"/>
        </w:rPr>
        <w:t>October 3, 2025 – GigCapital8 Corp. (NASDAQ: GIWWU) (the “Company”), a Cayman Islands exempted company, announced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today that it priced its initial public offering of 22,000,000 units at $10.00 per unit. The units are expected to be listed on the Nasdaq Global Market (“NASDAQ”) and trade under the ticker symbol “GIWWU” beginning on October 6, 2025. Each unit consists of one (1) Class A ordinary share and one</w:t>
      </w:r>
    </w:p>
    <w:p>
      <w:pPr>
        <w:spacing w:after="0" w:line="1" w:lineRule="exact"/>
        <w:rPr>
          <w:sz w:val="20"/>
          <w:szCs w:val="20"/>
          <w:color w:val="auto"/>
        </w:rPr>
      </w:pPr>
    </w:p>
    <w:p>
      <w:pPr>
        <w:ind w:left="4" w:right="260" w:hanging="4"/>
        <w:spacing w:after="0" w:line="260" w:lineRule="auto"/>
        <w:tabs>
          <w:tab w:leader="none" w:pos="259"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receive one-fifth (1/5) of one Class A ordinary share. Once the securities comprising the units begin separate trading, the Class A ordinary shares and rights are expected to be listed on NASDAQ under the symbols “GIW” and “GIWWR”, respectively.</w:t>
      </w:r>
    </w:p>
    <w:p>
      <w:pPr>
        <w:spacing w:after="0" w:line="18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D. Boral Capital LLC is acting as sole book-running manager in the offering. The underwriters have been granted a 45-day option to purchase up to an additional 3,300,000 units offered by the Company to cover over-allotments, if any. The offering is expected to close on October 7, 2025, subject to customary closing conditions.</w:t>
      </w:r>
    </w:p>
    <w:p>
      <w:pPr>
        <w:spacing w:after="0" w:line="176"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these securities was declared effective by the Securities and Exchange Commission on September 30, 2025. The offering is being made only by means of a prospectus. Copies of the prospectus may be obtained, when available, from D. Boral Capital LLC, Attn: Syndicate Department, 590 Madison Ave., 39th Floor, New York, New York 10022, by telephone at (212) 970-5150 or by email at dbccapitalmarkets@dboralcapital.com. Copies of the registration statement can be accessed through the SEC’s website at www.sec.gov.</w:t>
      </w:r>
    </w:p>
    <w:p>
      <w:pPr>
        <w:spacing w:after="0" w:line="180"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GigCapital8 Corp.</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GigCapital8 Corp. is a blank check company formed for the purpose of effecting a merger, share exchange, asset acquisition, share purchase, reorganization or similar business combination with one or more businesses. The Company’s efforts to identify a prospective target business will not be limited to a particular industry or geographic region.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w:t>
      </w:r>
    </w:p>
    <w:p>
      <w:pPr>
        <w:sectPr>
          <w:pgSz w:w="11900" w:h="16838" w:orient="portrait"/>
          <w:cols w:equalWidth="0" w:num="1">
            <w:col w:w="11024"/>
          </w:cols>
          <w:pgMar w:left="436" w:top="117" w:right="439" w:bottom="1440" w:gutter="0" w:footer="0" w:header="0"/>
        </w:sectPr>
      </w:pPr>
    </w:p>
    <w:bookmarkStart w:id="305" w:name="page306"/>
    <w:bookmarkEnd w:id="30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numerous conditions, many of which are beyond the control of the Company, including those set forth in the Risk Factors section of the Company’s registration statement and preliminary prospectus for the Company’s offering filed with the SEC. Copies are available on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christine@gigcapitalglobal.com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(650)276-4040</w:t>
      </w:r>
    </w:p>
    <w:p>
      <w:pPr>
        <w:sectPr>
          <w:pgSz w:w="11900" w:h="16838" w:orient="portrait"/>
          <w:cols w:equalWidth="0" w:num="1">
            <w:col w:w="10640"/>
          </w:cols>
          <w:pgMar w:left="440" w:top="270" w:right="81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 Announces Closing of $253 Million Initial Public Offering</w:t>
      </w:r>
    </w:p>
    <w:p>
      <w:pPr>
        <w:spacing w:after="0" w:line="11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PALO ALTO, CA. – October 7, 2025 – </w:t>
      </w:r>
      <w:r>
        <w:rPr>
          <w:rFonts w:ascii="Times New Roman" w:cs="Times New Roman" w:eastAsia="Times New Roman" w:hAnsi="Times New Roman"/>
          <w:sz w:val="18"/>
          <w:szCs w:val="18"/>
          <w:color w:val="auto"/>
        </w:rPr>
        <w:t>GigCapital8 Corp. (NASDAQ: GIWWU) (the “Company” or “GigCapital8”), a Cayman Islands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Private-to-Public Equity (PPE)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 GigCapital Global (also know as a special purpose acquisition company, or SPAC), announced today the closing of its initial public offering of 25,300,000 units at a price of $10.00 per unit, including an additional 3,300,000 units sold pursuant to the full exercise of the underwriters’ over-allotment option, for gross proceeds of $253 million. Each unit consists of one (1) Class A ordinary share and one (1) right to receive one-fifth (1/5) of one Class A ordinary share. Each whole right entitles the holder to receive one Class A ordinary share upon the closing of the Company’s initial business combination.</w:t>
      </w:r>
    </w:p>
    <w:p>
      <w:pPr>
        <w:spacing w:after="0" w:line="19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units began trading on the Nasdaq Capital Market (the “NASDAQ”) under the ticker symbol “GIWWU” on October 6, 2025. Once the securities comprising the units begin separate trading, the Class A ordinary shares and the rights are expected to be traded on the NASDAQ under the symbols “GIW” and “GIWWR”, respectively.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Led by Chief Executive Officer and Chairman, Dr. Avi Katz, Founding Managing Member of GigCapital Global, the Company has a duration of 24 months to identify for a business combination with the Company an excellent TMT company to take public. The Company intends to focus on opportunities in the aerospace and defense services, cybersecurity and secured communications and quantum-based command and control systems, and artificial intelligence and machine learning industries.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 Boral Capital LLC acted as the sole lead book-running manager for the offering. The Company was represented by DLA-Piper LLP (US) as its legal counsel and D. Boral Capital was represented by Ellenoff Grossman &amp; Schole LLP as its legal counsel.</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Of the proceeds received from the consummation of the initial public offering and a simultaneous private placement of units, $253 million (or $10.00 per unit sold in the public offering) was placed in the Company’s trust account. An audited balance sheet of the Company as of October 7, 2025 reflecting receipt of the proceeds upon consummation of the initial public offering and the private placement will be included as an exhibit to a Current Report on Form 8-K to be filed by the Company with the Securities and Exchange Commission (the “SEC”).</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A final prospectus relating to and describing the final terms of the offering has been filed with the SEC. The offering was made only by means of a prospectus, copies of which may be obtained by contacting D. Boral Capital LLC, Attn: Syndicate Department, 590 Madison Ave., 39th Floor, New York, New York, by telephone at (212) 970-5150 or by email at </w:t>
      </w:r>
      <w:r>
        <w:rPr>
          <w:rFonts w:ascii="Times New Roman" w:cs="Times New Roman" w:eastAsia="Times New Roman" w:hAnsi="Times New Roman"/>
          <w:sz w:val="18"/>
          <w:szCs w:val="18"/>
          <w:u w:val="single" w:color="auto"/>
          <w:color w:val="auto"/>
        </w:rPr>
        <w:t>dbccapitalmarkets@dboralcapital.com</w:t>
      </w:r>
      <w:r>
        <w:rPr>
          <w:rFonts w:ascii="Times New Roman" w:cs="Times New Roman" w:eastAsia="Times New Roman" w:hAnsi="Times New Roman"/>
          <w:sz w:val="18"/>
          <w:szCs w:val="18"/>
          <w:color w:val="auto"/>
        </w:rPr>
        <w:t xml:space="preserve">. Copies of the final prospectus can also be accessed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Concerning Forward 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contains statements that constitute “forward-looking statements,” including with respect to the initial public offering and the anticipated use of the net proceeds. Forward-looking statements are statements that are not historical facts. Such forward-looking statements are subject to numerous conditions, many of which are beyond the control of the Company, including those set forth in the Risk Factors section of the Company’s registration statement and final prospectus for the Company’s offering filed with the SEC, which could cause actual results to differ from the forward-looking statements. Copies are available on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except as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GigCapital8 Corp.</w:t>
      </w:r>
    </w:p>
    <w:p>
      <w:pPr>
        <w:spacing w:after="0" w:line="12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GigCapital8 Corp. is a Private-to-Public Equity (PPE) company, also known as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GigCapital8 Corp. aims to partner with an innovative company with exceptional leaders in order to create an industry-leading partnership that will be successful for years to come.</w:t>
      </w:r>
    </w:p>
    <w:p>
      <w:pPr>
        <w:spacing w:after="0" w:line="198"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GigCapital8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christine@gigcapitalglobal.com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276-4040</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ED20D7"/>
    <w:multiLevelType w:val="hybridMultilevel"/>
    <w:lvl w:ilvl="0">
      <w:lvlJc w:val="left"/>
      <w:lvlText w:val="☐"/>
      <w:numFmt w:val="bullet"/>
      <w:start w:val="1"/>
    </w:lvl>
  </w:abstractNum>
  <w:abstractNum w:abstractNumId="1">
    <w:nsid w:val="E6B3F6A"/>
    <w:multiLevelType w:val="hybridMultilevel"/>
    <w:lvl w:ilvl="0">
      <w:lvlJc w:val="left"/>
      <w:lvlText w:val="•"/>
      <w:numFmt w:val="bullet"/>
      <w:start w:val="1"/>
    </w:lvl>
  </w:abstractNum>
  <w:abstractNum w:abstractNumId="2">
    <w:nsid w:val="3EB21819"/>
    <w:multiLevelType w:val="hybridMultilevel"/>
    <w:lvl w:ilvl="0">
      <w:lvlJc w:val="left"/>
      <w:lvlText w:val="•"/>
      <w:numFmt w:val="bullet"/>
      <w:start w:val="1"/>
    </w:lvl>
  </w:abstractNum>
  <w:abstractNum w:abstractNumId="3">
    <w:nsid w:val="41531DED"/>
    <w:multiLevelType w:val="hybridMultilevel"/>
    <w:lvl w:ilvl="0">
      <w:lvlJc w:val="left"/>
      <w:lvlText w:val="(%1)"/>
      <w:numFmt w:val="lowerLetter"/>
      <w:start w:val="4"/>
    </w:lvl>
  </w:abstractNum>
  <w:abstractNum w:abstractNumId="4">
    <w:nsid w:val="6353CD2"/>
    <w:multiLevelType w:val="hybridMultilevel"/>
    <w:lvl w:ilvl="0">
      <w:lvlJc w:val="left"/>
      <w:lvlText w:val=" "/>
      <w:numFmt w:val="bullet"/>
      <w:start w:val="1"/>
    </w:lvl>
  </w:abstractNum>
  <w:abstractNum w:abstractNumId="5">
    <w:nsid w:val="683CAAD3"/>
    <w:multiLevelType w:val="hybridMultilevel"/>
    <w:lvl w:ilvl="0">
      <w:lvlJc w:val="left"/>
      <w:lvlText w:val="(%1)"/>
      <w:numFmt w:val="lowerRoman"/>
      <w:start w:val="2"/>
    </w:lvl>
  </w:abstractNum>
  <w:abstractNum w:abstractNumId="6">
    <w:nsid w:val="313C7C99"/>
    <w:multiLevelType w:val="hybridMultilevel"/>
    <w:lvl w:ilvl="0">
      <w:lvlJc w:val="left"/>
      <w:lvlText w:val="(%1)"/>
      <w:numFmt w:val="lowerLetter"/>
      <w:start w:val="2"/>
    </w:lvl>
  </w:abstractNum>
  <w:abstractNum w:abstractNumId="7">
    <w:nsid w:val="519EB94C"/>
    <w:multiLevelType w:val="hybridMultilevel"/>
    <w:lvl w:ilvl="0">
      <w:lvlJc w:val="left"/>
      <w:lvlText w:val="(%1)"/>
      <w:numFmt w:val="lowerRoman"/>
      <w:start w:val="4"/>
    </w:lvl>
  </w:abstractNum>
  <w:abstractNum w:abstractNumId="8">
    <w:nsid w:val="39DF2579"/>
    <w:multiLevelType w:val="hybridMultilevel"/>
    <w:lvl w:ilvl="0">
      <w:lvlJc w:val="left"/>
      <w:lvlText w:val="(%1)"/>
      <w:numFmt w:val="lowerRoman"/>
      <w:start w:val="3"/>
    </w:lvl>
  </w:abstractNum>
  <w:abstractNum w:abstractNumId="9">
    <w:nsid w:val="126E008B"/>
    <w:multiLevelType w:val="hybridMultilevel"/>
    <w:lvl w:ilvl="0">
      <w:lvlJc w:val="left"/>
      <w:lvlText w:val="(%1)"/>
      <w:numFmt w:val="lowerRoman"/>
      <w:start w:val="2"/>
    </w:lvl>
  </w:abstractNum>
  <w:abstractNum w:abstractNumId="10">
    <w:nsid w:val="34DFBC00"/>
    <w:multiLevelType w:val="hybridMultilevel"/>
    <w:lvl w:ilvl="0">
      <w:lvlJc w:val="left"/>
      <w:lvlText w:val="(%1)"/>
      <w:numFmt w:val="lowerLetter"/>
      <w:start w:val="2"/>
    </w:lvl>
  </w:abstractNum>
  <w:abstractNum w:abstractNumId="11">
    <w:nsid w:val="1F9EC322"/>
    <w:multiLevelType w:val="hybridMultilevel"/>
    <w:lvl w:ilvl="0">
      <w:lvlJc w:val="left"/>
      <w:lvlText w:val="(%1)"/>
      <w:numFmt w:val="decimal"/>
      <w:start w:val="1"/>
    </w:lvl>
  </w:abstractNum>
  <w:abstractNum w:abstractNumId="12">
    <w:nsid w:val="3410ED56"/>
    <w:multiLevelType w:val="hybridMultilevel"/>
    <w:lvl w:ilvl="0">
      <w:lvlJc w:val="left"/>
      <w:lvlText w:val="(%1)"/>
      <w:numFmt w:val="decimal"/>
      <w:start w:val="1"/>
    </w:lvl>
  </w:abstractNum>
  <w:abstractNum w:abstractNumId="13">
    <w:nsid w:val="23C049A"/>
    <w:multiLevelType w:val="hybridMultilevel"/>
    <w:lvl w:ilvl="0">
      <w:lvlJc w:val="left"/>
      <w:lvlText w:val="1"/>
      <w:numFmt w:val="bullet"/>
      <w:start w:val="1"/>
    </w:lvl>
  </w:abstractNum>
  <w:abstractNum w:abstractNumId="14">
    <w:nsid w:val="5BDA35D4"/>
    <w:multiLevelType w:val="hybridMultilevel"/>
    <w:lvl w:ilvl="0">
      <w:lvlJc w:val="left"/>
      <w:lvlText w:val="2"/>
      <w:numFmt w:val="bullet"/>
      <w:start w:val="1"/>
    </w:lvl>
  </w:abstractNum>
  <w:abstractNum w:abstractNumId="15">
    <w:nsid w:val="496FB218"/>
    <w:multiLevelType w:val="hybridMultilevel"/>
    <w:lvl w:ilvl="0">
      <w:lvlJc w:val="left"/>
      <w:lvlText w:val="3"/>
      <w:numFmt w:val="bullet"/>
      <w:start w:val="1"/>
    </w:lvl>
  </w:abstractNum>
  <w:abstractNum w:abstractNumId="16">
    <w:nsid w:val="680EA5D1"/>
    <w:multiLevelType w:val="hybridMultilevel"/>
    <w:lvl w:ilvl="0">
      <w:lvlJc w:val="left"/>
      <w:lvlText w:val="4"/>
      <w:numFmt w:val="bullet"/>
      <w:start w:val="1"/>
    </w:lvl>
  </w:abstractNum>
  <w:abstractNum w:abstractNumId="17">
    <w:nsid w:val="4A9554FE"/>
    <w:multiLevelType w:val="hybridMultilevel"/>
    <w:lvl w:ilvl="0">
      <w:lvlJc w:val="left"/>
      <w:lvlText w:val="5"/>
      <w:numFmt w:val="bullet"/>
      <w:start w:val="1"/>
    </w:lvl>
  </w:abstractNum>
  <w:abstractNum w:abstractNumId="18">
    <w:nsid w:val="392EDBE4"/>
    <w:multiLevelType w:val="hybridMultilevel"/>
    <w:lvl w:ilvl="0">
      <w:lvlJc w:val="left"/>
      <w:lvlText w:val="(%1)"/>
      <w:numFmt w:val="lowerLetter"/>
      <w:start w:val="1"/>
    </w:lvl>
  </w:abstractNum>
  <w:abstractNum w:abstractNumId="19">
    <w:nsid w:val="3D1A2DD9"/>
    <w:multiLevelType w:val="hybridMultilevel"/>
    <w:lvl w:ilvl="0">
      <w:lvlJc w:val="left"/>
      <w:lvlText w:val="(%1)"/>
      <w:numFmt w:val="lowerLetter"/>
      <w:start w:val="1"/>
    </w:lvl>
    <w:lvl w:ilvl="1">
      <w:lvlJc w:val="left"/>
      <w:lvlText w:val="(%2)"/>
      <w:numFmt w:val="lowerRoman"/>
      <w:start w:val="1"/>
    </w:lvl>
  </w:abstractNum>
  <w:abstractNum w:abstractNumId="20">
    <w:nsid w:val="7F618FCD"/>
    <w:multiLevelType w:val="hybridMultilevel"/>
    <w:lvl w:ilvl="0">
      <w:lvlJc w:val="left"/>
      <w:lvlText w:val="6"/>
      <w:numFmt w:val="bullet"/>
      <w:start w:val="1"/>
    </w:lvl>
  </w:abstractNum>
  <w:abstractNum w:abstractNumId="21">
    <w:nsid w:val="7843E45"/>
    <w:multiLevelType w:val="hybridMultilevel"/>
    <w:lvl w:ilvl="0">
      <w:lvlJc w:val="left"/>
      <w:lvlText w:val="7"/>
      <w:numFmt w:val="bullet"/>
      <w:start w:val="1"/>
    </w:lvl>
  </w:abstractNum>
  <w:abstractNum w:abstractNumId="22">
    <w:nsid w:val="9815DA3"/>
    <w:multiLevelType w:val="hybridMultilevel"/>
    <w:lvl w:ilvl="0">
      <w:lvlJc w:val="left"/>
      <w:lvlText w:val="8"/>
      <w:numFmt w:val="bullet"/>
      <w:start w:val="1"/>
    </w:lvl>
  </w:abstractNum>
  <w:abstractNum w:abstractNumId="23">
    <w:nsid w:val="5204A191"/>
    <w:multiLevelType w:val="hybridMultilevel"/>
    <w:lvl w:ilvl="0">
      <w:lvlJc w:val="left"/>
      <w:lvlText w:val="9"/>
      <w:numFmt w:val="bullet"/>
      <w:start w:val="1"/>
    </w:lvl>
  </w:abstractNum>
  <w:abstractNum w:abstractNumId="24">
    <w:nsid w:val="4C73A9C6"/>
    <w:multiLevelType w:val="hybridMultilevel"/>
    <w:lvl w:ilvl="0">
      <w:lvlJc w:val="left"/>
      <w:lvlText w:val="1"/>
      <w:numFmt w:val="bullet"/>
      <w:start w:val="1"/>
    </w:lvl>
  </w:abstractNum>
  <w:abstractNum w:abstractNumId="25">
    <w:nsid w:val="1C7E3C01"/>
    <w:multiLevelType w:val="hybridMultilevel"/>
    <w:lvl w:ilvl="0">
      <w:lvlJc w:val="left"/>
      <w:lvlText w:val="(%1)"/>
      <w:numFmt w:val="lowerLetter"/>
      <w:start w:val="1"/>
    </w:lvl>
  </w:abstractNum>
  <w:abstractNum w:abstractNumId="26">
    <w:nsid w:val="1C2201FF"/>
    <w:multiLevelType w:val="hybridMultilevel"/>
    <w:lvl w:ilvl="0">
      <w:lvlJc w:val="left"/>
      <w:lvlText w:val="(%1)"/>
      <w:numFmt w:val="lowerLetter"/>
      <w:start w:val="1"/>
    </w:lvl>
  </w:abstractNum>
  <w:abstractNum w:abstractNumId="27">
    <w:nsid w:val="50ABCEC9"/>
    <w:multiLevelType w:val="hybridMultilevel"/>
    <w:lvl w:ilvl="0">
      <w:lvlJc w:val="left"/>
      <w:lvlText w:val="(%1)"/>
      <w:numFmt w:val="lowerLetter"/>
      <w:start w:val="1"/>
    </w:lvl>
    <w:lvl w:ilvl="1">
      <w:lvlJc w:val="left"/>
      <w:lvlText w:val="(%2)"/>
      <w:numFmt w:val="lowerRoman"/>
      <w:start w:val="1"/>
    </w:lvl>
  </w:abstractNum>
  <w:abstractNum w:abstractNumId="28">
    <w:nsid w:val="7635AA2A"/>
    <w:multiLevelType w:val="hybridMultilevel"/>
    <w:lvl w:ilvl="0">
      <w:lvlJc w:val="left"/>
      <w:lvlText w:val="(%1)"/>
      <w:numFmt w:val="lowerLetter"/>
      <w:start w:val="1"/>
    </w:lvl>
  </w:abstractNum>
  <w:abstractNum w:abstractNumId="29">
    <w:nsid w:val="5E74C4D9"/>
    <w:multiLevelType w:val="hybridMultilevel"/>
    <w:lvl w:ilvl="0">
      <w:lvlJc w:val="left"/>
      <w:lvlText w:val="(%1)"/>
      <w:numFmt w:val="lowerLetter"/>
      <w:start w:val="1"/>
    </w:lvl>
  </w:abstractNum>
  <w:abstractNum w:abstractNumId="30">
    <w:nsid w:val="3B3EBE15"/>
    <w:multiLevelType w:val="hybridMultilevel"/>
    <w:lvl w:ilvl="0">
      <w:lvlJc w:val="left"/>
      <w:lvlText w:val="(%1)"/>
      <w:numFmt w:val="lowerLetter"/>
      <w:start w:val="1"/>
    </w:lvl>
  </w:abstractNum>
  <w:abstractNum w:abstractNumId="31">
    <w:nsid w:val="3822CB01"/>
    <w:multiLevelType w:val="hybridMultilevel"/>
    <w:lvl w:ilvl="0">
      <w:lvlJc w:val="left"/>
      <w:lvlText w:val="(%1)"/>
      <w:numFmt w:val="lowerLetter"/>
      <w:start w:val="1"/>
    </w:lvl>
  </w:abstractNum>
  <w:abstractNum w:abstractNumId="32">
    <w:nsid w:val="6CE00443"/>
    <w:multiLevelType w:val="hybridMultilevel"/>
    <w:lvl w:ilvl="0">
      <w:lvlJc w:val="left"/>
      <w:lvlText w:val="(%1)"/>
      <w:numFmt w:val="lowerLetter"/>
      <w:start w:val="1"/>
    </w:lvl>
  </w:abstractNum>
  <w:abstractNum w:abstractNumId="33">
    <w:nsid w:val="79F0D62F"/>
    <w:multiLevelType w:val="hybridMultilevel"/>
    <w:lvl w:ilvl="0">
      <w:lvlJc w:val="left"/>
      <w:lvlText w:val="(%1)"/>
      <w:numFmt w:val="lowerLetter"/>
      <w:start w:val="1"/>
    </w:lvl>
  </w:abstractNum>
  <w:abstractNum w:abstractNumId="34">
    <w:nsid w:val="7975E8EE"/>
    <w:multiLevelType w:val="hybridMultilevel"/>
    <w:lvl w:ilvl="0">
      <w:lvlJc w:val="left"/>
      <w:lvlText w:val="(%1)"/>
      <w:numFmt w:val="lowerLetter"/>
      <w:start w:val="13"/>
    </w:lvl>
  </w:abstractNum>
  <w:abstractNum w:abstractNumId="35">
    <w:nsid w:val="73154115"/>
    <w:multiLevelType w:val="hybridMultilevel"/>
    <w:lvl w:ilvl="0">
      <w:lvlJc w:val="left"/>
      <w:lvlText w:val="2"/>
      <w:numFmt w:val="bullet"/>
      <w:start w:val="1"/>
    </w:lvl>
  </w:abstractNum>
  <w:abstractNum w:abstractNumId="36">
    <w:nsid w:val="622D8102"/>
    <w:multiLevelType w:val="hybridMultilevel"/>
    <w:lvl w:ilvl="0">
      <w:lvlJc w:val="left"/>
      <w:lvlText w:val="3"/>
      <w:numFmt w:val="bullet"/>
      <w:start w:val="1"/>
    </w:lvl>
  </w:abstractNum>
  <w:abstractNum w:abstractNumId="37">
    <w:nsid w:val="2AB26587"/>
    <w:multiLevelType w:val="hybridMultilevel"/>
    <w:lvl w:ilvl="0">
      <w:lvlJc w:val="left"/>
      <w:lvlText w:val="4"/>
      <w:numFmt w:val="bullet"/>
      <w:start w:val="1"/>
    </w:lvl>
  </w:abstractNum>
  <w:abstractNum w:abstractNumId="38">
    <w:nsid w:val="44B3FA61"/>
    <w:multiLevelType w:val="hybridMultilevel"/>
    <w:lvl w:ilvl="0">
      <w:lvlJc w:val="left"/>
      <w:lvlText w:val="(%1)"/>
      <w:numFmt w:val="lowerLetter"/>
      <w:start w:val="1"/>
    </w:lvl>
  </w:abstractNum>
  <w:abstractNum w:abstractNumId="39">
    <w:nsid w:val="1C0CA67C"/>
    <w:multiLevelType w:val="hybridMultilevel"/>
    <w:lvl w:ilvl="0">
      <w:lvlJc w:val="left"/>
      <w:lvlText w:val="(%1)"/>
      <w:numFmt w:val="lowerLetter"/>
      <w:start w:val="1"/>
    </w:lvl>
  </w:abstractNum>
  <w:abstractNum w:abstractNumId="40">
    <w:nsid w:val="3D206613"/>
    <w:multiLevelType w:val="hybridMultilevel"/>
    <w:lvl w:ilvl="0">
      <w:lvlJc w:val="left"/>
      <w:lvlText w:val="(%1)"/>
      <w:numFmt w:val="lowerLetter"/>
      <w:start w:val="1"/>
    </w:lvl>
  </w:abstractNum>
  <w:abstractNum w:abstractNumId="41">
    <w:nsid w:val="7993B662"/>
    <w:multiLevelType w:val="hybridMultilevel"/>
    <w:lvl w:ilvl="0">
      <w:lvlJc w:val="left"/>
      <w:lvlText w:val="(%1)"/>
      <w:numFmt w:val="lowerLetter"/>
      <w:start w:val="1"/>
    </w:lvl>
  </w:abstractNum>
  <w:abstractNum w:abstractNumId="42">
    <w:nsid w:val="3BAB699E"/>
    <w:multiLevelType w:val="hybridMultilevel"/>
    <w:lvl w:ilvl="0">
      <w:lvlJc w:val="left"/>
      <w:lvlText w:val="%1"/>
      <w:numFmt w:val="lowerLetter"/>
      <w:start w:val="1"/>
    </w:lvl>
    <w:lvl w:ilvl="1">
      <w:lvlJc w:val="left"/>
      <w:lvlText w:val="(%2)"/>
      <w:numFmt w:val="lowerRoman"/>
      <w:start w:val="1"/>
    </w:lvl>
  </w:abstractNum>
  <w:abstractNum w:abstractNumId="43">
    <w:nsid w:val="71315369"/>
    <w:multiLevelType w:val="hybridMultilevel"/>
    <w:lvl w:ilvl="0">
      <w:lvlJc w:val="left"/>
      <w:lvlText w:val="(%1)"/>
      <w:numFmt w:val="lowerLetter"/>
      <w:start w:val="3"/>
    </w:lvl>
    <w:lvl w:ilvl="1">
      <w:lvlJc w:val="left"/>
      <w:lvlText w:val="%2"/>
      <w:numFmt w:val="lowerRoman"/>
      <w:start w:val="1"/>
    </w:lvl>
  </w:abstractNum>
  <w:abstractNum w:abstractNumId="44">
    <w:nsid w:val="7BCFBAFC"/>
    <w:multiLevelType w:val="hybridMultilevel"/>
    <w:lvl w:ilvl="0">
      <w:lvlJc w:val="left"/>
      <w:lvlText w:val="5"/>
      <w:numFmt w:val="bullet"/>
      <w:start w:val="1"/>
    </w:lvl>
  </w:abstractNum>
  <w:abstractNum w:abstractNumId="45">
    <w:nsid w:val="17859F72"/>
    <w:multiLevelType w:val="hybridMultilevel"/>
    <w:lvl w:ilvl="0">
      <w:lvlJc w:val="left"/>
      <w:lvlText w:val="(%1)"/>
      <w:numFmt w:val="lowerLetter"/>
      <w:start w:val="1"/>
    </w:lvl>
  </w:abstractNum>
  <w:abstractNum w:abstractNumId="46">
    <w:nsid w:val="3AA10581"/>
    <w:multiLevelType w:val="hybridMultilevel"/>
    <w:lvl w:ilvl="0">
      <w:lvlJc w:val="left"/>
      <w:lvlText w:val="(%1)"/>
      <w:numFmt w:val="lowerLetter"/>
      <w:start w:val="1"/>
    </w:lvl>
  </w:abstractNum>
  <w:abstractNum w:abstractNumId="47">
    <w:nsid w:val="63DE60CD"/>
    <w:multiLevelType w:val="hybridMultilevel"/>
    <w:lvl w:ilvl="0">
      <w:lvlJc w:val="left"/>
      <w:lvlText w:val="(%1)"/>
      <w:numFmt w:val="lowerLetter"/>
      <w:start w:val="2"/>
    </w:lvl>
    <w:lvl w:ilvl="1">
      <w:lvlJc w:val="left"/>
      <w:lvlText w:val="(%2)"/>
      <w:numFmt w:val="lowerRoman"/>
      <w:start w:val="1"/>
    </w:lvl>
  </w:abstractNum>
  <w:abstractNum w:abstractNumId="48">
    <w:nsid w:val="621AF47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
    <w:nsid w:val="73CFE165"/>
    <w:multiLevelType w:val="hybridMultilevel"/>
    <w:lvl w:ilvl="0">
      <w:lvlJc w:val="left"/>
      <w:lvlText w:val="6"/>
      <w:numFmt w:val="bullet"/>
      <w:start w:val="1"/>
    </w:lvl>
  </w:abstractNum>
  <w:abstractNum w:abstractNumId="50">
    <w:nsid w:val="20F88EA6"/>
    <w:multiLevelType w:val="hybridMultilevel"/>
    <w:lvl w:ilvl="0">
      <w:lvlJc w:val="left"/>
      <w:lvlText w:val="(%1)"/>
      <w:numFmt w:val="lowerLetter"/>
      <w:start w:val="1"/>
    </w:lvl>
  </w:abstractNum>
  <w:abstractNum w:abstractNumId="51">
    <w:nsid w:val="617C843E"/>
    <w:multiLevelType w:val="hybridMultilevel"/>
    <w:lvl w:ilvl="0">
      <w:lvlJc w:val="left"/>
      <w:lvlText w:val="7"/>
      <w:numFmt w:val="bullet"/>
      <w:start w:val="1"/>
    </w:lvl>
  </w:abstractNum>
  <w:abstractNum w:abstractNumId="52">
    <w:nsid w:val="7B541FAB"/>
    <w:multiLevelType w:val="hybridMultilevel"/>
    <w:lvl w:ilvl="0">
      <w:lvlJc w:val="left"/>
      <w:lvlText w:val="(%1)"/>
      <w:numFmt w:val="lowerLetter"/>
      <w:start w:val="1"/>
    </w:lvl>
  </w:abstractNum>
  <w:abstractNum w:abstractNumId="53">
    <w:nsid w:val="2A79EC49"/>
    <w:multiLevelType w:val="hybridMultilevel"/>
    <w:lvl w:ilvl="0">
      <w:lvlJc w:val="left"/>
      <w:lvlText w:val="(%1)"/>
      <w:numFmt w:val="lowerLetter"/>
      <w:start w:val="1"/>
    </w:lvl>
  </w:abstractNum>
  <w:abstractNum w:abstractNumId="54">
    <w:nsid w:val="338125CF"/>
    <w:multiLevelType w:val="hybridMultilevel"/>
    <w:lvl w:ilvl="0">
      <w:lvlJc w:val="left"/>
      <w:lvlText w:val="(%1)"/>
      <w:numFmt w:val="lowerLetter"/>
      <w:start w:val="1"/>
    </w:lvl>
  </w:abstractNum>
  <w:abstractNum w:abstractNumId="55">
    <w:nsid w:val="47C7C971"/>
    <w:multiLevelType w:val="hybridMultilevel"/>
    <w:lvl w:ilvl="0">
      <w:lvlJc w:val="left"/>
      <w:lvlText w:val="(%1)"/>
      <w:numFmt w:val="lowerLetter"/>
      <w:start w:val="1"/>
    </w:lvl>
    <w:lvl w:ilvl="1">
      <w:lvlJc w:val="left"/>
      <w:lvlText w:val="(%2)"/>
      <w:numFmt w:val="lowerRoman"/>
      <w:start w:val="1"/>
    </w:lvl>
  </w:abstractNum>
  <w:abstractNum w:abstractNumId="56">
    <w:nsid w:val="46F8284B"/>
    <w:multiLevelType w:val="hybridMultilevel"/>
    <w:lvl w:ilvl="0">
      <w:lvlJc w:val="left"/>
      <w:lvlText w:val="(%1)"/>
      <w:numFmt w:val="lowerLetter"/>
      <w:start w:val="3"/>
    </w:lvl>
  </w:abstractNum>
  <w:abstractNum w:abstractNumId="57">
    <w:nsid w:val="4FA327CE"/>
    <w:multiLevelType w:val="hybridMultilevel"/>
    <w:lvl w:ilvl="0">
      <w:lvlJc w:val="left"/>
      <w:lvlText w:val="(%1)"/>
      <w:numFmt w:val="lowerLetter"/>
      <w:start w:val="1"/>
    </w:lvl>
  </w:abstractNum>
  <w:abstractNum w:abstractNumId="58">
    <w:nsid w:val="1873983A"/>
    <w:multiLevelType w:val="hybridMultilevel"/>
    <w:lvl w:ilvl="0">
      <w:lvlJc w:val="left"/>
      <w:lvlText w:val="(%1)"/>
      <w:numFmt w:val="lowerLetter"/>
      <w:start w:val="1"/>
    </w:lvl>
    <w:lvl w:ilvl="1">
      <w:lvlJc w:val="left"/>
      <w:lvlText w:val="(%2)"/>
      <w:numFmt w:val="lowerRoman"/>
      <w:start w:val="1"/>
    </w:lvl>
  </w:abstractNum>
  <w:abstractNum w:abstractNumId="59">
    <w:nsid w:val="3D2DD275"/>
    <w:multiLevelType w:val="hybridMultilevel"/>
    <w:lvl w:ilvl="0">
      <w:lvlJc w:val="left"/>
      <w:lvlText w:val="8"/>
      <w:numFmt w:val="bullet"/>
      <w:start w:val="1"/>
    </w:lvl>
  </w:abstractNum>
  <w:abstractNum w:abstractNumId="60">
    <w:nsid w:val="2E17ECA7"/>
    <w:multiLevelType w:val="hybridMultilevel"/>
    <w:lvl w:ilvl="0">
      <w:lvlJc w:val="left"/>
      <w:lvlText w:val="(%1)"/>
      <w:numFmt w:val="lowerLetter"/>
      <w:start w:val="1"/>
    </w:lvl>
  </w:abstractNum>
  <w:abstractNum w:abstractNumId="61">
    <w:nsid w:val="53B2564F"/>
    <w:multiLevelType w:val="hybridMultilevel"/>
    <w:lvl w:ilvl="0">
      <w:lvlJc w:val="left"/>
      <w:lvlText w:val="9"/>
      <w:numFmt w:val="bullet"/>
      <w:start w:val="1"/>
    </w:lvl>
  </w:abstractNum>
  <w:abstractNum w:abstractNumId="62">
    <w:nsid w:val="75509D76"/>
    <w:multiLevelType w:val="hybridMultilevel"/>
    <w:lvl w:ilvl="0">
      <w:lvlJc w:val="left"/>
      <w:lvlText w:val="(%1)"/>
      <w:numFmt w:val="decimal"/>
      <w:start w:val="14"/>
    </w:lvl>
  </w:abstractNum>
  <w:abstractNum w:abstractNumId="63">
    <w:nsid w:val="1AF7F0EA"/>
    <w:multiLevelType w:val="hybridMultilevel"/>
    <w:lvl w:ilvl="0">
      <w:lvlJc w:val="left"/>
      <w:lvlText w:val="(%1)"/>
      <w:numFmt w:val="lowerLetter"/>
      <w:start w:val="1"/>
    </w:lvl>
  </w:abstractNum>
  <w:abstractNum w:abstractNumId="64">
    <w:nsid w:val="4DA32C7E"/>
    <w:multiLevelType w:val="hybridMultilevel"/>
    <w:lvl w:ilvl="0">
      <w:lvlJc w:val="left"/>
      <w:lvlText w:val="(%1)"/>
      <w:numFmt w:val="lowerLetter"/>
      <w:start w:val="1"/>
    </w:lvl>
  </w:abstractNum>
  <w:abstractNum w:abstractNumId="65">
    <w:nsid w:val="6EC68664"/>
    <w:multiLevelType w:val="hybridMultilevel"/>
    <w:lvl w:ilvl="0">
      <w:lvlJc w:val="left"/>
      <w:lvlText w:val="(%1)"/>
      <w:numFmt w:val="lowerLetter"/>
      <w:start w:val="1"/>
    </w:lvl>
  </w:abstractNum>
  <w:abstractNum w:abstractNumId="66">
    <w:nsid w:val="E0D31FF"/>
    <w:multiLevelType w:val="hybridMultilevel"/>
    <w:lvl w:ilvl="0">
      <w:lvlJc w:val="left"/>
      <w:lvlText w:val="(%1)"/>
      <w:numFmt w:val="lowerLetter"/>
      <w:start w:val="1"/>
    </w:lvl>
  </w:abstractNum>
  <w:abstractNum w:abstractNumId="67">
    <w:nsid w:val="2FD0AD81"/>
    <w:multiLevelType w:val="hybridMultilevel"/>
    <w:lvl w:ilvl="0">
      <w:lvlJc w:val="left"/>
      <w:lvlText w:val="(%1)"/>
      <w:numFmt w:val="lowerRoman"/>
      <w:start w:val="1"/>
    </w:lvl>
  </w:abstractNum>
  <w:abstractNum w:abstractNumId="68">
    <w:nsid w:val="1978EBEB"/>
    <w:multiLevelType w:val="hybridMultilevel"/>
    <w:lvl w:ilvl="0">
      <w:lvlJc w:val="left"/>
      <w:lvlText w:val="(%1)"/>
      <w:numFmt w:val="lowerLetter"/>
      <w:start w:val="1"/>
    </w:lvl>
  </w:abstractNum>
  <w:abstractNum w:abstractNumId="69">
    <w:nsid w:val="52C12C61"/>
    <w:multiLevelType w:val="hybridMultilevel"/>
    <w:lvl w:ilvl="0">
      <w:lvlJc w:val="left"/>
      <w:lvlText w:val="(%1)"/>
      <w:numFmt w:val="lowerLetter"/>
      <w:start w:val="1"/>
    </w:lvl>
  </w:abstractNum>
  <w:abstractNum w:abstractNumId="70">
    <w:nsid w:val="4BDD53FD"/>
    <w:multiLevelType w:val="hybridMultilevel"/>
    <w:lvl w:ilvl="0">
      <w:lvlJc w:val="left"/>
      <w:lvlText w:val="(%1)"/>
      <w:numFmt w:val="lowerLetter"/>
      <w:start w:val="1"/>
    </w:lvl>
  </w:abstractNum>
  <w:abstractNum w:abstractNumId="71">
    <w:nsid w:val="569951FE"/>
    <w:multiLevelType w:val="hybridMultilevel"/>
    <w:lvl w:ilvl="0">
      <w:lvlJc w:val="left"/>
      <w:lvlText w:val="(%1)"/>
      <w:numFmt w:val="lowerLetter"/>
      <w:start w:val="2"/>
    </w:lvl>
  </w:abstractNum>
  <w:abstractNum w:abstractNumId="72">
    <w:nsid w:val="4C54E2C3"/>
    <w:multiLevelType w:val="hybridMultilevel"/>
    <w:lvl w:ilvl="0">
      <w:lvlJc w:val="left"/>
      <w:lvlText w:val="(%1)"/>
      <w:numFmt w:val="lowerLetter"/>
      <w:start w:val="1"/>
    </w:lvl>
  </w:abstractNum>
  <w:abstractNum w:abstractNumId="73">
    <w:nsid w:val="788BD9B"/>
    <w:multiLevelType w:val="hybridMultilevel"/>
    <w:lvl w:ilvl="0">
      <w:lvlJc w:val="left"/>
      <w:lvlText w:val="(%1)"/>
      <w:numFmt w:val="lowerLetter"/>
      <w:start w:val="1"/>
    </w:lvl>
  </w:abstractNum>
  <w:abstractNum w:abstractNumId="74">
    <w:nsid w:val="47CAA567"/>
    <w:multiLevelType w:val="hybridMultilevel"/>
    <w:lvl w:ilvl="0">
      <w:lvlJc w:val="left"/>
      <w:lvlText w:val="(%1)"/>
      <w:numFmt w:val="lowerLetter"/>
      <w:start w:val="1"/>
    </w:lvl>
  </w:abstractNum>
  <w:abstractNum w:abstractNumId="75">
    <w:nsid w:val="48249DBF"/>
    <w:multiLevelType w:val="hybridMultilevel"/>
    <w:lvl w:ilvl="0">
      <w:lvlJc w:val="left"/>
      <w:lvlText w:val="(%1)"/>
      <w:numFmt w:val="lowerLetter"/>
      <w:start w:val="1"/>
    </w:lvl>
  </w:abstractNum>
  <w:abstractNum w:abstractNumId="76">
    <w:nsid w:val="1F0E5D0D"/>
    <w:multiLevelType w:val="hybridMultilevel"/>
    <w:lvl w:ilvl="0">
      <w:lvlJc w:val="left"/>
      <w:lvlText w:val="(%1)"/>
      <w:numFmt w:val="decimal"/>
      <w:start w:val="2"/>
    </w:lvl>
  </w:abstractNum>
  <w:abstractNum w:abstractNumId="77">
    <w:nsid w:val="26BAAE9"/>
    <w:multiLevelType w:val="hybridMultilevel"/>
    <w:lvl w:ilvl="0">
      <w:lvlJc w:val="left"/>
      <w:lvlText w:val="(%1)"/>
      <w:numFmt w:val="lowerLetter"/>
      <w:start w:val="1"/>
    </w:lvl>
  </w:abstractNum>
  <w:abstractNum w:abstractNumId="78">
    <w:nsid w:val="2C02FE8C"/>
    <w:multiLevelType w:val="hybridMultilevel"/>
    <w:lvl w:ilvl="0">
      <w:lvlJc w:val="left"/>
      <w:lvlText w:val="(%1)"/>
      <w:numFmt w:val="lowerLetter"/>
      <w:start w:val="2"/>
    </w:lvl>
  </w:abstractNum>
  <w:abstractNum w:abstractNumId="79">
    <w:nsid w:val="129517E"/>
    <w:multiLevelType w:val="hybridMultilevel"/>
    <w:lvl w:ilvl="0">
      <w:lvlJc w:val="left"/>
      <w:lvlText w:val="(%1)"/>
      <w:numFmt w:val="lowerLetter"/>
      <w:start w:val="1"/>
    </w:lvl>
  </w:abstractNum>
  <w:abstractNum w:abstractNumId="80">
    <w:nsid w:val="763B8C4E"/>
    <w:multiLevelType w:val="hybridMultilevel"/>
    <w:lvl w:ilvl="0">
      <w:lvlJc w:val="left"/>
      <w:lvlText w:val="(%1)"/>
      <w:numFmt w:val="lowerLetter"/>
      <w:start w:val="1"/>
    </w:lvl>
  </w:abstractNum>
  <w:abstractNum w:abstractNumId="81">
    <w:nsid w:val="4CFB8D32"/>
    <w:multiLevelType w:val="hybridMultilevel"/>
    <w:lvl w:ilvl="0">
      <w:lvlJc w:val="left"/>
      <w:lvlText w:val="(%1)"/>
      <w:numFmt w:val="lowerLetter"/>
      <w:start w:val="2"/>
    </w:lvl>
  </w:abstractNum>
  <w:abstractNum w:abstractNumId="82">
    <w:nsid w:val="62A5D5BD"/>
    <w:multiLevelType w:val="hybridMultilevel"/>
    <w:lvl w:ilvl="0">
      <w:lvlJc w:val="left"/>
      <w:lvlText w:val="(%1)"/>
      <w:numFmt w:val="lowerRoman"/>
      <w:start w:val="1"/>
    </w:lvl>
  </w:abstractNum>
  <w:abstractNum w:abstractNumId="83">
    <w:nsid w:val="718FABF9"/>
    <w:multiLevelType w:val="hybridMultilevel"/>
    <w:lvl w:ilvl="0">
      <w:lvlJc w:val="left"/>
      <w:lvlText w:val="(%1)"/>
      <w:numFmt w:val="lowerLetter"/>
      <w:start w:val="1"/>
    </w:lvl>
  </w:abstractNum>
  <w:abstractNum w:abstractNumId="84">
    <w:nsid w:val="7775797C"/>
    <w:multiLevelType w:val="hybridMultilevel"/>
    <w:lvl w:ilvl="0">
      <w:lvlJc w:val="left"/>
      <w:lvlText w:val="(%1)"/>
      <w:numFmt w:val="lowerLetter"/>
      <w:start w:val="1"/>
    </w:lvl>
  </w:abstractNum>
  <w:abstractNum w:abstractNumId="85">
    <w:nsid w:val="1626FB8C"/>
    <w:multiLevelType w:val="hybridMultilevel"/>
    <w:lvl w:ilvl="0">
      <w:lvlJc w:val="left"/>
      <w:lvlText w:val="(%1)"/>
      <w:numFmt w:val="lowerLetter"/>
      <w:start w:val="4"/>
    </w:lvl>
  </w:abstractNum>
  <w:abstractNum w:abstractNumId="86">
    <w:nsid w:val="3957756A"/>
    <w:multiLevelType w:val="hybridMultilevel"/>
    <w:lvl w:ilvl="0">
      <w:lvlJc w:val="left"/>
      <w:lvlText w:val="(%1)"/>
      <w:numFmt w:val="lowerLetter"/>
      <w:start w:val="1"/>
    </w:lvl>
  </w:abstractNum>
  <w:abstractNum w:abstractNumId="87">
    <w:nsid w:val="3E6DA1C7"/>
    <w:multiLevelType w:val="hybridMultilevel"/>
    <w:lvl w:ilvl="0">
      <w:lvlJc w:val="left"/>
      <w:lvlText w:val="(%1)"/>
      <w:numFmt w:val="lowerLetter"/>
      <w:start w:val="1"/>
    </w:lvl>
  </w:abstractNum>
  <w:abstractNum w:abstractNumId="88">
    <w:nsid w:val="65CA235B"/>
    <w:multiLevelType w:val="hybridMultilevel"/>
    <w:lvl w:ilvl="0">
      <w:lvlJc w:val="left"/>
      <w:lvlText w:val="(%1)"/>
      <w:numFmt w:val="lowerLetter"/>
      <w:start w:val="1"/>
    </w:lvl>
  </w:abstractNum>
  <w:abstractNum w:abstractNumId="89">
    <w:nsid w:val="51CB0DA4"/>
    <w:multiLevelType w:val="hybridMultilevel"/>
    <w:lvl w:ilvl="0">
      <w:lvlJc w:val="left"/>
      <w:lvlText w:val="(%1)"/>
      <w:numFmt w:val="lowerLetter"/>
      <w:start w:val="1"/>
    </w:lvl>
  </w:abstractNum>
  <w:abstractNum w:abstractNumId="90">
    <w:nsid w:val="7B9B743C"/>
    <w:multiLevelType w:val="hybridMultilevel"/>
    <w:lvl w:ilvl="0">
      <w:lvlJc w:val="left"/>
      <w:lvlText w:val="(%1)"/>
      <w:numFmt w:val="lowerLetter"/>
      <w:start w:val="1"/>
    </w:lvl>
  </w:abstractNum>
  <w:abstractNum w:abstractNumId="91">
    <w:nsid w:val="13E21002"/>
    <w:multiLevelType w:val="hybridMultilevel"/>
    <w:lvl w:ilvl="0">
      <w:lvlJc w:val="left"/>
      <w:lvlText w:val="(%1)"/>
      <w:numFmt w:val="lowerLetter"/>
      <w:start w:val="2"/>
    </w:lvl>
  </w:abstractNum>
  <w:abstractNum w:abstractNumId="92">
    <w:nsid w:val="257D63F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3">
    <w:nsid w:val="70EC11B2"/>
    <w:multiLevelType w:val="hybridMultilevel"/>
    <w:lvl w:ilvl="0">
      <w:lvlJc w:val="left"/>
      <w:lvlText w:val="(%1)"/>
      <w:numFmt w:val="lowerLetter"/>
      <w:start w:val="1"/>
    </w:lvl>
  </w:abstractNum>
  <w:abstractNum w:abstractNumId="94">
    <w:nsid w:val="2EDA00ED"/>
    <w:multiLevelType w:val="hybridMultilevel"/>
    <w:lvl w:ilvl="0">
      <w:lvlJc w:val="left"/>
      <w:lvlText w:val="%1."/>
      <w:numFmt w:val="decimal"/>
      <w:start w:val="1"/>
    </w:lvl>
  </w:abstractNum>
  <w:abstractNum w:abstractNumId="95">
    <w:nsid w:val="73209072"/>
    <w:multiLevelType w:val="hybridMultilevel"/>
    <w:lvl w:ilvl="0">
      <w:lvlJc w:val="left"/>
      <w:lvlText w:val="%1."/>
      <w:numFmt w:val="decimal"/>
      <w:start w:val="3"/>
    </w:lvl>
  </w:abstractNum>
  <w:abstractNum w:abstractNumId="96">
    <w:nsid w:val="5FB29816"/>
    <w:multiLevelType w:val="hybridMultilevel"/>
    <w:lvl w:ilvl="0">
      <w:lvlJc w:val="left"/>
      <w:lvlText w:val="%1."/>
      <w:numFmt w:val="decimal"/>
      <w:start w:val="4"/>
    </w:lvl>
  </w:abstractNum>
  <w:abstractNum w:abstractNumId="97">
    <w:nsid w:val="3CE732EC"/>
    <w:multiLevelType w:val="hybridMultilevel"/>
    <w:lvl w:ilvl="0">
      <w:lvlJc w:val="left"/>
      <w:lvlText w:val="%1."/>
      <w:numFmt w:val="decimal"/>
      <w:start w:val="5"/>
    </w:lvl>
  </w:abstractNum>
  <w:abstractNum w:abstractNumId="98">
    <w:nsid w:val="22F13DF3"/>
    <w:multiLevelType w:val="hybridMultilevel"/>
    <w:lvl w:ilvl="0">
      <w:lvlJc w:val="left"/>
      <w:lvlText w:val="%1."/>
      <w:numFmt w:val="decimal"/>
      <w:start w:val="6"/>
    </w:lvl>
  </w:abstractNum>
  <w:abstractNum w:abstractNumId="99">
    <w:nsid w:val="792B8401"/>
    <w:multiLevelType w:val="hybridMultilevel"/>
    <w:lvl w:ilvl="0">
      <w:lvlJc w:val="left"/>
      <w:lvlText w:val="%1."/>
      <w:numFmt w:val="decimal"/>
      <w:start w:val="7"/>
    </w:lvl>
  </w:abstractNum>
  <w:abstractNum w:abstractNumId="100">
    <w:nsid w:val="FA85F4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01">
    <w:nsid w:val="6ECE91F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2">
    <w:nsid w:val="4FC4D60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3">
    <w:nsid w:val="5BFD4210"/>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04">
    <w:nsid w:val="76574F8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5">
    <w:nsid w:val="178F7B6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06">
    <w:nsid w:val="2421DFC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7">
    <w:nsid w:val="1565AC99"/>
    <w:multiLevelType w:val="hybridMultilevel"/>
    <w:lvl w:ilvl="0">
      <w:lvlJc w:val="left"/>
      <w:lvlText w:val="(%1)"/>
      <w:numFmt w:val="lowerRoman"/>
      <w:start w:val="2"/>
    </w:lvl>
  </w:abstractNum>
  <w:abstractNum w:abstractNumId="108">
    <w:nsid w:val="19FB2650"/>
    <w:multiLevelType w:val="hybridMultilevel"/>
    <w:lvl w:ilvl="0">
      <w:lvlJc w:val="left"/>
      <w:lvlText w:val="%1."/>
      <w:numFmt w:val="decimal"/>
      <w:start w:val="13"/>
    </w:lvl>
  </w:abstractNum>
  <w:abstractNum w:abstractNumId="109">
    <w:nsid w:val="5024DE5B"/>
    <w:multiLevelType w:val="hybridMultilevel"/>
    <w:lvl w:ilvl="0">
      <w:lvlJc w:val="left"/>
      <w:lvlText w:val="%1."/>
      <w:numFmt w:val="decimal"/>
      <w:start w:val="17"/>
    </w:lvl>
  </w:abstractNum>
  <w:abstractNum w:abstractNumId="110">
    <w:nsid w:val="168EFE17"/>
    <w:multiLevelType w:val="hybridMultilevel"/>
    <w:lvl w:ilvl="0">
      <w:lvlJc w:val="left"/>
      <w:lvlText w:val="(%1)"/>
      <w:numFmt w:val="lowerRoman"/>
      <w:start w:val="1"/>
    </w:lvl>
  </w:abstractNum>
  <w:abstractNum w:abstractNumId="111">
    <w:nsid w:val="1036B29F"/>
    <w:multiLevelType w:val="hybridMultilevel"/>
    <w:lvl w:ilvl="0">
      <w:lvlJc w:val="left"/>
      <w:lvlText w:val="(%1)"/>
      <w:numFmt w:val="upperLetter"/>
      <w:start w:val="1"/>
    </w:lvl>
  </w:abstractNum>
  <w:abstractNum w:abstractNumId="112">
    <w:nsid w:val="1D206B8E"/>
    <w:multiLevelType w:val="hybridMultilevel"/>
    <w:lvl w:ilvl="0">
      <w:lvlJc w:val="left"/>
      <w:lvlText w:val="(%1)"/>
      <w:numFmt w:val="decimal"/>
      <w:start w:val="5"/>
    </w:lvl>
  </w:abstractNum>
  <w:abstractNum w:abstractNumId="113">
    <w:nsid w:val="7934D3D4"/>
    <w:multiLevelType w:val="hybridMultilevel"/>
    <w:lvl w:ilvl="0">
      <w:lvlJc w:val="left"/>
      <w:lvlText w:val="%1"/>
      <w:numFmt w:val="upperLetter"/>
      <w:start w:val="1"/>
    </w:lvl>
    <w:lvl w:ilvl="1">
      <w:lvlJc w:val="left"/>
      <w:lvlText w:val="(%2)"/>
      <w:numFmt w:val="lowerLetter"/>
      <w:start w:val="1"/>
    </w:lvl>
  </w:abstractNum>
  <w:abstractNum w:abstractNumId="114">
    <w:nsid w:val="1C65E98"/>
    <w:multiLevelType w:val="hybridMultilevel"/>
    <w:lvl w:ilvl="0">
      <w:lvlJc w:val="left"/>
      <w:lvlText w:val="(%1)"/>
      <w:numFmt w:val="upperLetter"/>
      <w:start w:val="2"/>
    </w:lvl>
    <w:lvl w:ilvl="1">
      <w:lvlJc w:val="left"/>
      <w:lvlText w:val="(%2)"/>
      <w:numFmt w:val="lowerLetter"/>
      <w:start w:val="2"/>
    </w:lvl>
  </w:abstractNum>
  <w:abstractNum w:abstractNumId="115">
    <w:nsid w:val="1495E50A"/>
    <w:multiLevelType w:val="hybridMultilevel"/>
    <w:lvl w:ilvl="0">
      <w:lvlJc w:val="left"/>
      <w:lvlText w:val="(%1)"/>
      <w:numFmt w:val="decimal"/>
      <w:start w:val="12"/>
    </w:lvl>
  </w:abstractNum>
  <w:abstractNum w:abstractNumId="116">
    <w:nsid w:val="F5BCF61"/>
    <w:multiLevelType w:val="hybridMultilevel"/>
    <w:lvl w:ilvl="0">
      <w:lvlJc w:val="left"/>
      <w:lvlText w:val="%1."/>
      <w:numFmt w:val="decimal"/>
      <w:start w:val="1"/>
    </w:lvl>
    <w:lvl w:ilvl="1">
      <w:lvlJc w:val="left"/>
      <w:lvlText w:val="(%2)"/>
      <w:numFmt w:val="lowerLetter"/>
      <w:start w:val="1"/>
    </w:lvl>
  </w:abstractNum>
  <w:abstractNum w:abstractNumId="117">
    <w:nsid w:val="3B1DD403"/>
    <w:multiLevelType w:val="hybridMultilevel"/>
    <w:lvl w:ilvl="0">
      <w:lvlJc w:val="left"/>
      <w:lvlText w:val="(%1)"/>
      <w:numFmt w:val="lowerLetter"/>
      <w:start w:val="4"/>
    </w:lvl>
  </w:abstractNum>
  <w:abstractNum w:abstractNumId="118">
    <w:nsid w:val="530386D1"/>
    <w:multiLevelType w:val="hybridMultilevel"/>
    <w:lvl w:ilvl="0">
      <w:lvlJc w:val="left"/>
      <w:lvlText w:val="%1"/>
      <w:numFmt w:val="decimal"/>
      <w:start w:val="1"/>
    </w:lvl>
    <w:lvl w:ilvl="1">
      <w:lvlJc w:val="left"/>
      <w:lvlText w:val="(%2)"/>
      <w:numFmt w:val="lowerLetter"/>
      <w:start w:val="11"/>
    </w:lvl>
  </w:abstractNum>
  <w:abstractNum w:abstractNumId="119">
    <w:nsid w:val="7525F2BC"/>
    <w:multiLevelType w:val="hybridMultilevel"/>
    <w:lvl w:ilvl="0">
      <w:lvlJc w:val="left"/>
      <w:lvlText w:val="%1."/>
      <w:numFmt w:val="decimal"/>
      <w:start w:val="2"/>
    </w:lvl>
    <w:lvl w:ilvl="1">
      <w:lvlJc w:val="left"/>
      <w:lvlText w:val="(%2)"/>
      <w:numFmt w:val="lowerLetter"/>
      <w:start w:val="1"/>
    </w:lvl>
  </w:abstractNum>
  <w:abstractNum w:abstractNumId="120">
    <w:nsid w:val="CE8E1A7"/>
    <w:multiLevelType w:val="hybridMultilevel"/>
    <w:lvl w:ilvl="0">
      <w:lvlJc w:val="left"/>
      <w:lvlText w:val="%1"/>
      <w:numFmt w:val="decimal"/>
      <w:start w:val="1"/>
    </w:lvl>
    <w:lvl w:ilvl="1">
      <w:lvlJc w:val="left"/>
      <w:lvlText w:val="(%2)"/>
      <w:numFmt w:val="lowerLetter"/>
      <w:start w:val="5"/>
    </w:lvl>
  </w:abstractNum>
  <w:abstractNum w:abstractNumId="121">
    <w:nsid w:val="4E9EFB0D"/>
    <w:multiLevelType w:val="hybridMultilevel"/>
    <w:lvl w:ilvl="0">
      <w:lvlJc w:val="left"/>
      <w:lvlText w:val="%1."/>
      <w:numFmt w:val="decimal"/>
      <w:start w:val="3"/>
    </w:lvl>
    <w:lvl w:ilvl="1">
      <w:lvlJc w:val="left"/>
      <w:lvlText w:val="(%2)"/>
      <w:numFmt w:val="lowerLetter"/>
      <w:start w:val="1"/>
    </w:lvl>
  </w:abstractNum>
  <w:abstractNum w:abstractNumId="122">
    <w:nsid w:val="90802BE"/>
    <w:multiLevelType w:val="hybridMultilevel"/>
    <w:lvl w:ilvl="0">
      <w:lvlJc w:val="left"/>
      <w:lvlText w:val="%1."/>
      <w:numFmt w:val="decimal"/>
      <w:start w:val="4"/>
    </w:lvl>
    <w:lvl w:ilvl="1">
      <w:lvlJc w:val="left"/>
      <w:lvlText w:val="(%2)"/>
      <w:numFmt w:val="lowerLetter"/>
      <w:start w:val="1"/>
    </w:lvl>
  </w:abstractNum>
  <w:abstractNum w:abstractNumId="123">
    <w:nsid w:val="3266459B"/>
    <w:multiLevelType w:val="hybridMultilevel"/>
    <w:lvl w:ilvl="0">
      <w:lvlJc w:val="left"/>
      <w:lvlText w:val="(%1)"/>
      <w:numFmt w:val="lowerLetter"/>
      <w:start w:val="4"/>
    </w:lvl>
  </w:abstractNum>
  <w:abstractNum w:abstractNumId="124">
    <w:nsid w:val="3F8B0CBF"/>
    <w:multiLevelType w:val="hybridMultilevel"/>
    <w:lvl w:ilvl="0">
      <w:lvlJc w:val="left"/>
      <w:lvlText w:val="%1"/>
      <w:numFmt w:val="decimal"/>
      <w:start w:val="590"/>
    </w:lvl>
  </w:abstractNum>
  <w:abstractNum w:abstractNumId="125">
    <w:nsid w:val="37E203AB"/>
    <w:multiLevelType w:val="hybridMultilevel"/>
    <w:lvl w:ilvl="0">
      <w:lvlJc w:val="left"/>
      <w:lvlText w:val="(%1)"/>
      <w:numFmt w:val="lowerLetter"/>
      <w:start w:val="6"/>
    </w:lvl>
  </w:abstractNum>
  <w:abstractNum w:abstractNumId="126">
    <w:nsid w:val="2586D60E"/>
    <w:multiLevelType w:val="hybridMultilevel"/>
    <w:lvl w:ilvl="0">
      <w:lvlJc w:val="left"/>
      <w:lvlText w:val="(%1)"/>
      <w:numFmt w:val="lowerLetter"/>
      <w:start w:val="7"/>
    </w:lvl>
  </w:abstractNum>
  <w:abstractNum w:abstractNumId="127">
    <w:nsid w:val="1F3DA4D5"/>
    <w:multiLevelType w:val="hybridMultilevel"/>
    <w:lvl w:ilvl="0">
      <w:lvlJc w:val="left"/>
      <w:lvlText w:val="(%1)"/>
      <w:numFmt w:val="lowerRoman"/>
      <w:start w:val="2"/>
    </w:lvl>
  </w:abstractNum>
  <w:abstractNum w:abstractNumId="128">
    <w:nsid w:val="74C93698"/>
    <w:multiLevelType w:val="hybridMultilevel"/>
    <w:lvl w:ilvl="0">
      <w:lvlJc w:val="left"/>
      <w:lvlText w:val="%1."/>
      <w:numFmt w:val="decimal"/>
      <w:start w:val="1"/>
    </w:lvl>
  </w:abstractNum>
  <w:abstractNum w:abstractNumId="129">
    <w:nsid w:val="48781401"/>
    <w:multiLevelType w:val="hybridMultilevel"/>
    <w:lvl w:ilvl="0">
      <w:lvlJc w:val="left"/>
      <w:lvlText w:val="(%1)"/>
      <w:numFmt w:val="lowerLetter"/>
      <w:start w:val="1"/>
    </w:lvl>
  </w:abstractNum>
  <w:abstractNum w:abstractNumId="130">
    <w:nsid w:val="186928D6"/>
    <w:multiLevelType w:val="hybridMultilevel"/>
    <w:lvl w:ilvl="0">
      <w:lvlJc w:val="left"/>
      <w:lvlText w:val="(%1)"/>
      <w:numFmt w:val="lowerRoman"/>
      <w:start w:val="1"/>
    </w:lvl>
  </w:abstractNum>
  <w:abstractNum w:abstractNumId="131">
    <w:nsid w:val="47195E5"/>
    <w:multiLevelType w:val="hybridMultilevel"/>
    <w:lvl w:ilvl="0">
      <w:lvlJc w:val="left"/>
      <w:lvlText w:val="(%1)"/>
      <w:numFmt w:val="lowerRoman"/>
      <w:start w:val="4"/>
    </w:lvl>
  </w:abstractNum>
  <w:abstractNum w:abstractNumId="132">
    <w:nsid w:val="3746A5F2"/>
    <w:multiLevelType w:val="hybridMultilevel"/>
    <w:lvl w:ilvl="0">
      <w:lvlJc w:val="left"/>
      <w:lvlText w:val="(%1)"/>
      <w:numFmt w:val="lowerLetter"/>
      <w:start w:val="5"/>
    </w:lvl>
  </w:abstractNum>
  <w:abstractNum w:abstractNumId="133">
    <w:nsid w:val="682DFED6"/>
    <w:multiLevelType w:val="hybridMultilevel"/>
    <w:lvl w:ilvl="0">
      <w:lvlJc w:val="left"/>
      <w:lvlText w:val="%1"/>
      <w:numFmt w:val="lowerLetter"/>
      <w:start w:val="1"/>
    </w:lvl>
    <w:lvl w:ilvl="1">
      <w:lvlJc w:val="left"/>
      <w:lvlText w:val="(%2)"/>
      <w:numFmt w:val="lowerLetter"/>
      <w:start w:val="12"/>
    </w:lvl>
  </w:abstractNum>
  <w:abstractNum w:abstractNumId="134">
    <w:nsid w:val="606ED7F6"/>
    <w:multiLevelType w:val="hybridMultilevel"/>
    <w:lvl w:ilvl="0">
      <w:lvlJc w:val="left"/>
      <w:lvlText w:val="(%1)"/>
      <w:numFmt w:val="lowerLetter"/>
      <w:start w:val="35"/>
    </w:lvl>
    <w:lvl w:ilvl="1">
      <w:lvlJc w:val="left"/>
      <w:lvlText w:val="%2"/>
      <w:numFmt w:val="lowerLetter"/>
      <w:start w:val="1"/>
    </w:lvl>
  </w:abstractNum>
  <w:abstractNum w:abstractNumId="135">
    <w:nsid w:val="2D9DF57D"/>
    <w:multiLevelType w:val="hybridMultilevel"/>
    <w:lvl w:ilvl="0">
      <w:lvlJc w:val="left"/>
      <w:lvlText w:val="(%1)"/>
      <w:numFmt w:val="lowerLetter"/>
      <w:start w:val="13"/>
    </w:lvl>
  </w:abstractNum>
  <w:abstractNum w:abstractNumId="136">
    <w:nsid w:val="7FBD7A3E"/>
    <w:multiLevelType w:val="hybridMultilevel"/>
    <w:lvl w:ilvl="0">
      <w:lvlJc w:val="left"/>
      <w:lvlText w:val="%1."/>
      <w:numFmt w:val="decimal"/>
      <w:start w:val="3"/>
    </w:lvl>
  </w:abstractNum>
  <w:abstractNum w:abstractNumId="137">
    <w:nsid w:val="490B7C5"/>
    <w:multiLevelType w:val="hybridMultilevel"/>
    <w:lvl w:ilvl="0">
      <w:lvlJc w:val="left"/>
      <w:lvlText w:val="%1."/>
      <w:numFmt w:val="decimal"/>
      <w:start w:val="4"/>
    </w:lvl>
  </w:abstractNum>
  <w:abstractNum w:abstractNumId="138">
    <w:nsid w:val="4303A216"/>
    <w:multiLevelType w:val="hybridMultilevel"/>
    <w:lvl w:ilvl="0">
      <w:lvlJc w:val="left"/>
      <w:lvlText w:val="(%1)"/>
      <w:numFmt w:val="lowerLetter"/>
      <w:start w:val="1"/>
    </w:lvl>
  </w:abstractNum>
  <w:abstractNum w:abstractNumId="139">
    <w:nsid w:val="19B8A08E"/>
    <w:multiLevelType w:val="hybridMultilevel"/>
    <w:lvl w:ilvl="0">
      <w:lvlJc w:val="left"/>
      <w:lvlText w:val="%1."/>
      <w:numFmt w:val="decimal"/>
      <w:start w:val="8"/>
    </w:lvl>
  </w:abstractNum>
  <w:abstractNum w:abstractNumId="140">
    <w:nsid w:val="54B59621"/>
    <w:multiLevelType w:val="hybridMultilevel"/>
    <w:lvl w:ilvl="0">
      <w:lvlJc w:val="left"/>
      <w:lvlText w:val="(%1)"/>
      <w:numFmt w:val="lowerLetter"/>
      <w:start w:val="1"/>
    </w:lvl>
  </w:abstractNum>
  <w:abstractNum w:abstractNumId="141">
    <w:nsid w:val="5992A02E"/>
    <w:multiLevelType w:val="hybridMultilevel"/>
    <w:lvl w:ilvl="0">
      <w:lvlJc w:val="left"/>
      <w:lvlText w:val="%1."/>
      <w:numFmt w:val="decimal"/>
      <w:start w:val="9"/>
    </w:lvl>
  </w:abstractNum>
  <w:abstractNum w:abstractNumId="142">
    <w:nsid w:val="29EF532D"/>
    <w:multiLevelType w:val="hybridMultilevel"/>
    <w:lvl w:ilvl="0">
      <w:lvlJc w:val="left"/>
      <w:lvlText w:val="(%1)"/>
      <w:numFmt w:val="lowerLetter"/>
      <w:start w:val="1"/>
    </w:lvl>
  </w:abstractNum>
  <w:abstractNum w:abstractNumId="143">
    <w:nsid w:val="71D601AF"/>
    <w:multiLevelType w:val="hybridMultilevel"/>
    <w:lvl w:ilvl="0">
      <w:lvlJc w:val="left"/>
      <w:lvlText w:val="%1."/>
      <w:numFmt w:val="decimal"/>
      <w:start w:val="10"/>
    </w:lvl>
  </w:abstractNum>
  <w:abstractNum w:abstractNumId="144">
    <w:nsid w:val="52C77402"/>
    <w:multiLevelType w:val="hybridMultilevel"/>
    <w:lvl w:ilvl="0">
      <w:lvlJc w:val="left"/>
      <w:lvlText w:val="(%1)"/>
      <w:numFmt w:val="lowerLetter"/>
      <w:start w:val="1"/>
    </w:lvl>
  </w:abstractNum>
  <w:abstractNum w:abstractNumId="145">
    <w:nsid w:val="2BB5B1C6"/>
    <w:multiLevelType w:val="hybridMultilevel"/>
    <w:lvl w:ilvl="0">
      <w:lvlJc w:val="left"/>
      <w:lvlText w:val="(%1)"/>
      <w:numFmt w:val="lowerLetter"/>
      <w:start w:val="2"/>
    </w:lvl>
  </w:abstractNum>
  <w:abstractNum w:abstractNumId="146">
    <w:nsid w:val="66BE6B9"/>
    <w:multiLevelType w:val="hybridMultilevel"/>
    <w:lvl w:ilvl="0">
      <w:lvlJc w:val="left"/>
      <w:lvlText w:val="%1."/>
      <w:numFmt w:val="decimal"/>
      <w:start w:val="11"/>
    </w:lvl>
  </w:abstractNum>
  <w:abstractNum w:abstractNumId="147">
    <w:nsid w:val="62234363"/>
    <w:multiLevelType w:val="hybridMultilevel"/>
    <w:lvl w:ilvl="0">
      <w:lvlJc w:val="left"/>
      <w:lvlText w:val="(%1)"/>
      <w:numFmt w:val="lowerLetter"/>
      <w:start w:val="1"/>
    </w:lvl>
  </w:abstractNum>
  <w:abstractNum w:abstractNumId="148">
    <w:nsid w:val="66D385C9"/>
    <w:multiLevelType w:val="hybridMultilevel"/>
    <w:lvl w:ilvl="0">
      <w:lvlJc w:val="left"/>
      <w:lvlText w:val="%1."/>
      <w:numFmt w:val="decimal"/>
      <w:start w:val="12"/>
    </w:lvl>
  </w:abstractNum>
  <w:abstractNum w:abstractNumId="149">
    <w:nsid w:val="596F6D8A"/>
    <w:multiLevelType w:val="hybridMultilevel"/>
    <w:lvl w:ilvl="0">
      <w:lvlJc w:val="left"/>
      <w:lvlText w:val="(%1)"/>
      <w:numFmt w:val="lowerLetter"/>
      <w:start w:val="1"/>
    </w:lvl>
  </w:abstractNum>
  <w:abstractNum w:abstractNumId="150">
    <w:nsid w:val="5749361F"/>
    <w:multiLevelType w:val="hybridMultilevel"/>
    <w:lvl w:ilvl="0">
      <w:lvlJc w:val="left"/>
      <w:lvlText w:val="(%1)"/>
      <w:numFmt w:val="lowerLetter"/>
      <w:start w:val="3"/>
    </w:lvl>
  </w:abstractNum>
  <w:abstractNum w:abstractNumId="151">
    <w:nsid w:val="73BC6770"/>
    <w:multiLevelType w:val="hybridMultilevel"/>
    <w:lvl w:ilvl="0">
      <w:lvlJc w:val="left"/>
      <w:lvlText w:val="%1."/>
      <w:numFmt w:val="decimal"/>
      <w:start w:val="13"/>
    </w:lvl>
  </w:abstractNum>
  <w:abstractNum w:abstractNumId="152">
    <w:nsid w:val="280E6897"/>
    <w:multiLevelType w:val="hybridMultilevel"/>
    <w:lvl w:ilvl="0">
      <w:lvlJc w:val="left"/>
      <w:lvlText w:val="(%1)"/>
      <w:numFmt w:val="lowerLetter"/>
      <w:start w:val="1"/>
    </w:lvl>
  </w:abstractNum>
  <w:abstractNum w:abstractNumId="153">
    <w:nsid w:val="605138DE"/>
    <w:multiLevelType w:val="hybridMultilevel"/>
    <w:lvl w:ilvl="0">
      <w:lvlJc w:val="left"/>
      <w:lvlText w:val="(%1)"/>
      <w:numFmt w:val="lowerLetter"/>
      <w:start w:val="4"/>
    </w:lvl>
  </w:abstractNum>
  <w:abstractNum w:abstractNumId="154">
    <w:nsid w:val="2622AD0C"/>
    <w:multiLevelType w:val="hybridMultilevel"/>
    <w:lvl w:ilvl="0">
      <w:lvlJc w:val="left"/>
      <w:lvlText w:val="%1."/>
      <w:numFmt w:val="decimal"/>
      <w:start w:val="14"/>
    </w:lvl>
  </w:abstractNum>
  <w:abstractNum w:abstractNumId="155">
    <w:nsid w:val="67997556"/>
    <w:multiLevelType w:val="hybridMultilevel"/>
    <w:lvl w:ilvl="0">
      <w:lvlJc w:val="left"/>
      <w:lvlText w:val="%1"/>
      <w:numFmt w:val="lowerRoman"/>
      <w:start w:val="1"/>
    </w:lvl>
    <w:lvl w:ilvl="1">
      <w:lvlJc w:val="left"/>
      <w:lvlText w:val="(%2)"/>
      <w:numFmt w:val="lowerLetter"/>
      <w:start w:val="1"/>
    </w:lvl>
  </w:abstractNum>
  <w:abstractNum w:abstractNumId="156">
    <w:nsid w:val="18333C89"/>
    <w:multiLevelType w:val="hybridMultilevel"/>
    <w:lvl w:ilvl="0">
      <w:lvlJc w:val="left"/>
      <w:lvlText w:val="(%1)"/>
      <w:numFmt w:val="lowerRoman"/>
      <w:start w:val="5"/>
    </w:lvl>
    <w:lvl w:ilvl="1">
      <w:lvlJc w:val="left"/>
      <w:lvlText w:val="%2"/>
      <w:numFmt w:val="lowerLetter"/>
      <w:start w:val="1"/>
    </w:lvl>
  </w:abstractNum>
  <w:abstractNum w:abstractNumId="157">
    <w:nsid w:val="4BA9831A"/>
    <w:multiLevelType w:val="hybridMultilevel"/>
    <w:lvl w:ilvl="0">
      <w:lvlJc w:val="left"/>
      <w:lvlText w:val="(%1)"/>
      <w:numFmt w:val="lowerRoman"/>
      <w:start w:val="7"/>
    </w:lvl>
    <w:lvl w:ilvl="1">
      <w:lvlJc w:val="left"/>
      <w:lvlText w:val="(%2)"/>
      <w:numFmt w:val="lowerLetter"/>
      <w:start w:val="2"/>
    </w:lvl>
  </w:abstractNum>
  <w:abstractNum w:abstractNumId="158">
    <w:nsid w:val="6D71A2B"/>
    <w:multiLevelType w:val="hybridMultilevel"/>
    <w:lvl w:ilvl="0">
      <w:lvlJc w:val="left"/>
      <w:lvlText w:val="(%1)"/>
      <w:numFmt w:val="lowerLetter"/>
      <w:start w:val="5"/>
    </w:lvl>
  </w:abstractNum>
  <w:abstractNum w:abstractNumId="159">
    <w:nsid w:val="CFC7321"/>
    <w:multiLevelType w:val="hybridMultilevel"/>
    <w:lvl w:ilvl="0">
      <w:lvlJc w:val="left"/>
      <w:lvlText w:val="%1."/>
      <w:numFmt w:val="decimal"/>
      <w:start w:val="15"/>
    </w:lvl>
  </w:abstractNum>
  <w:abstractNum w:abstractNumId="160">
    <w:nsid w:val="1421971B"/>
    <w:multiLevelType w:val="hybridMultilevel"/>
    <w:lvl w:ilvl="0">
      <w:lvlJc w:val="left"/>
      <w:lvlText w:val="(%1)"/>
      <w:numFmt w:val="lowerLetter"/>
      <w:start w:val="1"/>
    </w:lvl>
  </w:abstractNum>
  <w:abstractNum w:abstractNumId="161">
    <w:nsid w:val="1F404301"/>
    <w:multiLevelType w:val="hybridMultilevel"/>
    <w:lvl w:ilvl="0">
      <w:lvlJc w:val="left"/>
      <w:lvlText w:val="(%1)"/>
      <w:numFmt w:val="lowerLetter"/>
      <w:start w:val="3"/>
    </w:lvl>
  </w:abstractNum>
  <w:abstractNum w:abstractNumId="162">
    <w:nsid w:val="116E0907"/>
    <w:multiLevelType w:val="hybridMultilevel"/>
    <w:lvl w:ilvl="0">
      <w:lvlJc w:val="left"/>
      <w:lvlText w:val="%1"/>
      <w:numFmt w:val="lowerLetter"/>
      <w:start w:val="1"/>
    </w:lvl>
    <w:lvl w:ilvl="1">
      <w:lvlJc w:val="left"/>
      <w:lvlText w:val="%2."/>
      <w:numFmt w:val="decimal"/>
      <w:start w:val="17"/>
    </w:lvl>
  </w:abstractNum>
  <w:abstractNum w:abstractNumId="163">
    <w:nsid w:val="4B683D0D"/>
    <w:multiLevelType w:val="hybridMultilevel"/>
    <w:lvl w:ilvl="0">
      <w:lvlJc w:val="left"/>
      <w:lvlText w:val="(%1)"/>
      <w:numFmt w:val="lowerLetter"/>
      <w:start w:val="2"/>
    </w:lvl>
    <w:lvl w:ilvl="1">
      <w:lvlJc w:val="left"/>
      <w:lvlText w:val="%2"/>
      <w:numFmt w:val="decimal"/>
      <w:start w:val="1"/>
    </w:lvl>
  </w:abstractNum>
  <w:abstractNum w:abstractNumId="164">
    <w:nsid w:val="76E41D8"/>
    <w:multiLevelType w:val="hybridMultilevel"/>
    <w:lvl w:ilvl="0">
      <w:lvlJc w:val="left"/>
      <w:lvlText w:val="%1."/>
      <w:numFmt w:val="decimal"/>
      <w:start w:val="19"/>
    </w:lvl>
  </w:abstractNum>
  <w:abstractNum w:abstractNumId="165">
    <w:nsid w:val="71DCE0FD"/>
    <w:multiLevelType w:val="hybridMultilevel"/>
    <w:lvl w:ilvl="0">
      <w:lvlJc w:val="left"/>
      <w:lvlText w:val="(%1)"/>
      <w:numFmt w:val="lowerLetter"/>
      <w:start w:val="1"/>
    </w:lvl>
  </w:abstractNum>
  <w:abstractNum w:abstractNumId="166">
    <w:nsid w:val="7906328B"/>
    <w:multiLevelType w:val="hybridMultilevel"/>
    <w:lvl w:ilvl="0">
      <w:lvlJc w:val="left"/>
      <w:lvlText w:val="%1."/>
      <w:numFmt w:val="decimal"/>
      <w:start w:val="20"/>
    </w:lvl>
  </w:abstractNum>
  <w:abstractNum w:abstractNumId="167">
    <w:nsid w:val="72BBC16"/>
    <w:multiLevelType w:val="hybridMultilevel"/>
    <w:lvl w:ilvl="0">
      <w:lvlJc w:val="left"/>
      <w:lvlText w:val="(%1)"/>
      <w:numFmt w:val="lowerLetter"/>
      <w:start w:val="1"/>
    </w:lvl>
  </w:abstractNum>
  <w:abstractNum w:abstractNumId="168">
    <w:nsid w:val="766D98C2"/>
    <w:multiLevelType w:val="hybridMultilevel"/>
    <w:lvl w:ilvl="0">
      <w:lvlJc w:val="left"/>
      <w:lvlText w:val="%1."/>
      <w:numFmt w:val="decimal"/>
      <w:start w:val="22"/>
    </w:lvl>
  </w:abstractNum>
  <w:abstractNum w:abstractNumId="169">
    <w:nsid w:val="3C09D4A1"/>
    <w:multiLevelType w:val="hybridMultilevel"/>
    <w:lvl w:ilvl="0">
      <w:lvlJc w:val="left"/>
      <w:lvlText w:val="%1."/>
      <w:numFmt w:val="decimal"/>
      <w:start w:val="28"/>
    </w:lvl>
  </w:abstractNum>
  <w:abstractNum w:abstractNumId="170">
    <w:nsid w:val="20E45CA4"/>
    <w:multiLevelType w:val="hybridMultilevel"/>
    <w:lvl w:ilvl="0">
      <w:lvlJc w:val="left"/>
      <w:lvlText w:val="%1."/>
      <w:numFmt w:val="decimal"/>
      <w:start w:val="1"/>
    </w:lvl>
  </w:abstractNum>
  <w:abstractNum w:abstractNumId="171">
    <w:nsid w:val="4B232EE3"/>
    <w:multiLevelType w:val="hybridMultilevel"/>
    <w:lvl w:ilvl="0">
      <w:lvlJc w:val="left"/>
      <w:lvlText w:val="(%1)"/>
      <w:numFmt w:val="lowerLetter"/>
      <w:start w:val="1"/>
    </w:lvl>
  </w:abstractNum>
  <w:abstractNum w:abstractNumId="172">
    <w:nsid w:val="159C74CF"/>
    <w:multiLevelType w:val="hybridMultilevel"/>
    <w:lvl w:ilvl="0">
      <w:lvlJc w:val="left"/>
      <w:lvlText w:val="(%1)"/>
      <w:numFmt w:val="lowerRoman"/>
      <w:start w:val="1"/>
    </w:lvl>
  </w:abstractNum>
  <w:abstractNum w:abstractNumId="173">
    <w:nsid w:val="4AD3AFD2"/>
    <w:multiLevelType w:val="hybridMultilevel"/>
    <w:lvl w:ilvl="0">
      <w:lvlJc w:val="left"/>
      <w:lvlText w:val="(%1)"/>
      <w:numFmt w:val="lowerRoman"/>
      <w:start w:val="4"/>
    </w:lvl>
  </w:abstractNum>
  <w:abstractNum w:abstractNumId="174">
    <w:nsid w:val="3CF93092"/>
    <w:multiLevelType w:val="hybridMultilevel"/>
    <w:lvl w:ilvl="0">
      <w:lvlJc w:val="left"/>
      <w:lvlText w:val="(%1)"/>
      <w:numFmt w:val="lowerLetter"/>
      <w:start w:val="5"/>
    </w:lvl>
  </w:abstractNum>
  <w:abstractNum w:abstractNumId="175">
    <w:nsid w:val="6863E8D2"/>
    <w:multiLevelType w:val="hybridMultilevel"/>
    <w:lvl w:ilvl="0">
      <w:lvlJc w:val="left"/>
      <w:lvlText w:val="%1"/>
      <w:numFmt w:val="lowerLetter"/>
      <w:start w:val="1"/>
    </w:lvl>
    <w:lvl w:ilvl="1">
      <w:lvlJc w:val="left"/>
      <w:lvlText w:val="(%2)"/>
      <w:numFmt w:val="lowerLetter"/>
      <w:start w:val="12"/>
    </w:lvl>
  </w:abstractNum>
  <w:abstractNum w:abstractNumId="176">
    <w:nsid w:val="76896198"/>
    <w:multiLevelType w:val="hybridMultilevel"/>
    <w:lvl w:ilvl="0">
      <w:lvlJc w:val="left"/>
      <w:lvlText w:val="(%1)"/>
      <w:numFmt w:val="lowerLetter"/>
      <w:start w:val="35"/>
    </w:lvl>
    <w:lvl w:ilvl="1">
      <w:lvlJc w:val="left"/>
      <w:lvlText w:val="%2"/>
      <w:numFmt w:val="lowerLetter"/>
      <w:start w:val="1"/>
    </w:lvl>
  </w:abstractNum>
  <w:abstractNum w:abstractNumId="177">
    <w:nsid w:val="4365174B"/>
    <w:multiLevelType w:val="hybridMultilevel"/>
    <w:lvl w:ilvl="0">
      <w:lvlJc w:val="left"/>
      <w:lvlText w:val="(%1)"/>
      <w:numFmt w:val="lowerLetter"/>
      <w:start w:val="13"/>
    </w:lvl>
  </w:abstractNum>
  <w:abstractNum w:abstractNumId="178">
    <w:nsid w:val="4A872C35"/>
    <w:multiLevelType w:val="hybridMultilevel"/>
    <w:lvl w:ilvl="0">
      <w:lvlJc w:val="left"/>
      <w:lvlText w:val="%1."/>
      <w:numFmt w:val="decimal"/>
      <w:start w:val="3"/>
    </w:lvl>
  </w:abstractNum>
  <w:abstractNum w:abstractNumId="179">
    <w:nsid w:val="5D5CE761"/>
    <w:multiLevelType w:val="hybridMultilevel"/>
    <w:lvl w:ilvl="0">
      <w:lvlJc w:val="left"/>
      <w:lvlText w:val="%1."/>
      <w:numFmt w:val="decimal"/>
      <w:start w:val="4"/>
    </w:lvl>
  </w:abstractNum>
  <w:abstractNum w:abstractNumId="180">
    <w:nsid w:val="1CD484D5"/>
    <w:multiLevelType w:val="hybridMultilevel"/>
    <w:lvl w:ilvl="0">
      <w:lvlJc w:val="left"/>
      <w:lvlText w:val="(%1)"/>
      <w:numFmt w:val="lowerLetter"/>
      <w:start w:val="1"/>
    </w:lvl>
  </w:abstractNum>
  <w:abstractNum w:abstractNumId="181">
    <w:nsid w:val="21D06255"/>
    <w:multiLevelType w:val="hybridMultilevel"/>
    <w:lvl w:ilvl="0">
      <w:lvlJc w:val="left"/>
      <w:lvlText w:val="%1."/>
      <w:numFmt w:val="decimal"/>
      <w:start w:val="8"/>
    </w:lvl>
  </w:abstractNum>
  <w:abstractNum w:abstractNumId="182">
    <w:nsid w:val="51194ED1"/>
    <w:multiLevelType w:val="hybridMultilevel"/>
    <w:lvl w:ilvl="0">
      <w:lvlJc w:val="left"/>
      <w:lvlText w:val="(%1)"/>
      <w:numFmt w:val="lowerLetter"/>
      <w:start w:val="1"/>
    </w:lvl>
  </w:abstractNum>
  <w:abstractNum w:abstractNumId="183">
    <w:nsid w:val="44E2ED6C"/>
    <w:multiLevelType w:val="hybridMultilevel"/>
    <w:lvl w:ilvl="0">
      <w:lvlJc w:val="left"/>
      <w:lvlText w:val="%1."/>
      <w:numFmt w:val="decimal"/>
      <w:start w:val="9"/>
    </w:lvl>
  </w:abstractNum>
  <w:abstractNum w:abstractNumId="184">
    <w:nsid w:val="2219B33"/>
    <w:multiLevelType w:val="hybridMultilevel"/>
    <w:lvl w:ilvl="0">
      <w:lvlJc w:val="left"/>
      <w:lvlText w:val="(%1)"/>
      <w:numFmt w:val="lowerLetter"/>
      <w:start w:val="1"/>
    </w:lvl>
  </w:abstractNum>
  <w:abstractNum w:abstractNumId="185">
    <w:nsid w:val="773BFBDD"/>
    <w:multiLevelType w:val="hybridMultilevel"/>
    <w:lvl w:ilvl="0">
      <w:lvlJc w:val="left"/>
      <w:lvlText w:val="%1."/>
      <w:numFmt w:val="decimal"/>
      <w:start w:val="10"/>
    </w:lvl>
  </w:abstractNum>
  <w:abstractNum w:abstractNumId="186">
    <w:nsid w:val="2C7C62C2"/>
    <w:multiLevelType w:val="hybridMultilevel"/>
    <w:lvl w:ilvl="0">
      <w:lvlJc w:val="left"/>
      <w:lvlText w:val="(%1)"/>
      <w:numFmt w:val="lowerLetter"/>
      <w:start w:val="1"/>
    </w:lvl>
  </w:abstractNum>
  <w:abstractNum w:abstractNumId="187">
    <w:nsid w:val="1A54D7BC"/>
    <w:multiLevelType w:val="hybridMultilevel"/>
    <w:lvl w:ilvl="0">
      <w:lvlJc w:val="left"/>
      <w:lvlText w:val="(%1)"/>
      <w:numFmt w:val="lowerLetter"/>
      <w:start w:val="2"/>
    </w:lvl>
  </w:abstractNum>
  <w:abstractNum w:abstractNumId="188">
    <w:nsid w:val="42E57EF7"/>
    <w:multiLevelType w:val="hybridMultilevel"/>
    <w:lvl w:ilvl="0">
      <w:lvlJc w:val="left"/>
      <w:lvlText w:val="%1."/>
      <w:numFmt w:val="decimal"/>
      <w:start w:val="11"/>
    </w:lvl>
  </w:abstractNum>
  <w:abstractNum w:abstractNumId="189">
    <w:nsid w:val="33537CED"/>
    <w:multiLevelType w:val="hybridMultilevel"/>
    <w:lvl w:ilvl="0">
      <w:lvlJc w:val="left"/>
      <w:lvlText w:val="(%1)"/>
      <w:numFmt w:val="lowerLetter"/>
      <w:start w:val="1"/>
    </w:lvl>
  </w:abstractNum>
  <w:abstractNum w:abstractNumId="190">
    <w:nsid w:val="27514ADE"/>
    <w:multiLevelType w:val="hybridMultilevel"/>
    <w:lvl w:ilvl="0">
      <w:lvlJc w:val="left"/>
      <w:lvlText w:val="%1."/>
      <w:numFmt w:val="decimal"/>
      <w:start w:val="12"/>
    </w:lvl>
  </w:abstractNum>
  <w:abstractNum w:abstractNumId="191">
    <w:nsid w:val="57071613"/>
    <w:multiLevelType w:val="hybridMultilevel"/>
    <w:lvl w:ilvl="0">
      <w:lvlJc w:val="left"/>
      <w:lvlText w:val="(%1)"/>
      <w:numFmt w:val="lowerLetter"/>
      <w:start w:val="1"/>
    </w:lvl>
  </w:abstractNum>
  <w:abstractNum w:abstractNumId="192">
    <w:nsid w:val="5293BFEF"/>
    <w:multiLevelType w:val="hybridMultilevel"/>
    <w:lvl w:ilvl="0">
      <w:lvlJc w:val="left"/>
      <w:lvlText w:val="(%1)"/>
      <w:numFmt w:val="lowerLetter"/>
      <w:start w:val="3"/>
    </w:lvl>
  </w:abstractNum>
  <w:abstractNum w:abstractNumId="193">
    <w:nsid w:val="38BF53E5"/>
    <w:multiLevelType w:val="hybridMultilevel"/>
    <w:lvl w:ilvl="0">
      <w:lvlJc w:val="left"/>
      <w:lvlText w:val="%1."/>
      <w:numFmt w:val="decimal"/>
      <w:start w:val="13"/>
    </w:lvl>
  </w:abstractNum>
  <w:abstractNum w:abstractNumId="194">
    <w:nsid w:val="226F5320"/>
    <w:multiLevelType w:val="hybridMultilevel"/>
    <w:lvl w:ilvl="0">
      <w:lvlJc w:val="left"/>
      <w:lvlText w:val="(%1)"/>
      <w:numFmt w:val="lowerLetter"/>
      <w:start w:val="1"/>
    </w:lvl>
  </w:abstractNum>
  <w:abstractNum w:abstractNumId="195">
    <w:nsid w:val="5A0201C7"/>
    <w:multiLevelType w:val="hybridMultilevel"/>
    <w:lvl w:ilvl="0">
      <w:lvlJc w:val="left"/>
      <w:lvlText w:val="(%1)"/>
      <w:numFmt w:val="lowerLetter"/>
      <w:start w:val="4"/>
    </w:lvl>
  </w:abstractNum>
  <w:abstractNum w:abstractNumId="196">
    <w:nsid w:val="2A9C34E2"/>
    <w:multiLevelType w:val="hybridMultilevel"/>
    <w:lvl w:ilvl="0">
      <w:lvlJc w:val="left"/>
      <w:lvlText w:val="%1."/>
      <w:numFmt w:val="decimal"/>
      <w:start w:val="14"/>
    </w:lvl>
  </w:abstractNum>
  <w:abstractNum w:abstractNumId="197">
    <w:nsid w:val="1B7585AB"/>
    <w:multiLevelType w:val="hybridMultilevel"/>
    <w:lvl w:ilvl="0">
      <w:lvlJc w:val="left"/>
      <w:lvlText w:val="%1"/>
      <w:numFmt w:val="lowerRoman"/>
      <w:start w:val="1"/>
    </w:lvl>
    <w:lvl w:ilvl="1">
      <w:lvlJc w:val="left"/>
      <w:lvlText w:val="(%2)"/>
      <w:numFmt w:val="lowerLetter"/>
      <w:start w:val="1"/>
    </w:lvl>
  </w:abstractNum>
  <w:abstractNum w:abstractNumId="198">
    <w:nsid w:val="612DBDDD"/>
    <w:multiLevelType w:val="hybridMultilevel"/>
    <w:lvl w:ilvl="0">
      <w:lvlJc w:val="left"/>
      <w:lvlText w:val="(%1)"/>
      <w:numFmt w:val="lowerRoman"/>
      <w:start w:val="5"/>
    </w:lvl>
    <w:lvl w:ilvl="1">
      <w:lvlJc w:val="left"/>
      <w:lvlText w:val="%2"/>
      <w:numFmt w:val="lowerLetter"/>
      <w:start w:val="1"/>
    </w:lvl>
  </w:abstractNum>
  <w:abstractNum w:abstractNumId="199">
    <w:nsid w:val="2109CDA4"/>
    <w:multiLevelType w:val="hybridMultilevel"/>
    <w:lvl w:ilvl="0">
      <w:lvlJc w:val="left"/>
      <w:lvlText w:val="(%1)"/>
      <w:numFmt w:val="lowerRoman"/>
      <w:start w:val="7"/>
    </w:lvl>
    <w:lvl w:ilvl="1">
      <w:lvlJc w:val="left"/>
      <w:lvlText w:val="(%2)"/>
      <w:numFmt w:val="lowerLetter"/>
      <w:start w:val="2"/>
    </w:lvl>
  </w:abstractNum>
  <w:abstractNum w:abstractNumId="200">
    <w:nsid w:val="577F5A4D"/>
    <w:multiLevelType w:val="hybridMultilevel"/>
    <w:lvl w:ilvl="0">
      <w:lvlJc w:val="left"/>
      <w:lvlText w:val="(%1)"/>
      <w:numFmt w:val="lowerLetter"/>
      <w:start w:val="5"/>
    </w:lvl>
  </w:abstractNum>
  <w:abstractNum w:abstractNumId="201">
    <w:nsid w:val="2121A81"/>
    <w:multiLevelType w:val="hybridMultilevel"/>
    <w:lvl w:ilvl="0">
      <w:lvlJc w:val="left"/>
      <w:lvlText w:val="%1."/>
      <w:numFmt w:val="decimal"/>
      <w:start w:val="15"/>
    </w:lvl>
  </w:abstractNum>
  <w:abstractNum w:abstractNumId="202">
    <w:nsid w:val="6C2CFC88"/>
    <w:multiLevelType w:val="hybridMultilevel"/>
    <w:lvl w:ilvl="0">
      <w:lvlJc w:val="left"/>
      <w:lvlText w:val="(%1)"/>
      <w:numFmt w:val="lowerLetter"/>
      <w:start w:val="1"/>
    </w:lvl>
  </w:abstractNum>
  <w:abstractNum w:abstractNumId="203">
    <w:nsid w:val="6D1BCF1C"/>
    <w:multiLevelType w:val="hybridMultilevel"/>
    <w:lvl w:ilvl="0">
      <w:lvlJc w:val="left"/>
      <w:lvlText w:val="(%1)"/>
      <w:numFmt w:val="lowerLetter"/>
      <w:start w:val="3"/>
    </w:lvl>
  </w:abstractNum>
  <w:abstractNum w:abstractNumId="204">
    <w:nsid w:val="4CE5CA53"/>
    <w:multiLevelType w:val="hybridMultilevel"/>
    <w:lvl w:ilvl="0">
      <w:lvlJc w:val="left"/>
      <w:lvlText w:val="%1"/>
      <w:numFmt w:val="lowerLetter"/>
      <w:start w:val="1"/>
    </w:lvl>
    <w:lvl w:ilvl="1">
      <w:lvlJc w:val="left"/>
      <w:lvlText w:val="%2."/>
      <w:numFmt w:val="decimal"/>
      <w:start w:val="17"/>
    </w:lvl>
  </w:abstractNum>
  <w:abstractNum w:abstractNumId="205">
    <w:nsid w:val="29262D1A"/>
    <w:multiLevelType w:val="hybridMultilevel"/>
    <w:lvl w:ilvl="0">
      <w:lvlJc w:val="left"/>
      <w:lvlText w:val="(%1)"/>
      <w:numFmt w:val="lowerLetter"/>
      <w:start w:val="2"/>
    </w:lvl>
    <w:lvl w:ilvl="1">
      <w:lvlJc w:val="left"/>
      <w:lvlText w:val="%2"/>
      <w:numFmt w:val="decimal"/>
      <w:start w:val="1"/>
    </w:lvl>
  </w:abstractNum>
  <w:abstractNum w:abstractNumId="206">
    <w:nsid w:val="557FB7EE"/>
    <w:multiLevelType w:val="hybridMultilevel"/>
    <w:lvl w:ilvl="0">
      <w:lvlJc w:val="left"/>
      <w:lvlText w:val="%1."/>
      <w:numFmt w:val="decimal"/>
      <w:start w:val="19"/>
    </w:lvl>
  </w:abstractNum>
  <w:abstractNum w:abstractNumId="207">
    <w:nsid w:val="436F2BEB"/>
    <w:multiLevelType w:val="hybridMultilevel"/>
    <w:lvl w:ilvl="0">
      <w:lvlJc w:val="left"/>
      <w:lvlText w:val="(%1)"/>
      <w:numFmt w:val="lowerLetter"/>
      <w:start w:val="1"/>
    </w:lvl>
  </w:abstractNum>
  <w:abstractNum w:abstractNumId="208">
    <w:nsid w:val="6C8B4466"/>
    <w:multiLevelType w:val="hybridMultilevel"/>
    <w:lvl w:ilvl="0">
      <w:lvlJc w:val="left"/>
      <w:lvlText w:val="%1."/>
      <w:numFmt w:val="decimal"/>
      <w:start w:val="20"/>
    </w:lvl>
  </w:abstractNum>
  <w:abstractNum w:abstractNumId="209">
    <w:nsid w:val="2006E424"/>
    <w:multiLevelType w:val="hybridMultilevel"/>
    <w:lvl w:ilvl="0">
      <w:lvlJc w:val="left"/>
      <w:lvlText w:val="(%1)"/>
      <w:numFmt w:val="lowerLetter"/>
      <w:start w:val="1"/>
    </w:lvl>
  </w:abstractNum>
  <w:abstractNum w:abstractNumId="210">
    <w:nsid w:val="20CC134C"/>
    <w:multiLevelType w:val="hybridMultilevel"/>
    <w:lvl w:ilvl="0">
      <w:lvlJc w:val="left"/>
      <w:lvlText w:val="%1."/>
      <w:numFmt w:val="decimal"/>
      <w:start w:val="22"/>
    </w:lvl>
  </w:abstractNum>
  <w:abstractNum w:abstractNumId="211">
    <w:nsid w:val="95FC93B"/>
    <w:multiLevelType w:val="hybridMultilevel"/>
    <w:lvl w:ilvl="0">
      <w:lvlJc w:val="left"/>
      <w:lvlText w:val="%1."/>
      <w:numFmt w:val="decimal"/>
      <w:start w:val="28"/>
    </w:lvl>
  </w:abstractNum>
  <w:abstractNum w:abstractNumId="212">
    <w:nsid w:val="41D74679"/>
    <w:multiLevelType w:val="hybridMultilevel"/>
    <w:lvl w:ilvl="0">
      <w:lvlJc w:val="left"/>
      <w:lvlText w:val="%1."/>
      <w:numFmt w:val="decimal"/>
      <w:start w:val="1"/>
    </w:lvl>
  </w:abstractNum>
  <w:abstractNum w:abstractNumId="213">
    <w:nsid w:val="71E5621E"/>
    <w:multiLevelType w:val="hybridMultilevel"/>
    <w:lvl w:ilvl="0">
      <w:lvlJc w:val="left"/>
      <w:lvlText w:val="(%1)"/>
      <w:numFmt w:val="lowerLetter"/>
      <w:start w:val="1"/>
    </w:lvl>
  </w:abstractNum>
  <w:abstractNum w:abstractNumId="214">
    <w:nsid w:val="4E42B6A8"/>
    <w:multiLevelType w:val="hybridMultilevel"/>
    <w:lvl w:ilvl="0">
      <w:lvlJc w:val="left"/>
      <w:lvlText w:val="(%1)"/>
      <w:numFmt w:val="lowerRoman"/>
      <w:start w:val="1"/>
    </w:lvl>
  </w:abstractNum>
  <w:abstractNum w:abstractNumId="215">
    <w:nsid w:val="43F8E1AC"/>
    <w:multiLevelType w:val="hybridMultilevel"/>
    <w:lvl w:ilvl="0">
      <w:lvlJc w:val="left"/>
      <w:lvlText w:val="(%1)"/>
      <w:numFmt w:val="lowerRoman"/>
      <w:start w:val="4"/>
    </w:lvl>
  </w:abstractNum>
  <w:abstractNum w:abstractNumId="216">
    <w:nsid w:val="69215DFB"/>
    <w:multiLevelType w:val="hybridMultilevel"/>
    <w:lvl w:ilvl="0">
      <w:lvlJc w:val="left"/>
      <w:lvlText w:val="(%1)"/>
      <w:numFmt w:val="lowerLetter"/>
      <w:start w:val="5"/>
    </w:lvl>
  </w:abstractNum>
  <w:abstractNum w:abstractNumId="217">
    <w:nsid w:val="7ABF196A"/>
    <w:multiLevelType w:val="hybridMultilevel"/>
    <w:lvl w:ilvl="0">
      <w:lvlJc w:val="left"/>
      <w:lvlText w:val="%1"/>
      <w:numFmt w:val="lowerLetter"/>
      <w:start w:val="1"/>
    </w:lvl>
    <w:lvl w:ilvl="1">
      <w:lvlJc w:val="left"/>
      <w:lvlText w:val="(%2)"/>
      <w:numFmt w:val="lowerLetter"/>
      <w:start w:val="12"/>
    </w:lvl>
  </w:abstractNum>
  <w:abstractNum w:abstractNumId="218">
    <w:nsid w:val="5E4DB968"/>
    <w:multiLevelType w:val="hybridMultilevel"/>
    <w:lvl w:ilvl="0">
      <w:lvlJc w:val="left"/>
      <w:lvlText w:val="(%1)"/>
      <w:numFmt w:val="lowerLetter"/>
      <w:start w:val="35"/>
    </w:lvl>
    <w:lvl w:ilvl="1">
      <w:lvlJc w:val="left"/>
      <w:lvlText w:val="%2"/>
      <w:numFmt w:val="lowerLetter"/>
      <w:start w:val="1"/>
    </w:lvl>
  </w:abstractNum>
  <w:abstractNum w:abstractNumId="219">
    <w:nsid w:val="2C06DCF3"/>
    <w:multiLevelType w:val="hybridMultilevel"/>
    <w:lvl w:ilvl="0">
      <w:lvlJc w:val="left"/>
      <w:lvlText w:val="(%1)"/>
      <w:numFmt w:val="lowerLetter"/>
      <w:start w:val="13"/>
    </w:lvl>
  </w:abstractNum>
  <w:abstractNum w:abstractNumId="220">
    <w:nsid w:val="2E129658"/>
    <w:multiLevelType w:val="hybridMultilevel"/>
    <w:lvl w:ilvl="0">
      <w:lvlJc w:val="left"/>
      <w:lvlText w:val="%1."/>
      <w:numFmt w:val="decimal"/>
      <w:start w:val="3"/>
    </w:lvl>
  </w:abstractNum>
  <w:abstractNum w:abstractNumId="221">
    <w:nsid w:val="59F0446"/>
    <w:multiLevelType w:val="hybridMultilevel"/>
    <w:lvl w:ilvl="0">
      <w:lvlJc w:val="left"/>
      <w:lvlText w:val="%1."/>
      <w:numFmt w:val="decimal"/>
      <w:start w:val="4"/>
    </w:lvl>
  </w:abstractNum>
  <w:abstractNum w:abstractNumId="222">
    <w:nsid w:val="30DF306"/>
    <w:multiLevelType w:val="hybridMultilevel"/>
    <w:lvl w:ilvl="0">
      <w:lvlJc w:val="left"/>
      <w:lvlText w:val="(%1)"/>
      <w:numFmt w:val="lowerLetter"/>
      <w:start w:val="1"/>
    </w:lvl>
  </w:abstractNum>
  <w:abstractNum w:abstractNumId="223">
    <w:nsid w:val="A65647"/>
    <w:multiLevelType w:val="hybridMultilevel"/>
    <w:lvl w:ilvl="0">
      <w:lvlJc w:val="left"/>
      <w:lvlText w:val="%1."/>
      <w:numFmt w:val="decimal"/>
      <w:start w:val="8"/>
    </w:lvl>
  </w:abstractNum>
  <w:abstractNum w:abstractNumId="224">
    <w:nsid w:val="3E5E582B"/>
    <w:multiLevelType w:val="hybridMultilevel"/>
    <w:lvl w:ilvl="0">
      <w:lvlJc w:val="left"/>
      <w:lvlText w:val="(%1)"/>
      <w:numFmt w:val="lowerLetter"/>
      <w:start w:val="1"/>
    </w:lvl>
  </w:abstractNum>
  <w:abstractNum w:abstractNumId="225">
    <w:nsid w:val="257D4626"/>
    <w:multiLevelType w:val="hybridMultilevel"/>
    <w:lvl w:ilvl="0">
      <w:lvlJc w:val="left"/>
      <w:lvlText w:val="%1."/>
      <w:numFmt w:val="decimal"/>
      <w:start w:val="9"/>
    </w:lvl>
  </w:abstractNum>
  <w:abstractNum w:abstractNumId="226">
    <w:nsid w:val="5AA8580E"/>
    <w:multiLevelType w:val="hybridMultilevel"/>
    <w:lvl w:ilvl="0">
      <w:lvlJc w:val="left"/>
      <w:lvlText w:val="(%1)"/>
      <w:numFmt w:val="lowerLetter"/>
      <w:start w:val="1"/>
    </w:lvl>
  </w:abstractNum>
  <w:abstractNum w:abstractNumId="227">
    <w:nsid w:val="68FA8D0D"/>
    <w:multiLevelType w:val="hybridMultilevel"/>
    <w:lvl w:ilvl="0">
      <w:lvlJc w:val="left"/>
      <w:lvlText w:val="%1."/>
      <w:numFmt w:val="decimal"/>
      <w:start w:val="10"/>
    </w:lvl>
  </w:abstractNum>
  <w:abstractNum w:abstractNumId="228">
    <w:nsid w:val="40F2CBD2"/>
    <w:multiLevelType w:val="hybridMultilevel"/>
    <w:lvl w:ilvl="0">
      <w:lvlJc w:val="left"/>
      <w:lvlText w:val="(%1)"/>
      <w:numFmt w:val="lowerLetter"/>
      <w:start w:val="1"/>
    </w:lvl>
  </w:abstractNum>
  <w:abstractNum w:abstractNumId="229">
    <w:nsid w:val="3BD615EB"/>
    <w:multiLevelType w:val="hybridMultilevel"/>
    <w:lvl w:ilvl="0">
      <w:lvlJc w:val="left"/>
      <w:lvlText w:val="(%1)"/>
      <w:numFmt w:val="lowerLetter"/>
      <w:start w:val="2"/>
    </w:lvl>
  </w:abstractNum>
  <w:abstractNum w:abstractNumId="230">
    <w:nsid w:val="A045AB2"/>
    <w:multiLevelType w:val="hybridMultilevel"/>
    <w:lvl w:ilvl="0">
      <w:lvlJc w:val="left"/>
      <w:lvlText w:val="%1."/>
      <w:numFmt w:val="decimal"/>
      <w:start w:val="11"/>
    </w:lvl>
  </w:abstractNum>
  <w:abstractNum w:abstractNumId="231">
    <w:nsid w:val="1872261F"/>
    <w:multiLevelType w:val="hybridMultilevel"/>
    <w:lvl w:ilvl="0">
      <w:lvlJc w:val="left"/>
      <w:lvlText w:val="(%1)"/>
      <w:numFmt w:val="lowerLetter"/>
      <w:start w:val="1"/>
    </w:lvl>
  </w:abstractNum>
  <w:abstractNum w:abstractNumId="232">
    <w:nsid w:val="3DE8306C"/>
    <w:multiLevelType w:val="hybridMultilevel"/>
    <w:lvl w:ilvl="0">
      <w:lvlJc w:val="left"/>
      <w:lvlText w:val="%1."/>
      <w:numFmt w:val="decimal"/>
      <w:start w:val="12"/>
    </w:lvl>
  </w:abstractNum>
  <w:abstractNum w:abstractNumId="233">
    <w:nsid w:val="7631573A"/>
    <w:multiLevelType w:val="hybridMultilevel"/>
    <w:lvl w:ilvl="0">
      <w:lvlJc w:val="left"/>
      <w:lvlText w:val="(%1)"/>
      <w:numFmt w:val="lowerLetter"/>
      <w:start w:val="1"/>
    </w:lvl>
  </w:abstractNum>
  <w:abstractNum w:abstractNumId="234">
    <w:nsid w:val="58DF53B"/>
    <w:multiLevelType w:val="hybridMultilevel"/>
    <w:lvl w:ilvl="0">
      <w:lvlJc w:val="left"/>
      <w:lvlText w:val="(%1)"/>
      <w:numFmt w:val="lowerLetter"/>
      <w:start w:val="3"/>
    </w:lvl>
  </w:abstractNum>
  <w:abstractNum w:abstractNumId="235">
    <w:nsid w:val="ACDFAC0"/>
    <w:multiLevelType w:val="hybridMultilevel"/>
    <w:lvl w:ilvl="0">
      <w:lvlJc w:val="left"/>
      <w:lvlText w:val="%1."/>
      <w:numFmt w:val="decimal"/>
      <w:start w:val="13"/>
    </w:lvl>
  </w:abstractNum>
  <w:abstractNum w:abstractNumId="236">
    <w:nsid w:val="1F578454"/>
    <w:multiLevelType w:val="hybridMultilevel"/>
    <w:lvl w:ilvl="0">
      <w:lvlJc w:val="left"/>
      <w:lvlText w:val="(%1)"/>
      <w:numFmt w:val="lowerLetter"/>
      <w:start w:val="1"/>
    </w:lvl>
  </w:abstractNum>
  <w:abstractNum w:abstractNumId="237">
    <w:nsid w:val="5B0DAD2A"/>
    <w:multiLevelType w:val="hybridMultilevel"/>
    <w:lvl w:ilvl="0">
      <w:lvlJc w:val="left"/>
      <w:lvlText w:val="(%1)"/>
      <w:numFmt w:val="lowerLetter"/>
      <w:start w:val="4"/>
    </w:lvl>
  </w:abstractNum>
  <w:abstractNum w:abstractNumId="238">
    <w:nsid w:val="4E3D26AB"/>
    <w:multiLevelType w:val="hybridMultilevel"/>
    <w:lvl w:ilvl="0">
      <w:lvlJc w:val="left"/>
      <w:lvlText w:val="%1."/>
      <w:numFmt w:val="decimal"/>
      <w:start w:val="14"/>
    </w:lvl>
  </w:abstractNum>
  <w:abstractNum w:abstractNumId="239">
    <w:nsid w:val="BE2C8BA"/>
    <w:multiLevelType w:val="hybridMultilevel"/>
    <w:lvl w:ilvl="0">
      <w:lvlJc w:val="left"/>
      <w:lvlText w:val="%1"/>
      <w:numFmt w:val="lowerRoman"/>
      <w:start w:val="1"/>
    </w:lvl>
    <w:lvl w:ilvl="1">
      <w:lvlJc w:val="left"/>
      <w:lvlText w:val="(%2)"/>
      <w:numFmt w:val="lowerLetter"/>
      <w:start w:val="1"/>
    </w:lvl>
  </w:abstractNum>
  <w:abstractNum w:abstractNumId="240">
    <w:nsid w:val="7B14914E"/>
    <w:multiLevelType w:val="hybridMultilevel"/>
    <w:lvl w:ilvl="0">
      <w:lvlJc w:val="left"/>
      <w:lvlText w:val="(%1)"/>
      <w:numFmt w:val="lowerRoman"/>
      <w:start w:val="5"/>
    </w:lvl>
    <w:lvl w:ilvl="1">
      <w:lvlJc w:val="left"/>
      <w:lvlText w:val="%2"/>
      <w:numFmt w:val="lowerLetter"/>
      <w:start w:val="1"/>
    </w:lvl>
  </w:abstractNum>
  <w:abstractNum w:abstractNumId="241">
    <w:nsid w:val="6F0939F8"/>
    <w:multiLevelType w:val="hybridMultilevel"/>
    <w:lvl w:ilvl="0">
      <w:lvlJc w:val="left"/>
      <w:lvlText w:val="(%1)"/>
      <w:numFmt w:val="lowerRoman"/>
      <w:start w:val="7"/>
    </w:lvl>
    <w:lvl w:ilvl="1">
      <w:lvlJc w:val="left"/>
      <w:lvlText w:val="(%2)"/>
      <w:numFmt w:val="lowerLetter"/>
      <w:start w:val="2"/>
    </w:lvl>
  </w:abstractNum>
  <w:abstractNum w:abstractNumId="242">
    <w:nsid w:val="154291F6"/>
    <w:multiLevelType w:val="hybridMultilevel"/>
    <w:lvl w:ilvl="0">
      <w:lvlJc w:val="left"/>
      <w:lvlText w:val="(%1)"/>
      <w:numFmt w:val="lowerLetter"/>
      <w:start w:val="5"/>
    </w:lvl>
  </w:abstractNum>
  <w:abstractNum w:abstractNumId="243">
    <w:nsid w:val="3CEBD7C7"/>
    <w:multiLevelType w:val="hybridMultilevel"/>
    <w:lvl w:ilvl="0">
      <w:lvlJc w:val="left"/>
      <w:lvlText w:val="%1."/>
      <w:numFmt w:val="decimal"/>
      <w:start w:val="15"/>
    </w:lvl>
  </w:abstractNum>
  <w:abstractNum w:abstractNumId="244">
    <w:nsid w:val="60EE9C16"/>
    <w:multiLevelType w:val="hybridMultilevel"/>
    <w:lvl w:ilvl="0">
      <w:lvlJc w:val="left"/>
      <w:lvlText w:val="(%1)"/>
      <w:numFmt w:val="lowerLetter"/>
      <w:start w:val="1"/>
    </w:lvl>
  </w:abstractNum>
  <w:abstractNum w:abstractNumId="245">
    <w:nsid w:val="6385489E"/>
    <w:multiLevelType w:val="hybridMultilevel"/>
    <w:lvl w:ilvl="0">
      <w:lvlJc w:val="left"/>
      <w:lvlText w:val="(%1)"/>
      <w:numFmt w:val="lowerLetter"/>
      <w:start w:val="3"/>
    </w:lvl>
  </w:abstractNum>
  <w:abstractNum w:abstractNumId="246">
    <w:nsid w:val="E4B973"/>
    <w:multiLevelType w:val="hybridMultilevel"/>
    <w:lvl w:ilvl="0">
      <w:lvlJc w:val="left"/>
      <w:lvlText w:val="%1"/>
      <w:numFmt w:val="lowerLetter"/>
      <w:start w:val="1"/>
    </w:lvl>
    <w:lvl w:ilvl="1">
      <w:lvlJc w:val="left"/>
      <w:lvlText w:val="%2."/>
      <w:numFmt w:val="decimal"/>
      <w:start w:val="17"/>
    </w:lvl>
  </w:abstractNum>
  <w:abstractNum w:abstractNumId="247">
    <w:nsid w:val="4A0FFA11"/>
    <w:multiLevelType w:val="hybridMultilevel"/>
    <w:lvl w:ilvl="0">
      <w:lvlJc w:val="left"/>
      <w:lvlText w:val="(%1)"/>
      <w:numFmt w:val="lowerLetter"/>
      <w:start w:val="2"/>
    </w:lvl>
    <w:lvl w:ilvl="1">
      <w:lvlJc w:val="left"/>
      <w:lvlText w:val="%2"/>
      <w:numFmt w:val="decimal"/>
      <w:start w:val="1"/>
    </w:lvl>
  </w:abstractNum>
  <w:abstractNum w:abstractNumId="248">
    <w:nsid w:val="5E446208"/>
    <w:multiLevelType w:val="hybridMultilevel"/>
    <w:lvl w:ilvl="0">
      <w:lvlJc w:val="left"/>
      <w:lvlText w:val="%1."/>
      <w:numFmt w:val="decimal"/>
      <w:start w:val="19"/>
    </w:lvl>
  </w:abstractNum>
  <w:abstractNum w:abstractNumId="249">
    <w:nsid w:val="5F3272DB"/>
    <w:multiLevelType w:val="hybridMultilevel"/>
    <w:lvl w:ilvl="0">
      <w:lvlJc w:val="left"/>
      <w:lvlText w:val="(%1)"/>
      <w:numFmt w:val="lowerLetter"/>
      <w:start w:val="1"/>
    </w:lvl>
  </w:abstractNum>
  <w:abstractNum w:abstractNumId="250">
    <w:nsid w:val="7616D704"/>
    <w:multiLevelType w:val="hybridMultilevel"/>
    <w:lvl w:ilvl="0">
      <w:lvlJc w:val="left"/>
      <w:lvlText w:val="%1."/>
      <w:numFmt w:val="decimal"/>
      <w:start w:val="20"/>
    </w:lvl>
  </w:abstractNum>
  <w:abstractNum w:abstractNumId="251">
    <w:nsid w:val="C56F860"/>
    <w:multiLevelType w:val="hybridMultilevel"/>
    <w:lvl w:ilvl="0">
      <w:lvlJc w:val="left"/>
      <w:lvlText w:val="(%1)"/>
      <w:numFmt w:val="lowerLetter"/>
      <w:start w:val="1"/>
    </w:lvl>
  </w:abstractNum>
  <w:abstractNum w:abstractNumId="252">
    <w:nsid w:val="64D17722"/>
    <w:multiLevelType w:val="hybridMultilevel"/>
    <w:lvl w:ilvl="0">
      <w:lvlJc w:val="left"/>
      <w:lvlText w:val="%1."/>
      <w:numFmt w:val="decimal"/>
      <w:start w:val="22"/>
    </w:lvl>
  </w:abstractNum>
  <w:abstractNum w:abstractNumId="253">
    <w:nsid w:val="7924CA0A"/>
    <w:multiLevelType w:val="hybridMultilevel"/>
    <w:lvl w:ilvl="0">
      <w:lvlJc w:val="left"/>
      <w:lvlText w:val="%1."/>
      <w:numFmt w:val="decimal"/>
      <w:start w:val="28"/>
    </w:lvl>
  </w:abstractNum>
  <w:abstractNum w:abstractNumId="254">
    <w:nsid w:val="CFD4EA7"/>
    <w:multiLevelType w:val="hybridMultilevel"/>
    <w:lvl w:ilvl="0">
      <w:lvlJc w:val="left"/>
      <w:lvlText w:val="%1."/>
      <w:numFmt w:val="decimal"/>
      <w:start w:val="1"/>
    </w:lvl>
  </w:abstractNum>
  <w:abstractNum w:abstractNumId="255">
    <w:nsid w:val="232FCF4D"/>
    <w:multiLevelType w:val="hybridMultilevel"/>
    <w:lvl w:ilvl="0">
      <w:lvlJc w:val="left"/>
      <w:lvlText w:val="(%1)"/>
      <w:numFmt w:val="lowerLetter"/>
      <w:start w:val="1"/>
    </w:lvl>
  </w:abstractNum>
  <w:abstractNum w:abstractNumId="256">
    <w:nsid w:val="1EA21031"/>
    <w:multiLevelType w:val="hybridMultilevel"/>
    <w:lvl w:ilvl="0">
      <w:lvlJc w:val="left"/>
      <w:lvlText w:val="(%1)"/>
      <w:numFmt w:val="lowerRoman"/>
      <w:start w:val="1"/>
    </w:lvl>
  </w:abstractNum>
  <w:abstractNum w:abstractNumId="257">
    <w:nsid w:val="67A5A6B5"/>
    <w:multiLevelType w:val="hybridMultilevel"/>
    <w:lvl w:ilvl="0">
      <w:lvlJc w:val="left"/>
      <w:lvlText w:val="(%1)"/>
      <w:numFmt w:val="lowerRoman"/>
      <w:start w:val="4"/>
    </w:lvl>
  </w:abstractNum>
  <w:abstractNum w:abstractNumId="258">
    <w:nsid w:val="C2A5C5B"/>
    <w:multiLevelType w:val="hybridMultilevel"/>
    <w:lvl w:ilvl="0">
      <w:lvlJc w:val="left"/>
      <w:lvlText w:val="(%1)"/>
      <w:numFmt w:val="lowerLetter"/>
      <w:start w:val="5"/>
    </w:lvl>
  </w:abstractNum>
  <w:abstractNum w:abstractNumId="259">
    <w:nsid w:val="5F94DC03"/>
    <w:multiLevelType w:val="hybridMultilevel"/>
    <w:lvl w:ilvl="0">
      <w:lvlJc w:val="left"/>
      <w:lvlText w:val="%1"/>
      <w:numFmt w:val="lowerLetter"/>
      <w:start w:val="1"/>
    </w:lvl>
    <w:lvl w:ilvl="1">
      <w:lvlJc w:val="left"/>
      <w:lvlText w:val="(%2)"/>
      <w:numFmt w:val="lowerLetter"/>
      <w:start w:val="12"/>
    </w:lvl>
  </w:abstractNum>
  <w:abstractNum w:abstractNumId="260">
    <w:nsid w:val="237BBCA0"/>
    <w:multiLevelType w:val="hybridMultilevel"/>
    <w:lvl w:ilvl="0">
      <w:lvlJc w:val="left"/>
      <w:lvlText w:val="(%1)"/>
      <w:numFmt w:val="lowerLetter"/>
      <w:start w:val="35"/>
    </w:lvl>
    <w:lvl w:ilvl="1">
      <w:lvlJc w:val="left"/>
      <w:lvlText w:val="%2"/>
      <w:numFmt w:val="lowerLetter"/>
      <w:start w:val="1"/>
    </w:lvl>
  </w:abstractNum>
  <w:abstractNum w:abstractNumId="261">
    <w:nsid w:val="162EB70D"/>
    <w:multiLevelType w:val="hybridMultilevel"/>
    <w:lvl w:ilvl="0">
      <w:lvlJc w:val="left"/>
      <w:lvlText w:val="(%1)"/>
      <w:numFmt w:val="lowerLetter"/>
      <w:start w:val="13"/>
    </w:lvl>
  </w:abstractNum>
  <w:abstractNum w:abstractNumId="262">
    <w:nsid w:val="78070222"/>
    <w:multiLevelType w:val="hybridMultilevel"/>
    <w:lvl w:ilvl="0">
      <w:lvlJc w:val="left"/>
      <w:lvlText w:val="%1."/>
      <w:numFmt w:val="decimal"/>
      <w:start w:val="3"/>
    </w:lvl>
  </w:abstractNum>
  <w:abstractNum w:abstractNumId="263">
    <w:nsid w:val="6163ED0D"/>
    <w:multiLevelType w:val="hybridMultilevel"/>
    <w:lvl w:ilvl="0">
      <w:lvlJc w:val="left"/>
      <w:lvlText w:val="%1."/>
      <w:numFmt w:val="decimal"/>
      <w:start w:val="4"/>
    </w:lvl>
  </w:abstractNum>
  <w:abstractNum w:abstractNumId="264">
    <w:nsid w:val="C600E47"/>
    <w:multiLevelType w:val="hybridMultilevel"/>
    <w:lvl w:ilvl="0">
      <w:lvlJc w:val="left"/>
      <w:lvlText w:val="(%1)"/>
      <w:numFmt w:val="lowerLetter"/>
      <w:start w:val="1"/>
    </w:lvl>
  </w:abstractNum>
  <w:abstractNum w:abstractNumId="265">
    <w:nsid w:val="7D94F75D"/>
    <w:multiLevelType w:val="hybridMultilevel"/>
    <w:lvl w:ilvl="0">
      <w:lvlJc w:val="left"/>
      <w:lvlText w:val="%1."/>
      <w:numFmt w:val="decimal"/>
      <w:start w:val="8"/>
    </w:lvl>
  </w:abstractNum>
  <w:abstractNum w:abstractNumId="266">
    <w:nsid w:val="6C31E7CD"/>
    <w:multiLevelType w:val="hybridMultilevel"/>
    <w:lvl w:ilvl="0">
      <w:lvlJc w:val="left"/>
      <w:lvlText w:val="(%1)"/>
      <w:numFmt w:val="lowerLetter"/>
      <w:start w:val="1"/>
    </w:lvl>
  </w:abstractNum>
  <w:abstractNum w:abstractNumId="267">
    <w:nsid w:val="2BB7929B"/>
    <w:multiLevelType w:val="hybridMultilevel"/>
    <w:lvl w:ilvl="0">
      <w:lvlJc w:val="left"/>
      <w:lvlText w:val="%1."/>
      <w:numFmt w:val="decimal"/>
      <w:start w:val="9"/>
    </w:lvl>
  </w:abstractNum>
  <w:abstractNum w:abstractNumId="268">
    <w:nsid w:val="58A2A487"/>
    <w:multiLevelType w:val="hybridMultilevel"/>
    <w:lvl w:ilvl="0">
      <w:lvlJc w:val="left"/>
      <w:lvlText w:val="(%1)"/>
      <w:numFmt w:val="lowerLetter"/>
      <w:start w:val="1"/>
    </w:lvl>
  </w:abstractNum>
  <w:abstractNum w:abstractNumId="269">
    <w:nsid w:val="3A6F0E78"/>
    <w:multiLevelType w:val="hybridMultilevel"/>
    <w:lvl w:ilvl="0">
      <w:lvlJc w:val="left"/>
      <w:lvlText w:val="%1."/>
      <w:numFmt w:val="decimal"/>
      <w:start w:val="10"/>
    </w:lvl>
  </w:abstractNum>
  <w:abstractNum w:abstractNumId="270">
    <w:nsid w:val="379A5B56"/>
    <w:multiLevelType w:val="hybridMultilevel"/>
    <w:lvl w:ilvl="0">
      <w:lvlJc w:val="left"/>
      <w:lvlText w:val="(%1)"/>
      <w:numFmt w:val="lowerLetter"/>
      <w:start w:val="1"/>
    </w:lvl>
  </w:abstractNum>
  <w:abstractNum w:abstractNumId="271">
    <w:nsid w:val="53B735D5"/>
    <w:multiLevelType w:val="hybridMultilevel"/>
    <w:lvl w:ilvl="0">
      <w:lvlJc w:val="left"/>
      <w:lvlText w:val="(%1)"/>
      <w:numFmt w:val="lowerLetter"/>
      <w:start w:val="2"/>
    </w:lvl>
  </w:abstractNum>
  <w:abstractNum w:abstractNumId="272">
    <w:nsid w:val="29784870"/>
    <w:multiLevelType w:val="hybridMultilevel"/>
    <w:lvl w:ilvl="0">
      <w:lvlJc w:val="left"/>
      <w:lvlText w:val="%1."/>
      <w:numFmt w:val="decimal"/>
      <w:start w:val="11"/>
    </w:lvl>
  </w:abstractNum>
  <w:abstractNum w:abstractNumId="273">
    <w:nsid w:val="4CDCED4C"/>
    <w:multiLevelType w:val="hybridMultilevel"/>
    <w:lvl w:ilvl="0">
      <w:lvlJc w:val="left"/>
      <w:lvlText w:val="(%1)"/>
      <w:numFmt w:val="lowerLetter"/>
      <w:start w:val="1"/>
    </w:lvl>
  </w:abstractNum>
  <w:abstractNum w:abstractNumId="274">
    <w:nsid w:val="10A30D9C"/>
    <w:multiLevelType w:val="hybridMultilevel"/>
    <w:lvl w:ilvl="0">
      <w:lvlJc w:val="left"/>
      <w:lvlText w:val="%1."/>
      <w:numFmt w:val="decimal"/>
      <w:start w:val="12"/>
    </w:lvl>
  </w:abstractNum>
  <w:abstractNum w:abstractNumId="275">
    <w:nsid w:val="A66E486"/>
    <w:multiLevelType w:val="hybridMultilevel"/>
    <w:lvl w:ilvl="0">
      <w:lvlJc w:val="left"/>
      <w:lvlText w:val="(%1)"/>
      <w:numFmt w:val="lowerLetter"/>
      <w:start w:val="1"/>
    </w:lvl>
  </w:abstractNum>
  <w:abstractNum w:abstractNumId="276">
    <w:nsid w:val="306235EA"/>
    <w:multiLevelType w:val="hybridMultilevel"/>
    <w:lvl w:ilvl="0">
      <w:lvlJc w:val="left"/>
      <w:lvlText w:val="(%1)"/>
      <w:numFmt w:val="lowerLetter"/>
      <w:start w:val="3"/>
    </w:lvl>
  </w:abstractNum>
  <w:abstractNum w:abstractNumId="277">
    <w:nsid w:val="1187C70F"/>
    <w:multiLevelType w:val="hybridMultilevel"/>
    <w:lvl w:ilvl="0">
      <w:lvlJc w:val="left"/>
      <w:lvlText w:val="%1."/>
      <w:numFmt w:val="decimal"/>
      <w:start w:val="13"/>
    </w:lvl>
  </w:abstractNum>
  <w:abstractNum w:abstractNumId="278">
    <w:nsid w:val="5476DE98"/>
    <w:multiLevelType w:val="hybridMultilevel"/>
    <w:lvl w:ilvl="0">
      <w:lvlJc w:val="left"/>
      <w:lvlText w:val="(%1)"/>
      <w:numFmt w:val="lowerLetter"/>
      <w:start w:val="1"/>
    </w:lvl>
  </w:abstractNum>
  <w:abstractNum w:abstractNumId="279">
    <w:nsid w:val="EA697F2"/>
    <w:multiLevelType w:val="hybridMultilevel"/>
    <w:lvl w:ilvl="0">
      <w:lvlJc w:val="left"/>
      <w:lvlText w:val="(%1)"/>
      <w:numFmt w:val="lowerLetter"/>
      <w:start w:val="4"/>
    </w:lvl>
  </w:abstractNum>
  <w:abstractNum w:abstractNumId="280">
    <w:nsid w:val="70BA39EB"/>
    <w:multiLevelType w:val="hybridMultilevel"/>
    <w:lvl w:ilvl="0">
      <w:lvlJc w:val="left"/>
      <w:lvlText w:val="%1."/>
      <w:numFmt w:val="decimal"/>
      <w:start w:val="14"/>
    </w:lvl>
  </w:abstractNum>
  <w:abstractNum w:abstractNumId="281">
    <w:nsid w:val="4A8DB59C"/>
    <w:multiLevelType w:val="hybridMultilevel"/>
    <w:lvl w:ilvl="0">
      <w:lvlJc w:val="left"/>
      <w:lvlText w:val="%1"/>
      <w:numFmt w:val="lowerRoman"/>
      <w:start w:val="1"/>
    </w:lvl>
    <w:lvl w:ilvl="1">
      <w:lvlJc w:val="left"/>
      <w:lvlText w:val="(%2)"/>
      <w:numFmt w:val="lowerLetter"/>
      <w:start w:val="1"/>
    </w:lvl>
  </w:abstractNum>
  <w:abstractNum w:abstractNumId="282">
    <w:nsid w:val="1AFD9053"/>
    <w:multiLevelType w:val="hybridMultilevel"/>
    <w:lvl w:ilvl="0">
      <w:lvlJc w:val="left"/>
      <w:lvlText w:val="(%1)"/>
      <w:numFmt w:val="lowerRoman"/>
      <w:start w:val="5"/>
    </w:lvl>
    <w:lvl w:ilvl="1">
      <w:lvlJc w:val="left"/>
      <w:lvlText w:val="%2"/>
      <w:numFmt w:val="lowerLetter"/>
      <w:start w:val="1"/>
    </w:lvl>
  </w:abstractNum>
  <w:abstractNum w:abstractNumId="283">
    <w:nsid w:val="558BB10D"/>
    <w:multiLevelType w:val="hybridMultilevel"/>
    <w:lvl w:ilvl="0">
      <w:lvlJc w:val="left"/>
      <w:lvlText w:val="(%1)"/>
      <w:numFmt w:val="lowerRoman"/>
      <w:start w:val="7"/>
    </w:lvl>
    <w:lvl w:ilvl="1">
      <w:lvlJc w:val="left"/>
      <w:lvlText w:val="(%2)"/>
      <w:numFmt w:val="lowerLetter"/>
      <w:start w:val="2"/>
    </w:lvl>
  </w:abstractNum>
  <w:abstractNum w:abstractNumId="284">
    <w:nsid w:val="43B27FA7"/>
    <w:multiLevelType w:val="hybridMultilevel"/>
    <w:lvl w:ilvl="0">
      <w:lvlJc w:val="left"/>
      <w:lvlText w:val="(%1)"/>
      <w:numFmt w:val="lowerLetter"/>
      <w:start w:val="5"/>
    </w:lvl>
  </w:abstractNum>
  <w:abstractNum w:abstractNumId="285">
    <w:nsid w:val="27FADEFA"/>
    <w:multiLevelType w:val="hybridMultilevel"/>
    <w:lvl w:ilvl="0">
      <w:lvlJc w:val="left"/>
      <w:lvlText w:val="%1."/>
      <w:numFmt w:val="decimal"/>
      <w:start w:val="15"/>
    </w:lvl>
  </w:abstractNum>
  <w:abstractNum w:abstractNumId="286">
    <w:nsid w:val="78BB805A"/>
    <w:multiLevelType w:val="hybridMultilevel"/>
    <w:lvl w:ilvl="0">
      <w:lvlJc w:val="left"/>
      <w:lvlText w:val="(%1)"/>
      <w:numFmt w:val="lowerLetter"/>
      <w:start w:val="1"/>
    </w:lvl>
  </w:abstractNum>
  <w:abstractNum w:abstractNumId="287">
    <w:nsid w:val="62548FD8"/>
    <w:multiLevelType w:val="hybridMultilevel"/>
    <w:lvl w:ilvl="0">
      <w:lvlJc w:val="left"/>
      <w:lvlText w:val="(%1)"/>
      <w:numFmt w:val="lowerLetter"/>
      <w:start w:val="3"/>
    </w:lvl>
  </w:abstractNum>
  <w:abstractNum w:abstractNumId="288">
    <w:nsid w:val="FA085B0"/>
    <w:multiLevelType w:val="hybridMultilevel"/>
    <w:lvl w:ilvl="0">
      <w:lvlJc w:val="left"/>
      <w:lvlText w:val="%1"/>
      <w:numFmt w:val="lowerLetter"/>
      <w:start w:val="1"/>
    </w:lvl>
    <w:lvl w:ilvl="1">
      <w:lvlJc w:val="left"/>
      <w:lvlText w:val="%2."/>
      <w:numFmt w:val="decimal"/>
      <w:start w:val="17"/>
    </w:lvl>
  </w:abstractNum>
  <w:abstractNum w:abstractNumId="289">
    <w:nsid w:val="4E5DCB5"/>
    <w:multiLevelType w:val="hybridMultilevel"/>
    <w:lvl w:ilvl="0">
      <w:lvlJc w:val="left"/>
      <w:lvlText w:val="(%1)"/>
      <w:numFmt w:val="lowerLetter"/>
      <w:start w:val="2"/>
    </w:lvl>
    <w:lvl w:ilvl="1">
      <w:lvlJc w:val="left"/>
      <w:lvlText w:val="%2"/>
      <w:numFmt w:val="decimal"/>
      <w:start w:val="1"/>
    </w:lvl>
  </w:abstractNum>
  <w:abstractNum w:abstractNumId="290">
    <w:nsid w:val="41E96BDB"/>
    <w:multiLevelType w:val="hybridMultilevel"/>
    <w:lvl w:ilvl="0">
      <w:lvlJc w:val="left"/>
      <w:lvlText w:val="%1."/>
      <w:numFmt w:val="decimal"/>
      <w:start w:val="19"/>
    </w:lvl>
  </w:abstractNum>
  <w:abstractNum w:abstractNumId="291">
    <w:nsid w:val="331C4250"/>
    <w:multiLevelType w:val="hybridMultilevel"/>
    <w:lvl w:ilvl="0">
      <w:lvlJc w:val="left"/>
      <w:lvlText w:val="(%1)"/>
      <w:numFmt w:val="lowerLetter"/>
      <w:start w:val="1"/>
    </w:lvl>
  </w:abstractNum>
  <w:abstractNum w:abstractNumId="292">
    <w:nsid w:val="1B1493C2"/>
    <w:multiLevelType w:val="hybridMultilevel"/>
    <w:lvl w:ilvl="0">
      <w:lvlJc w:val="left"/>
      <w:lvlText w:val="%1."/>
      <w:numFmt w:val="decimal"/>
      <w:start w:val="20"/>
    </w:lvl>
  </w:abstractNum>
  <w:abstractNum w:abstractNumId="293">
    <w:nsid w:val="39F06DFD"/>
    <w:multiLevelType w:val="hybridMultilevel"/>
    <w:lvl w:ilvl="0">
      <w:lvlJc w:val="left"/>
      <w:lvlText w:val="(%1)"/>
      <w:numFmt w:val="lowerLetter"/>
      <w:start w:val="1"/>
    </w:lvl>
  </w:abstractNum>
  <w:abstractNum w:abstractNumId="294">
    <w:nsid w:val="14802F5D"/>
    <w:multiLevelType w:val="hybridMultilevel"/>
    <w:lvl w:ilvl="0">
      <w:lvlJc w:val="left"/>
      <w:lvlText w:val="%1."/>
      <w:numFmt w:val="decimal"/>
      <w:start w:val="22"/>
    </w:lvl>
  </w:abstractNum>
  <w:abstractNum w:abstractNumId="295">
    <w:nsid w:val="2774A209"/>
    <w:multiLevelType w:val="hybridMultilevel"/>
    <w:lvl w:ilvl="0">
      <w:lvlJc w:val="left"/>
      <w:lvlText w:val="%1."/>
      <w:numFmt w:val="decimal"/>
      <w:start w:val="28"/>
    </w:lvl>
  </w:abstractNum>
  <w:abstractNum w:abstractNumId="296">
    <w:nsid w:val="3785655A"/>
    <w:multiLevelType w:val="hybridMultilevel"/>
    <w:lvl w:ilvl="0">
      <w:lvlJc w:val="left"/>
      <w:lvlText w:val="%1."/>
      <w:numFmt w:val="decimal"/>
      <w:start w:val="1"/>
    </w:lvl>
  </w:abstractNum>
  <w:abstractNum w:abstractNumId="297">
    <w:nsid w:val="B2172A"/>
    <w:multiLevelType w:val="hybridMultilevel"/>
    <w:lvl w:ilvl="0">
      <w:lvlJc w:val="left"/>
      <w:lvlText w:val="(%1)"/>
      <w:numFmt w:val="lowerLetter"/>
      <w:start w:val="1"/>
    </w:lvl>
  </w:abstractNum>
  <w:abstractNum w:abstractNumId="298">
    <w:nsid w:val="532C34A5"/>
    <w:multiLevelType w:val="hybridMultilevel"/>
    <w:lvl w:ilvl="0">
      <w:lvlJc w:val="left"/>
      <w:lvlText w:val="(%1)"/>
      <w:numFmt w:val="lowerRoman"/>
      <w:start w:val="1"/>
    </w:lvl>
  </w:abstractNum>
  <w:abstractNum w:abstractNumId="299">
    <w:nsid w:val="102809E2"/>
    <w:multiLevelType w:val="hybridMultilevel"/>
    <w:lvl w:ilvl="0">
      <w:lvlJc w:val="left"/>
      <w:lvlText w:val="(%1)"/>
      <w:numFmt w:val="lowerRoman"/>
      <w:start w:val="4"/>
    </w:lvl>
  </w:abstractNum>
  <w:abstractNum w:abstractNumId="300">
    <w:nsid w:val="3B2125A3"/>
    <w:multiLevelType w:val="hybridMultilevel"/>
    <w:lvl w:ilvl="0">
      <w:lvlJc w:val="left"/>
      <w:lvlText w:val="(%1)"/>
      <w:numFmt w:val="lowerLetter"/>
      <w:start w:val="5"/>
    </w:lvl>
  </w:abstractNum>
  <w:abstractNum w:abstractNumId="301">
    <w:nsid w:val="AC68FFB"/>
    <w:multiLevelType w:val="hybridMultilevel"/>
    <w:lvl w:ilvl="0">
      <w:lvlJc w:val="left"/>
      <w:lvlText w:val="%1"/>
      <w:numFmt w:val="lowerLetter"/>
      <w:start w:val="1"/>
    </w:lvl>
    <w:lvl w:ilvl="1">
      <w:lvlJc w:val="left"/>
      <w:lvlText w:val="(%2)"/>
      <w:numFmt w:val="lowerLetter"/>
      <w:start w:val="12"/>
    </w:lvl>
  </w:abstractNum>
  <w:abstractNum w:abstractNumId="302">
    <w:nsid w:val="63DF3FB7"/>
    <w:multiLevelType w:val="hybridMultilevel"/>
    <w:lvl w:ilvl="0">
      <w:lvlJc w:val="left"/>
      <w:lvlText w:val="(%1)"/>
      <w:numFmt w:val="lowerLetter"/>
      <w:start w:val="35"/>
    </w:lvl>
    <w:lvl w:ilvl="1">
      <w:lvlJc w:val="left"/>
      <w:lvlText w:val="%2"/>
      <w:numFmt w:val="lowerLetter"/>
      <w:start w:val="1"/>
    </w:lvl>
  </w:abstractNum>
  <w:abstractNum w:abstractNumId="303">
    <w:nsid w:val="64996E13"/>
    <w:multiLevelType w:val="hybridMultilevel"/>
    <w:lvl w:ilvl="0">
      <w:lvlJc w:val="left"/>
      <w:lvlText w:val="(%1)"/>
      <w:numFmt w:val="lowerLetter"/>
      <w:start w:val="13"/>
    </w:lvl>
  </w:abstractNum>
  <w:abstractNum w:abstractNumId="304">
    <w:nsid w:val="57A37D47"/>
    <w:multiLevelType w:val="hybridMultilevel"/>
    <w:lvl w:ilvl="0">
      <w:lvlJc w:val="left"/>
      <w:lvlText w:val="%1."/>
      <w:numFmt w:val="decimal"/>
      <w:start w:val="3"/>
    </w:lvl>
  </w:abstractNum>
  <w:abstractNum w:abstractNumId="305">
    <w:nsid w:val="74824D54"/>
    <w:multiLevelType w:val="hybridMultilevel"/>
    <w:lvl w:ilvl="0">
      <w:lvlJc w:val="left"/>
      <w:lvlText w:val="%1."/>
      <w:numFmt w:val="decimal"/>
      <w:start w:val="4"/>
    </w:lvl>
  </w:abstractNum>
  <w:abstractNum w:abstractNumId="306">
    <w:nsid w:val="6F00529A"/>
    <w:multiLevelType w:val="hybridMultilevel"/>
    <w:lvl w:ilvl="0">
      <w:lvlJc w:val="left"/>
      <w:lvlText w:val="(%1)"/>
      <w:numFmt w:val="lowerLetter"/>
      <w:start w:val="1"/>
    </w:lvl>
  </w:abstractNum>
  <w:abstractNum w:abstractNumId="307">
    <w:nsid w:val="805B331"/>
    <w:multiLevelType w:val="hybridMultilevel"/>
    <w:lvl w:ilvl="0">
      <w:lvlJc w:val="left"/>
      <w:lvlText w:val="%1."/>
      <w:numFmt w:val="decimal"/>
      <w:start w:val="8"/>
    </w:lvl>
  </w:abstractNum>
  <w:abstractNum w:abstractNumId="308">
    <w:nsid w:val="60A1463"/>
    <w:multiLevelType w:val="hybridMultilevel"/>
    <w:lvl w:ilvl="0">
      <w:lvlJc w:val="left"/>
      <w:lvlText w:val="(%1)"/>
      <w:numFmt w:val="lowerLetter"/>
      <w:start w:val="1"/>
    </w:lvl>
  </w:abstractNum>
  <w:abstractNum w:abstractNumId="309">
    <w:nsid w:val="43773132"/>
    <w:multiLevelType w:val="hybridMultilevel"/>
    <w:lvl w:ilvl="0">
      <w:lvlJc w:val="left"/>
      <w:lvlText w:val="%1."/>
      <w:numFmt w:val="decimal"/>
      <w:start w:val="9"/>
    </w:lvl>
  </w:abstractNum>
  <w:abstractNum w:abstractNumId="310">
    <w:nsid w:val="16AC4B23"/>
    <w:multiLevelType w:val="hybridMultilevel"/>
    <w:lvl w:ilvl="0">
      <w:lvlJc w:val="left"/>
      <w:lvlText w:val="(%1)"/>
      <w:numFmt w:val="lowerLetter"/>
      <w:start w:val="1"/>
    </w:lvl>
  </w:abstractNum>
  <w:abstractNum w:abstractNumId="311">
    <w:nsid w:val="76C44E4E"/>
    <w:multiLevelType w:val="hybridMultilevel"/>
    <w:lvl w:ilvl="0">
      <w:lvlJc w:val="left"/>
      <w:lvlText w:val="%1."/>
      <w:numFmt w:val="decimal"/>
      <w:start w:val="10"/>
    </w:lvl>
  </w:abstractNum>
  <w:abstractNum w:abstractNumId="312">
    <w:nsid w:val="E04E6CE"/>
    <w:multiLevelType w:val="hybridMultilevel"/>
    <w:lvl w:ilvl="0">
      <w:lvlJc w:val="left"/>
      <w:lvlText w:val="(%1)"/>
      <w:numFmt w:val="lowerLetter"/>
      <w:start w:val="1"/>
    </w:lvl>
  </w:abstractNum>
  <w:abstractNum w:abstractNumId="313">
    <w:nsid w:val="31A9DB76"/>
    <w:multiLevelType w:val="hybridMultilevel"/>
    <w:lvl w:ilvl="0">
      <w:lvlJc w:val="left"/>
      <w:lvlText w:val="(%1)"/>
      <w:numFmt w:val="lowerLetter"/>
      <w:start w:val="2"/>
    </w:lvl>
  </w:abstractNum>
  <w:abstractNum w:abstractNumId="314">
    <w:nsid w:val="4C4FFF5B"/>
    <w:multiLevelType w:val="hybridMultilevel"/>
    <w:lvl w:ilvl="0">
      <w:lvlJc w:val="left"/>
      <w:lvlText w:val="%1."/>
      <w:numFmt w:val="decimal"/>
      <w:start w:val="11"/>
    </w:lvl>
  </w:abstractNum>
  <w:abstractNum w:abstractNumId="315">
    <w:nsid w:val="51B76675"/>
    <w:multiLevelType w:val="hybridMultilevel"/>
    <w:lvl w:ilvl="0">
      <w:lvlJc w:val="left"/>
      <w:lvlText w:val="(%1)"/>
      <w:numFmt w:val="lowerLetter"/>
      <w:start w:val="1"/>
    </w:lvl>
  </w:abstractNum>
  <w:abstractNum w:abstractNumId="316">
    <w:nsid w:val="59A4BA71"/>
    <w:multiLevelType w:val="hybridMultilevel"/>
    <w:lvl w:ilvl="0">
      <w:lvlJc w:val="left"/>
      <w:lvlText w:val="%1."/>
      <w:numFmt w:val="decimal"/>
      <w:start w:val="12"/>
    </w:lvl>
  </w:abstractNum>
  <w:abstractNum w:abstractNumId="317">
    <w:nsid w:val="450B7FB6"/>
    <w:multiLevelType w:val="hybridMultilevel"/>
    <w:lvl w:ilvl="0">
      <w:lvlJc w:val="left"/>
      <w:lvlText w:val="(%1)"/>
      <w:numFmt w:val="lowerLetter"/>
      <w:start w:val="1"/>
    </w:lvl>
  </w:abstractNum>
  <w:abstractNum w:abstractNumId="318">
    <w:nsid w:val="340BF64D"/>
    <w:multiLevelType w:val="hybridMultilevel"/>
    <w:lvl w:ilvl="0">
      <w:lvlJc w:val="left"/>
      <w:lvlText w:val="(%1)"/>
      <w:numFmt w:val="lowerLetter"/>
      <w:start w:val="3"/>
    </w:lvl>
  </w:abstractNum>
  <w:abstractNum w:abstractNumId="319">
    <w:nsid w:val="69454021"/>
    <w:multiLevelType w:val="hybridMultilevel"/>
    <w:lvl w:ilvl="0">
      <w:lvlJc w:val="left"/>
      <w:lvlText w:val="%1."/>
      <w:numFmt w:val="decimal"/>
      <w:start w:val="13"/>
    </w:lvl>
  </w:abstractNum>
  <w:abstractNum w:abstractNumId="320">
    <w:nsid w:val="49F15C6B"/>
    <w:multiLevelType w:val="hybridMultilevel"/>
    <w:lvl w:ilvl="0">
      <w:lvlJc w:val="left"/>
      <w:lvlText w:val="(%1)"/>
      <w:numFmt w:val="lowerLetter"/>
      <w:start w:val="1"/>
    </w:lvl>
  </w:abstractNum>
  <w:abstractNum w:abstractNumId="321">
    <w:nsid w:val="75F56228"/>
    <w:multiLevelType w:val="hybridMultilevel"/>
    <w:lvl w:ilvl="0">
      <w:lvlJc w:val="left"/>
      <w:lvlText w:val="(%1)"/>
      <w:numFmt w:val="lowerLetter"/>
      <w:start w:val="4"/>
    </w:lvl>
  </w:abstractNum>
  <w:abstractNum w:abstractNumId="322">
    <w:nsid w:val="1C618271"/>
    <w:multiLevelType w:val="hybridMultilevel"/>
    <w:lvl w:ilvl="0">
      <w:lvlJc w:val="left"/>
      <w:lvlText w:val="%1."/>
      <w:numFmt w:val="decimal"/>
      <w:start w:val="14"/>
    </w:lvl>
  </w:abstractNum>
  <w:abstractNum w:abstractNumId="323">
    <w:nsid w:val="6505F02E"/>
    <w:multiLevelType w:val="hybridMultilevel"/>
    <w:lvl w:ilvl="0">
      <w:lvlJc w:val="left"/>
      <w:lvlText w:val="%1"/>
      <w:numFmt w:val="lowerRoman"/>
      <w:start w:val="1"/>
    </w:lvl>
    <w:lvl w:ilvl="1">
      <w:lvlJc w:val="left"/>
      <w:lvlText w:val="(%2)"/>
      <w:numFmt w:val="lowerLetter"/>
      <w:start w:val="1"/>
    </w:lvl>
  </w:abstractNum>
  <w:abstractNum w:abstractNumId="324">
    <w:nsid w:val="2FE5D025"/>
    <w:multiLevelType w:val="hybridMultilevel"/>
    <w:lvl w:ilvl="0">
      <w:lvlJc w:val="left"/>
      <w:lvlText w:val="(%1)"/>
      <w:numFmt w:val="lowerRoman"/>
      <w:start w:val="5"/>
    </w:lvl>
    <w:lvl w:ilvl="1">
      <w:lvlJc w:val="left"/>
      <w:lvlText w:val="%2"/>
      <w:numFmt w:val="lowerLetter"/>
      <w:start w:val="1"/>
    </w:lvl>
  </w:abstractNum>
  <w:abstractNum w:abstractNumId="325">
    <w:nsid w:val="30E1B1CF"/>
    <w:multiLevelType w:val="hybridMultilevel"/>
    <w:lvl w:ilvl="0">
      <w:lvlJc w:val="left"/>
      <w:lvlText w:val="(%1)"/>
      <w:numFmt w:val="lowerRoman"/>
      <w:start w:val="7"/>
    </w:lvl>
    <w:lvl w:ilvl="1">
      <w:lvlJc w:val="left"/>
      <w:lvlText w:val="(%2)"/>
      <w:numFmt w:val="lowerLetter"/>
      <w:start w:val="2"/>
    </w:lvl>
  </w:abstractNum>
  <w:abstractNum w:abstractNumId="326">
    <w:nsid w:val="C7A9237"/>
    <w:multiLevelType w:val="hybridMultilevel"/>
    <w:lvl w:ilvl="0">
      <w:lvlJc w:val="left"/>
      <w:lvlText w:val="(%1)"/>
      <w:numFmt w:val="lowerLetter"/>
      <w:start w:val="5"/>
    </w:lvl>
  </w:abstractNum>
  <w:abstractNum w:abstractNumId="327">
    <w:nsid w:val="676B3580"/>
    <w:multiLevelType w:val="hybridMultilevel"/>
    <w:lvl w:ilvl="0">
      <w:lvlJc w:val="left"/>
      <w:lvlText w:val="%1."/>
      <w:numFmt w:val="decimal"/>
      <w:start w:val="15"/>
    </w:lvl>
  </w:abstractNum>
  <w:abstractNum w:abstractNumId="328">
    <w:nsid w:val="3193C8F9"/>
    <w:multiLevelType w:val="hybridMultilevel"/>
    <w:lvl w:ilvl="0">
      <w:lvlJc w:val="left"/>
      <w:lvlText w:val="(%1)"/>
      <w:numFmt w:val="lowerLetter"/>
      <w:start w:val="1"/>
    </w:lvl>
  </w:abstractNum>
  <w:abstractNum w:abstractNumId="329">
    <w:nsid w:val="5FA6C6DC"/>
    <w:multiLevelType w:val="hybridMultilevel"/>
    <w:lvl w:ilvl="0">
      <w:lvlJc w:val="left"/>
      <w:lvlText w:val="(%1)"/>
      <w:numFmt w:val="lowerLetter"/>
      <w:start w:val="3"/>
    </w:lvl>
  </w:abstractNum>
  <w:abstractNum w:abstractNumId="330">
    <w:nsid w:val="77933F62"/>
    <w:multiLevelType w:val="hybridMultilevel"/>
    <w:lvl w:ilvl="0">
      <w:lvlJc w:val="left"/>
      <w:lvlText w:val="%1"/>
      <w:numFmt w:val="lowerLetter"/>
      <w:start w:val="1"/>
    </w:lvl>
    <w:lvl w:ilvl="1">
      <w:lvlJc w:val="left"/>
      <w:lvlText w:val="%2."/>
      <w:numFmt w:val="decimal"/>
      <w:start w:val="17"/>
    </w:lvl>
  </w:abstractNum>
  <w:abstractNum w:abstractNumId="331">
    <w:nsid w:val="6CB4EE9C"/>
    <w:multiLevelType w:val="hybridMultilevel"/>
    <w:lvl w:ilvl="0">
      <w:lvlJc w:val="left"/>
      <w:lvlText w:val="(%1)"/>
      <w:numFmt w:val="lowerLetter"/>
      <w:start w:val="2"/>
    </w:lvl>
    <w:lvl w:ilvl="1">
      <w:lvlJc w:val="left"/>
      <w:lvlText w:val="%2"/>
      <w:numFmt w:val="decimal"/>
      <w:start w:val="1"/>
    </w:lvl>
  </w:abstractNum>
  <w:abstractNum w:abstractNumId="332">
    <w:nsid w:val="6A6D56D7"/>
    <w:multiLevelType w:val="hybridMultilevel"/>
    <w:lvl w:ilvl="0">
      <w:lvlJc w:val="left"/>
      <w:lvlText w:val="%1."/>
      <w:numFmt w:val="decimal"/>
      <w:start w:val="19"/>
    </w:lvl>
  </w:abstractNum>
  <w:abstractNum w:abstractNumId="333">
    <w:nsid w:val="5B727F19"/>
    <w:multiLevelType w:val="hybridMultilevel"/>
    <w:lvl w:ilvl="0">
      <w:lvlJc w:val="left"/>
      <w:lvlText w:val="(%1)"/>
      <w:numFmt w:val="lowerLetter"/>
      <w:start w:val="1"/>
    </w:lvl>
  </w:abstractNum>
  <w:abstractNum w:abstractNumId="334">
    <w:nsid w:val="514E5CB0"/>
    <w:multiLevelType w:val="hybridMultilevel"/>
    <w:lvl w:ilvl="0">
      <w:lvlJc w:val="left"/>
      <w:lvlText w:val="%1."/>
      <w:numFmt w:val="decimal"/>
      <w:start w:val="20"/>
    </w:lvl>
  </w:abstractNum>
  <w:abstractNum w:abstractNumId="335">
    <w:nsid w:val="4210D41E"/>
    <w:multiLevelType w:val="hybridMultilevel"/>
    <w:lvl w:ilvl="0">
      <w:lvlJc w:val="left"/>
      <w:lvlText w:val="(%1)"/>
      <w:numFmt w:val="lowerLetter"/>
      <w:start w:val="1"/>
    </w:lvl>
  </w:abstractNum>
  <w:abstractNum w:abstractNumId="336">
    <w:nsid w:val="4FF4CC6D"/>
    <w:multiLevelType w:val="hybridMultilevel"/>
    <w:lvl w:ilvl="0">
      <w:lvlJc w:val="left"/>
      <w:lvlText w:val="%1."/>
      <w:numFmt w:val="decimal"/>
      <w:start w:val="22"/>
    </w:lvl>
  </w:abstractNum>
  <w:abstractNum w:abstractNumId="337">
    <w:nsid w:val="404EAF4A"/>
    <w:multiLevelType w:val="hybridMultilevel"/>
    <w:lvl w:ilvl="0">
      <w:lvlJc w:val="left"/>
      <w:lvlText w:val="%1."/>
      <w:numFmt w:val="decimal"/>
      <w:start w:val="28"/>
    </w:lvl>
  </w:abstractNum>
  <w:abstractNum w:abstractNumId="338">
    <w:nsid w:val="4A16874F"/>
    <w:multiLevelType w:val="hybridMultilevel"/>
    <w:lvl w:ilvl="0">
      <w:lvlJc w:val="left"/>
      <w:lvlText w:val="%1."/>
      <w:numFmt w:val="decimal"/>
      <w:start w:val="1"/>
    </w:lvl>
  </w:abstractNum>
  <w:abstractNum w:abstractNumId="339">
    <w:nsid w:val="55FEE0D1"/>
    <w:multiLevelType w:val="hybridMultilevel"/>
    <w:lvl w:ilvl="0">
      <w:lvlJc w:val="left"/>
      <w:lvlText w:val="(%1)"/>
      <w:numFmt w:val="lowerLetter"/>
      <w:start w:val="1"/>
    </w:lvl>
  </w:abstractNum>
  <w:abstractNum w:abstractNumId="340">
    <w:nsid w:val="3C5E07C"/>
    <w:multiLevelType w:val="hybridMultilevel"/>
    <w:lvl w:ilvl="0">
      <w:lvlJc w:val="left"/>
      <w:lvlText w:val="(%1)"/>
      <w:numFmt w:val="lowerRoman"/>
      <w:start w:val="1"/>
    </w:lvl>
  </w:abstractNum>
  <w:abstractNum w:abstractNumId="341">
    <w:nsid w:val="60C2D273"/>
    <w:multiLevelType w:val="hybridMultilevel"/>
    <w:lvl w:ilvl="0">
      <w:lvlJc w:val="left"/>
      <w:lvlText w:val="(%1)"/>
      <w:numFmt w:val="lowerRoman"/>
      <w:start w:val="4"/>
    </w:lvl>
  </w:abstractNum>
  <w:abstractNum w:abstractNumId="342">
    <w:nsid w:val="4CC32F1F"/>
    <w:multiLevelType w:val="hybridMultilevel"/>
    <w:lvl w:ilvl="0">
      <w:lvlJc w:val="left"/>
      <w:lvlText w:val="(%1)"/>
      <w:numFmt w:val="lowerLetter"/>
      <w:start w:val="5"/>
    </w:lvl>
  </w:abstractNum>
  <w:abstractNum w:abstractNumId="343">
    <w:nsid w:val="11CAC74A"/>
    <w:multiLevelType w:val="hybridMultilevel"/>
    <w:lvl w:ilvl="0">
      <w:lvlJc w:val="left"/>
      <w:lvlText w:val="%1"/>
      <w:numFmt w:val="lowerLetter"/>
      <w:start w:val="1"/>
    </w:lvl>
    <w:lvl w:ilvl="1">
      <w:lvlJc w:val="left"/>
      <w:lvlText w:val="(%2)"/>
      <w:numFmt w:val="lowerLetter"/>
      <w:start w:val="12"/>
    </w:lvl>
  </w:abstractNum>
  <w:abstractNum w:abstractNumId="344">
    <w:nsid w:val="126CADE9"/>
    <w:multiLevelType w:val="hybridMultilevel"/>
    <w:lvl w:ilvl="0">
      <w:lvlJc w:val="left"/>
      <w:lvlText w:val="(%1)"/>
      <w:numFmt w:val="lowerLetter"/>
      <w:start w:val="35"/>
    </w:lvl>
    <w:lvl w:ilvl="1">
      <w:lvlJc w:val="left"/>
      <w:lvlText w:val="%2"/>
      <w:numFmt w:val="lowerLetter"/>
      <w:start w:val="1"/>
    </w:lvl>
  </w:abstractNum>
  <w:abstractNum w:abstractNumId="345">
    <w:nsid w:val="19132E7B"/>
    <w:multiLevelType w:val="hybridMultilevel"/>
    <w:lvl w:ilvl="0">
      <w:lvlJc w:val="left"/>
      <w:lvlText w:val="(%1)"/>
      <w:numFmt w:val="lowerLetter"/>
      <w:start w:val="13"/>
    </w:lvl>
  </w:abstractNum>
  <w:abstractNum w:abstractNumId="346">
    <w:nsid w:val="63822DC0"/>
    <w:multiLevelType w:val="hybridMultilevel"/>
    <w:lvl w:ilvl="0">
      <w:lvlJc w:val="left"/>
      <w:lvlText w:val="%1."/>
      <w:numFmt w:val="decimal"/>
      <w:start w:val="3"/>
    </w:lvl>
  </w:abstractNum>
  <w:abstractNum w:abstractNumId="347">
    <w:nsid w:val="6C11685A"/>
    <w:multiLevelType w:val="hybridMultilevel"/>
    <w:lvl w:ilvl="0">
      <w:lvlJc w:val="left"/>
      <w:lvlText w:val="%1."/>
      <w:numFmt w:val="decimal"/>
      <w:start w:val="4"/>
    </w:lvl>
  </w:abstractNum>
  <w:abstractNum w:abstractNumId="348">
    <w:nsid w:val="5E1EAE31"/>
    <w:multiLevelType w:val="hybridMultilevel"/>
    <w:lvl w:ilvl="0">
      <w:lvlJc w:val="left"/>
      <w:lvlText w:val="(%1)"/>
      <w:numFmt w:val="lowerLetter"/>
      <w:start w:val="1"/>
    </w:lvl>
  </w:abstractNum>
  <w:abstractNum w:abstractNumId="349">
    <w:nsid w:val="178E240D"/>
    <w:multiLevelType w:val="hybridMultilevel"/>
    <w:lvl w:ilvl="0">
      <w:lvlJc w:val="left"/>
      <w:lvlText w:val="%1."/>
      <w:numFmt w:val="decimal"/>
      <w:start w:val="8"/>
    </w:lvl>
  </w:abstractNum>
  <w:abstractNum w:abstractNumId="350">
    <w:nsid w:val="5556A87B"/>
    <w:multiLevelType w:val="hybridMultilevel"/>
    <w:lvl w:ilvl="0">
      <w:lvlJc w:val="left"/>
      <w:lvlText w:val="(%1)"/>
      <w:numFmt w:val="lowerLetter"/>
      <w:start w:val="1"/>
    </w:lvl>
  </w:abstractNum>
  <w:abstractNum w:abstractNumId="351">
    <w:nsid w:val="28100A9C"/>
    <w:multiLevelType w:val="hybridMultilevel"/>
    <w:lvl w:ilvl="0">
      <w:lvlJc w:val="left"/>
      <w:lvlText w:val="%1."/>
      <w:numFmt w:val="decimal"/>
      <w:start w:val="9"/>
    </w:lvl>
  </w:abstractNum>
  <w:abstractNum w:abstractNumId="352">
    <w:nsid w:val="D838636"/>
    <w:multiLevelType w:val="hybridMultilevel"/>
    <w:lvl w:ilvl="0">
      <w:lvlJc w:val="left"/>
      <w:lvlText w:val="(%1)"/>
      <w:numFmt w:val="lowerLetter"/>
      <w:start w:val="1"/>
    </w:lvl>
  </w:abstractNum>
  <w:abstractNum w:abstractNumId="353">
    <w:nsid w:val="71B82AED"/>
    <w:multiLevelType w:val="hybridMultilevel"/>
    <w:lvl w:ilvl="0">
      <w:lvlJc w:val="left"/>
      <w:lvlText w:val="%1."/>
      <w:numFmt w:val="decimal"/>
      <w:start w:val="10"/>
    </w:lvl>
  </w:abstractNum>
  <w:abstractNum w:abstractNumId="354">
    <w:nsid w:val="D15FACA"/>
    <w:multiLevelType w:val="hybridMultilevel"/>
    <w:lvl w:ilvl="0">
      <w:lvlJc w:val="left"/>
      <w:lvlText w:val="(%1)"/>
      <w:numFmt w:val="lowerLetter"/>
      <w:start w:val="1"/>
    </w:lvl>
  </w:abstractNum>
  <w:abstractNum w:abstractNumId="355">
    <w:nsid w:val="3D69565B"/>
    <w:multiLevelType w:val="hybridMultilevel"/>
    <w:lvl w:ilvl="0">
      <w:lvlJc w:val="left"/>
      <w:lvlText w:val="(%1)"/>
      <w:numFmt w:val="lowerLetter"/>
      <w:start w:val="2"/>
    </w:lvl>
  </w:abstractNum>
  <w:abstractNum w:abstractNumId="356">
    <w:nsid w:val="2299DCBC"/>
    <w:multiLevelType w:val="hybridMultilevel"/>
    <w:lvl w:ilvl="0">
      <w:lvlJc w:val="left"/>
      <w:lvlText w:val="%1."/>
      <w:numFmt w:val="decimal"/>
      <w:start w:val="11"/>
    </w:lvl>
  </w:abstractNum>
  <w:abstractNum w:abstractNumId="357">
    <w:nsid w:val="19908D02"/>
    <w:multiLevelType w:val="hybridMultilevel"/>
    <w:lvl w:ilvl="0">
      <w:lvlJc w:val="left"/>
      <w:lvlText w:val="(%1)"/>
      <w:numFmt w:val="lowerLetter"/>
      <w:start w:val="1"/>
    </w:lvl>
  </w:abstractNum>
  <w:abstractNum w:abstractNumId="358">
    <w:nsid w:val="24D48BDB"/>
    <w:multiLevelType w:val="hybridMultilevel"/>
    <w:lvl w:ilvl="0">
      <w:lvlJc w:val="left"/>
      <w:lvlText w:val="%1."/>
      <w:numFmt w:val="decimal"/>
      <w:start w:val="12"/>
    </w:lvl>
  </w:abstractNum>
  <w:abstractNum w:abstractNumId="359">
    <w:nsid w:val="542DA5B5"/>
    <w:multiLevelType w:val="hybridMultilevel"/>
    <w:lvl w:ilvl="0">
      <w:lvlJc w:val="left"/>
      <w:lvlText w:val="(%1)"/>
      <w:numFmt w:val="lowerLetter"/>
      <w:start w:val="1"/>
    </w:lvl>
  </w:abstractNum>
  <w:abstractNum w:abstractNumId="360">
    <w:nsid w:val="793753DE"/>
    <w:multiLevelType w:val="hybridMultilevel"/>
    <w:lvl w:ilvl="0">
      <w:lvlJc w:val="left"/>
      <w:lvlText w:val="(%1)"/>
      <w:numFmt w:val="lowerLetter"/>
      <w:start w:val="3"/>
    </w:lvl>
  </w:abstractNum>
  <w:abstractNum w:abstractNumId="361">
    <w:nsid w:val="1C67CB3D"/>
    <w:multiLevelType w:val="hybridMultilevel"/>
    <w:lvl w:ilvl="0">
      <w:lvlJc w:val="left"/>
      <w:lvlText w:val="%1."/>
      <w:numFmt w:val="decimal"/>
      <w:start w:val="13"/>
    </w:lvl>
  </w:abstractNum>
  <w:abstractNum w:abstractNumId="362">
    <w:nsid w:val="40E29452"/>
    <w:multiLevelType w:val="hybridMultilevel"/>
    <w:lvl w:ilvl="0">
      <w:lvlJc w:val="left"/>
      <w:lvlText w:val="(%1)"/>
      <w:numFmt w:val="lowerLetter"/>
      <w:start w:val="1"/>
    </w:lvl>
  </w:abstractNum>
  <w:abstractNum w:abstractNumId="363">
    <w:nsid w:val="63A4AAB6"/>
    <w:multiLevelType w:val="hybridMultilevel"/>
    <w:lvl w:ilvl="0">
      <w:lvlJc w:val="left"/>
      <w:lvlText w:val="(%1)"/>
      <w:numFmt w:val="lowerLetter"/>
      <w:start w:val="4"/>
    </w:lvl>
  </w:abstractNum>
  <w:abstractNum w:abstractNumId="364">
    <w:nsid w:val="77DA4A57"/>
    <w:multiLevelType w:val="hybridMultilevel"/>
    <w:lvl w:ilvl="0">
      <w:lvlJc w:val="left"/>
      <w:lvlText w:val="%1."/>
      <w:numFmt w:val="decimal"/>
      <w:start w:val="14"/>
    </w:lvl>
  </w:abstractNum>
  <w:abstractNum w:abstractNumId="365">
    <w:nsid w:val="1230F102"/>
    <w:multiLevelType w:val="hybridMultilevel"/>
    <w:lvl w:ilvl="0">
      <w:lvlJc w:val="left"/>
      <w:lvlText w:val="%1"/>
      <w:numFmt w:val="lowerRoman"/>
      <w:start w:val="1"/>
    </w:lvl>
    <w:lvl w:ilvl="1">
      <w:lvlJc w:val="left"/>
      <w:lvlText w:val="(%2)"/>
      <w:numFmt w:val="lowerLetter"/>
      <w:start w:val="1"/>
    </w:lvl>
  </w:abstractNum>
  <w:abstractNum w:abstractNumId="366">
    <w:nsid w:val="25B57ED4"/>
    <w:multiLevelType w:val="hybridMultilevel"/>
    <w:lvl w:ilvl="0">
      <w:lvlJc w:val="left"/>
      <w:lvlText w:val="(%1)"/>
      <w:numFmt w:val="lowerRoman"/>
      <w:start w:val="5"/>
    </w:lvl>
    <w:lvl w:ilvl="1">
      <w:lvlJc w:val="left"/>
      <w:lvlText w:val="%2"/>
      <w:numFmt w:val="lowerLetter"/>
      <w:start w:val="1"/>
    </w:lvl>
  </w:abstractNum>
  <w:abstractNum w:abstractNumId="367">
    <w:nsid w:val="47CF16C4"/>
    <w:multiLevelType w:val="hybridMultilevel"/>
    <w:lvl w:ilvl="0">
      <w:lvlJc w:val="left"/>
      <w:lvlText w:val="(%1)"/>
      <w:numFmt w:val="lowerRoman"/>
      <w:start w:val="7"/>
    </w:lvl>
    <w:lvl w:ilvl="1">
      <w:lvlJc w:val="left"/>
      <w:lvlText w:val="(%2)"/>
      <w:numFmt w:val="lowerLetter"/>
      <w:start w:val="2"/>
    </w:lvl>
  </w:abstractNum>
  <w:abstractNum w:abstractNumId="368">
    <w:nsid w:val="527FA04C"/>
    <w:multiLevelType w:val="hybridMultilevel"/>
    <w:lvl w:ilvl="0">
      <w:lvlJc w:val="left"/>
      <w:lvlText w:val="(%1)"/>
      <w:numFmt w:val="lowerLetter"/>
      <w:start w:val="5"/>
    </w:lvl>
  </w:abstractNum>
  <w:abstractNum w:abstractNumId="369">
    <w:nsid w:val="6FCC0624"/>
    <w:multiLevelType w:val="hybridMultilevel"/>
    <w:lvl w:ilvl="0">
      <w:lvlJc w:val="left"/>
      <w:lvlText w:val="%1."/>
      <w:numFmt w:val="decimal"/>
      <w:start w:val="15"/>
    </w:lvl>
  </w:abstractNum>
  <w:abstractNum w:abstractNumId="370">
    <w:nsid w:val="1DCDF795"/>
    <w:multiLevelType w:val="hybridMultilevel"/>
    <w:lvl w:ilvl="0">
      <w:lvlJc w:val="left"/>
      <w:lvlText w:val="(%1)"/>
      <w:numFmt w:val="lowerLetter"/>
      <w:start w:val="1"/>
    </w:lvl>
  </w:abstractNum>
  <w:abstractNum w:abstractNumId="371">
    <w:nsid w:val="564580C8"/>
    <w:multiLevelType w:val="hybridMultilevel"/>
    <w:lvl w:ilvl="0">
      <w:lvlJc w:val="left"/>
      <w:lvlText w:val="(%1)"/>
      <w:numFmt w:val="lowerLetter"/>
      <w:start w:val="3"/>
    </w:lvl>
  </w:abstractNum>
  <w:abstractNum w:abstractNumId="372">
    <w:nsid w:val="508ED897"/>
    <w:multiLevelType w:val="hybridMultilevel"/>
    <w:lvl w:ilvl="0">
      <w:lvlJc w:val="left"/>
      <w:lvlText w:val="%1"/>
      <w:numFmt w:val="lowerLetter"/>
      <w:start w:val="1"/>
    </w:lvl>
    <w:lvl w:ilvl="1">
      <w:lvlJc w:val="left"/>
      <w:lvlText w:val="%2."/>
      <w:numFmt w:val="decimal"/>
      <w:start w:val="17"/>
    </w:lvl>
  </w:abstractNum>
  <w:abstractNum w:abstractNumId="373">
    <w:nsid w:val="6A9126B5"/>
    <w:multiLevelType w:val="hybridMultilevel"/>
    <w:lvl w:ilvl="0">
      <w:lvlJc w:val="left"/>
      <w:lvlText w:val="(%1)"/>
      <w:numFmt w:val="lowerLetter"/>
      <w:start w:val="2"/>
    </w:lvl>
    <w:lvl w:ilvl="1">
      <w:lvlJc w:val="left"/>
      <w:lvlText w:val="%2"/>
      <w:numFmt w:val="decimal"/>
      <w:start w:val="1"/>
    </w:lvl>
  </w:abstractNum>
  <w:abstractNum w:abstractNumId="374">
    <w:nsid w:val="68104812"/>
    <w:multiLevelType w:val="hybridMultilevel"/>
    <w:lvl w:ilvl="0">
      <w:lvlJc w:val="left"/>
      <w:lvlText w:val="%1."/>
      <w:numFmt w:val="decimal"/>
      <w:start w:val="19"/>
    </w:lvl>
  </w:abstractNum>
  <w:abstractNum w:abstractNumId="375">
    <w:nsid w:val="62FB8680"/>
    <w:multiLevelType w:val="hybridMultilevel"/>
    <w:lvl w:ilvl="0">
      <w:lvlJc w:val="left"/>
      <w:lvlText w:val="(%1)"/>
      <w:numFmt w:val="lowerLetter"/>
      <w:start w:val="1"/>
    </w:lvl>
  </w:abstractNum>
  <w:abstractNum w:abstractNumId="376">
    <w:nsid w:val="3A45530"/>
    <w:multiLevelType w:val="hybridMultilevel"/>
    <w:lvl w:ilvl="0">
      <w:lvlJc w:val="left"/>
      <w:lvlText w:val="%1."/>
      <w:numFmt w:val="decimal"/>
      <w:start w:val="20"/>
    </w:lvl>
  </w:abstractNum>
  <w:abstractNum w:abstractNumId="377">
    <w:nsid w:val="4B9275D2"/>
    <w:multiLevelType w:val="hybridMultilevel"/>
    <w:lvl w:ilvl="0">
      <w:lvlJc w:val="left"/>
      <w:lvlText w:val="(%1)"/>
      <w:numFmt w:val="lowerLetter"/>
      <w:start w:val="1"/>
    </w:lvl>
  </w:abstractNum>
  <w:abstractNum w:abstractNumId="378">
    <w:nsid w:val="4F0CEEDB"/>
    <w:multiLevelType w:val="hybridMultilevel"/>
    <w:lvl w:ilvl="0">
      <w:lvlJc w:val="left"/>
      <w:lvlText w:val="%1."/>
      <w:numFmt w:val="decimal"/>
      <w:start w:val="22"/>
    </w:lvl>
  </w:abstractNum>
  <w:abstractNum w:abstractNumId="379">
    <w:nsid w:val="61C30361"/>
    <w:multiLevelType w:val="hybridMultilevel"/>
    <w:lvl w:ilvl="0">
      <w:lvlJc w:val="left"/>
      <w:lvlText w:val="%1."/>
      <w:numFmt w:val="decimal"/>
      <w:start w:val="28"/>
    </w:lvl>
  </w:abstractNum>
  <w:abstractNum w:abstractNumId="380">
    <w:nsid w:val="632099E0"/>
    <w:multiLevelType w:val="hybridMultilevel"/>
    <w:lvl w:ilvl="0">
      <w:lvlJc w:val="left"/>
      <w:lvlText w:val="%1."/>
      <w:numFmt w:val="decimal"/>
      <w:start w:val="1"/>
    </w:lvl>
  </w:abstractNum>
  <w:abstractNum w:abstractNumId="381">
    <w:nsid w:val="24639756"/>
    <w:multiLevelType w:val="hybridMultilevel"/>
    <w:lvl w:ilvl="0">
      <w:lvlJc w:val="left"/>
      <w:lvlText w:val="(%1)"/>
      <w:numFmt w:val="lowerLetter"/>
      <w:start w:val="1"/>
    </w:lvl>
  </w:abstractNum>
  <w:abstractNum w:abstractNumId="382">
    <w:nsid w:val="9D30DFD"/>
    <w:multiLevelType w:val="hybridMultilevel"/>
    <w:lvl w:ilvl="0">
      <w:lvlJc w:val="left"/>
      <w:lvlText w:val="(%1)"/>
      <w:numFmt w:val="lowerRoman"/>
      <w:start w:val="1"/>
    </w:lvl>
  </w:abstractNum>
  <w:abstractNum w:abstractNumId="383">
    <w:nsid w:val="70A42016"/>
    <w:multiLevelType w:val="hybridMultilevel"/>
    <w:lvl w:ilvl="0">
      <w:lvlJc w:val="left"/>
      <w:lvlText w:val="(%1)"/>
      <w:numFmt w:val="lowerRoman"/>
      <w:start w:val="4"/>
    </w:lvl>
  </w:abstractNum>
  <w:abstractNum w:abstractNumId="384">
    <w:nsid w:val="161BC243"/>
    <w:multiLevelType w:val="hybridMultilevel"/>
    <w:lvl w:ilvl="0">
      <w:lvlJc w:val="left"/>
      <w:lvlText w:val="(%1)"/>
      <w:numFmt w:val="lowerLetter"/>
      <w:start w:val="5"/>
    </w:lvl>
  </w:abstractNum>
  <w:abstractNum w:abstractNumId="385">
    <w:nsid w:val="16E908C8"/>
    <w:multiLevelType w:val="hybridMultilevel"/>
    <w:lvl w:ilvl="0">
      <w:lvlJc w:val="left"/>
      <w:lvlText w:val="%1"/>
      <w:numFmt w:val="lowerLetter"/>
      <w:start w:val="1"/>
    </w:lvl>
    <w:lvl w:ilvl="1">
      <w:lvlJc w:val="left"/>
      <w:lvlText w:val="(%2)"/>
      <w:numFmt w:val="lowerLetter"/>
      <w:start w:val="12"/>
    </w:lvl>
  </w:abstractNum>
  <w:abstractNum w:abstractNumId="386">
    <w:nsid w:val="2E0D7671"/>
    <w:multiLevelType w:val="hybridMultilevel"/>
    <w:lvl w:ilvl="0">
      <w:lvlJc w:val="left"/>
      <w:lvlText w:val="(%1)"/>
      <w:numFmt w:val="lowerLetter"/>
      <w:start w:val="35"/>
    </w:lvl>
    <w:lvl w:ilvl="1">
      <w:lvlJc w:val="left"/>
      <w:lvlText w:val="%2"/>
      <w:numFmt w:val="lowerLetter"/>
      <w:start w:val="1"/>
    </w:lvl>
  </w:abstractNum>
  <w:abstractNum w:abstractNumId="387">
    <w:nsid w:val="38B59EFF"/>
    <w:multiLevelType w:val="hybridMultilevel"/>
    <w:lvl w:ilvl="0">
      <w:lvlJc w:val="left"/>
      <w:lvlText w:val="(%1)"/>
      <w:numFmt w:val="lowerLetter"/>
      <w:start w:val="13"/>
    </w:lvl>
  </w:abstractNum>
  <w:abstractNum w:abstractNumId="388">
    <w:nsid w:val="307995CA"/>
    <w:multiLevelType w:val="hybridMultilevel"/>
    <w:lvl w:ilvl="0">
      <w:lvlJc w:val="left"/>
      <w:lvlText w:val="%1."/>
      <w:numFmt w:val="decimal"/>
      <w:start w:val="3"/>
    </w:lvl>
  </w:abstractNum>
  <w:abstractNum w:abstractNumId="389">
    <w:nsid w:val="52E2024D"/>
    <w:multiLevelType w:val="hybridMultilevel"/>
    <w:lvl w:ilvl="0">
      <w:lvlJc w:val="left"/>
      <w:lvlText w:val="%1."/>
      <w:numFmt w:val="decimal"/>
      <w:start w:val="4"/>
    </w:lvl>
  </w:abstractNum>
  <w:abstractNum w:abstractNumId="390">
    <w:nsid w:val="CE344B5"/>
    <w:multiLevelType w:val="hybridMultilevel"/>
    <w:lvl w:ilvl="0">
      <w:lvlJc w:val="left"/>
      <w:lvlText w:val="(%1)"/>
      <w:numFmt w:val="lowerLetter"/>
      <w:start w:val="1"/>
    </w:lvl>
  </w:abstractNum>
  <w:abstractNum w:abstractNumId="391">
    <w:nsid w:val="29B0E9A8"/>
    <w:multiLevelType w:val="hybridMultilevel"/>
    <w:lvl w:ilvl="0">
      <w:lvlJc w:val="left"/>
      <w:lvlText w:val="%1."/>
      <w:numFmt w:val="decimal"/>
      <w:start w:val="8"/>
    </w:lvl>
  </w:abstractNum>
  <w:abstractNum w:abstractNumId="392">
    <w:nsid w:val="6F49CD8A"/>
    <w:multiLevelType w:val="hybridMultilevel"/>
    <w:lvl w:ilvl="0">
      <w:lvlJc w:val="left"/>
      <w:lvlText w:val="(%1)"/>
      <w:numFmt w:val="lowerLetter"/>
      <w:start w:val="1"/>
    </w:lvl>
  </w:abstractNum>
  <w:abstractNum w:abstractNumId="393">
    <w:nsid w:val="4DC5D907"/>
    <w:multiLevelType w:val="hybridMultilevel"/>
    <w:lvl w:ilvl="0">
      <w:lvlJc w:val="left"/>
      <w:lvlText w:val="%1."/>
      <w:numFmt w:val="decimal"/>
      <w:start w:val="9"/>
    </w:lvl>
  </w:abstractNum>
  <w:abstractNum w:abstractNumId="394">
    <w:nsid w:val="D55945E"/>
    <w:multiLevelType w:val="hybridMultilevel"/>
    <w:lvl w:ilvl="0">
      <w:lvlJc w:val="left"/>
      <w:lvlText w:val="(%1)"/>
      <w:numFmt w:val="lowerLetter"/>
      <w:start w:val="1"/>
    </w:lvl>
  </w:abstractNum>
  <w:abstractNum w:abstractNumId="395">
    <w:nsid w:val="672417E1"/>
    <w:multiLevelType w:val="hybridMultilevel"/>
    <w:lvl w:ilvl="0">
      <w:lvlJc w:val="left"/>
      <w:lvlText w:val="%1."/>
      <w:numFmt w:val="decimal"/>
      <w:start w:val="10"/>
    </w:lvl>
  </w:abstractNum>
  <w:abstractNum w:abstractNumId="396">
    <w:nsid w:val="5FF6CA09"/>
    <w:multiLevelType w:val="hybridMultilevel"/>
    <w:lvl w:ilvl="0">
      <w:lvlJc w:val="left"/>
      <w:lvlText w:val="(%1)"/>
      <w:numFmt w:val="lowerLetter"/>
      <w:start w:val="1"/>
    </w:lvl>
  </w:abstractNum>
  <w:abstractNum w:abstractNumId="397">
    <w:nsid w:val="330B1333"/>
    <w:multiLevelType w:val="hybridMultilevel"/>
    <w:lvl w:ilvl="0">
      <w:lvlJc w:val="left"/>
      <w:lvlText w:val="(%1)"/>
      <w:numFmt w:val="lowerLetter"/>
      <w:start w:val="2"/>
    </w:lvl>
  </w:abstractNum>
  <w:abstractNum w:abstractNumId="398">
    <w:nsid w:val="2EF32EA6"/>
    <w:multiLevelType w:val="hybridMultilevel"/>
    <w:lvl w:ilvl="0">
      <w:lvlJc w:val="left"/>
      <w:lvlText w:val="%1."/>
      <w:numFmt w:val="decimal"/>
      <w:start w:val="11"/>
    </w:lvl>
  </w:abstractNum>
  <w:abstractNum w:abstractNumId="399">
    <w:nsid w:val="32766A55"/>
    <w:multiLevelType w:val="hybridMultilevel"/>
    <w:lvl w:ilvl="0">
      <w:lvlJc w:val="left"/>
      <w:lvlText w:val="(%1)"/>
      <w:numFmt w:val="lowerLetter"/>
      <w:start w:val="1"/>
    </w:lvl>
  </w:abstractNum>
  <w:abstractNum w:abstractNumId="400">
    <w:nsid w:val="22D71957"/>
    <w:multiLevelType w:val="hybridMultilevel"/>
    <w:lvl w:ilvl="0">
      <w:lvlJc w:val="left"/>
      <w:lvlText w:val="%1."/>
      <w:numFmt w:val="decimal"/>
      <w:start w:val="12"/>
    </w:lvl>
  </w:abstractNum>
  <w:abstractNum w:abstractNumId="401">
    <w:nsid w:val="4CC1263B"/>
    <w:multiLevelType w:val="hybridMultilevel"/>
    <w:lvl w:ilvl="0">
      <w:lvlJc w:val="left"/>
      <w:lvlText w:val="(%1)"/>
      <w:numFmt w:val="lowerLetter"/>
      <w:start w:val="1"/>
    </w:lvl>
  </w:abstractNum>
  <w:abstractNum w:abstractNumId="402">
    <w:nsid w:val="8BBEB1D"/>
    <w:multiLevelType w:val="hybridMultilevel"/>
    <w:lvl w:ilvl="0">
      <w:lvlJc w:val="left"/>
      <w:lvlText w:val="(%1)"/>
      <w:numFmt w:val="lowerLetter"/>
      <w:start w:val="3"/>
    </w:lvl>
  </w:abstractNum>
  <w:abstractNum w:abstractNumId="403">
    <w:nsid w:val="7365F1EE"/>
    <w:multiLevelType w:val="hybridMultilevel"/>
    <w:lvl w:ilvl="0">
      <w:lvlJc w:val="left"/>
      <w:lvlText w:val="%1."/>
      <w:numFmt w:val="decimal"/>
      <w:start w:val="13"/>
    </w:lvl>
  </w:abstractNum>
  <w:abstractNum w:abstractNumId="404">
    <w:nsid w:val="37524CF0"/>
    <w:multiLevelType w:val="hybridMultilevel"/>
    <w:lvl w:ilvl="0">
      <w:lvlJc w:val="left"/>
      <w:lvlText w:val="(%1)"/>
      <w:numFmt w:val="lowerLetter"/>
      <w:start w:val="1"/>
    </w:lvl>
  </w:abstractNum>
  <w:abstractNum w:abstractNumId="405">
    <w:nsid w:val="70CC332F"/>
    <w:multiLevelType w:val="hybridMultilevel"/>
    <w:lvl w:ilvl="0">
      <w:lvlJc w:val="left"/>
      <w:lvlText w:val="(%1)"/>
      <w:numFmt w:val="lowerLetter"/>
      <w:start w:val="4"/>
    </w:lvl>
  </w:abstractNum>
  <w:abstractNum w:abstractNumId="406">
    <w:nsid w:val="5661786E"/>
    <w:multiLevelType w:val="hybridMultilevel"/>
    <w:lvl w:ilvl="0">
      <w:lvlJc w:val="left"/>
      <w:lvlText w:val="%1."/>
      <w:numFmt w:val="decimal"/>
      <w:start w:val="14"/>
    </w:lvl>
  </w:abstractNum>
  <w:abstractNum w:abstractNumId="407">
    <w:nsid w:val="3AF6A220"/>
    <w:multiLevelType w:val="hybridMultilevel"/>
    <w:lvl w:ilvl="0">
      <w:lvlJc w:val="left"/>
      <w:lvlText w:val="%1"/>
      <w:numFmt w:val="lowerRoman"/>
      <w:start w:val="1"/>
    </w:lvl>
    <w:lvl w:ilvl="1">
      <w:lvlJc w:val="left"/>
      <w:lvlText w:val="(%2)"/>
      <w:numFmt w:val="lowerLetter"/>
      <w:start w:val="1"/>
    </w:lvl>
  </w:abstractNum>
  <w:abstractNum w:abstractNumId="408">
    <w:nsid w:val="3C5EA902"/>
    <w:multiLevelType w:val="hybridMultilevel"/>
    <w:lvl w:ilvl="0">
      <w:lvlJc w:val="left"/>
      <w:lvlText w:val="(%1)"/>
      <w:numFmt w:val="lowerRoman"/>
      <w:start w:val="5"/>
    </w:lvl>
    <w:lvl w:ilvl="1">
      <w:lvlJc w:val="left"/>
      <w:lvlText w:val="%2"/>
      <w:numFmt w:val="lowerLetter"/>
      <w:start w:val="1"/>
    </w:lvl>
  </w:abstractNum>
  <w:abstractNum w:abstractNumId="409">
    <w:nsid w:val="256E6749"/>
    <w:multiLevelType w:val="hybridMultilevel"/>
    <w:lvl w:ilvl="0">
      <w:lvlJc w:val="left"/>
      <w:lvlText w:val="(%1)"/>
      <w:numFmt w:val="lowerRoman"/>
      <w:start w:val="7"/>
    </w:lvl>
    <w:lvl w:ilvl="1">
      <w:lvlJc w:val="left"/>
      <w:lvlText w:val="(%2)"/>
      <w:numFmt w:val="lowerLetter"/>
      <w:start w:val="2"/>
    </w:lvl>
  </w:abstractNum>
  <w:abstractNum w:abstractNumId="410">
    <w:nsid w:val="1CB9A581"/>
    <w:multiLevelType w:val="hybridMultilevel"/>
    <w:lvl w:ilvl="0">
      <w:lvlJc w:val="left"/>
      <w:lvlText w:val="(%1)"/>
      <w:numFmt w:val="lowerLetter"/>
      <w:start w:val="5"/>
    </w:lvl>
  </w:abstractNum>
  <w:abstractNum w:abstractNumId="411">
    <w:nsid w:val="1F7F42E2"/>
    <w:multiLevelType w:val="hybridMultilevel"/>
    <w:lvl w:ilvl="0">
      <w:lvlJc w:val="left"/>
      <w:lvlText w:val="%1."/>
      <w:numFmt w:val="decimal"/>
      <w:start w:val="15"/>
    </w:lvl>
  </w:abstractNum>
  <w:abstractNum w:abstractNumId="412">
    <w:nsid w:val="49D1FEA0"/>
    <w:multiLevelType w:val="hybridMultilevel"/>
    <w:lvl w:ilvl="0">
      <w:lvlJc w:val="left"/>
      <w:lvlText w:val="(%1)"/>
      <w:numFmt w:val="lowerLetter"/>
      <w:start w:val="1"/>
    </w:lvl>
  </w:abstractNum>
  <w:abstractNum w:abstractNumId="413">
    <w:nsid w:val="268CB37F"/>
    <w:multiLevelType w:val="hybridMultilevel"/>
    <w:lvl w:ilvl="0">
      <w:lvlJc w:val="left"/>
      <w:lvlText w:val="(%1)"/>
      <w:numFmt w:val="lowerLetter"/>
      <w:start w:val="3"/>
    </w:lvl>
  </w:abstractNum>
  <w:abstractNum w:abstractNumId="414">
    <w:nsid w:val="102362F8"/>
    <w:multiLevelType w:val="hybridMultilevel"/>
    <w:lvl w:ilvl="0">
      <w:lvlJc w:val="left"/>
      <w:lvlText w:val="%1"/>
      <w:numFmt w:val="lowerLetter"/>
      <w:start w:val="1"/>
    </w:lvl>
    <w:lvl w:ilvl="1">
      <w:lvlJc w:val="left"/>
      <w:lvlText w:val="%2."/>
      <w:numFmt w:val="decimal"/>
      <w:start w:val="17"/>
    </w:lvl>
  </w:abstractNum>
  <w:abstractNum w:abstractNumId="415">
    <w:nsid w:val="5FEDC0E3"/>
    <w:multiLevelType w:val="hybridMultilevel"/>
    <w:lvl w:ilvl="0">
      <w:lvlJc w:val="left"/>
      <w:lvlText w:val="(%1)"/>
      <w:numFmt w:val="lowerLetter"/>
      <w:start w:val="2"/>
    </w:lvl>
    <w:lvl w:ilvl="1">
      <w:lvlJc w:val="left"/>
      <w:lvlText w:val="%2"/>
      <w:numFmt w:val="decimal"/>
      <w:start w:val="1"/>
    </w:lvl>
  </w:abstractNum>
  <w:abstractNum w:abstractNumId="416">
    <w:nsid w:val="3D75BC47"/>
    <w:multiLevelType w:val="hybridMultilevel"/>
    <w:lvl w:ilvl="0">
      <w:lvlJc w:val="left"/>
      <w:lvlText w:val="%1."/>
      <w:numFmt w:val="decimal"/>
      <w:start w:val="19"/>
    </w:lvl>
  </w:abstractNum>
  <w:abstractNum w:abstractNumId="417">
    <w:nsid w:val="3E30D969"/>
    <w:multiLevelType w:val="hybridMultilevel"/>
    <w:lvl w:ilvl="0">
      <w:lvlJc w:val="left"/>
      <w:lvlText w:val="(%1)"/>
      <w:numFmt w:val="lowerLetter"/>
      <w:start w:val="1"/>
    </w:lvl>
  </w:abstractNum>
  <w:abstractNum w:abstractNumId="418">
    <w:nsid w:val="18A35FE3"/>
    <w:multiLevelType w:val="hybridMultilevel"/>
    <w:lvl w:ilvl="0">
      <w:lvlJc w:val="left"/>
      <w:lvlText w:val="%1."/>
      <w:numFmt w:val="decimal"/>
      <w:start w:val="20"/>
    </w:lvl>
  </w:abstractNum>
  <w:abstractNum w:abstractNumId="419">
    <w:nsid w:val="6DEF5211"/>
    <w:multiLevelType w:val="hybridMultilevel"/>
    <w:lvl w:ilvl="0">
      <w:lvlJc w:val="left"/>
      <w:lvlText w:val="(%1)"/>
      <w:numFmt w:val="lowerLetter"/>
      <w:start w:val="1"/>
    </w:lvl>
  </w:abstractNum>
  <w:abstractNum w:abstractNumId="420">
    <w:nsid w:val="1112DBB6"/>
    <w:multiLevelType w:val="hybridMultilevel"/>
    <w:lvl w:ilvl="0">
      <w:lvlJc w:val="left"/>
      <w:lvlText w:val="%1."/>
      <w:numFmt w:val="decimal"/>
      <w:start w:val="22"/>
    </w:lvl>
  </w:abstractNum>
  <w:abstractNum w:abstractNumId="421">
    <w:nsid w:val="2586A498"/>
    <w:multiLevelType w:val="hybridMultilevel"/>
    <w:lvl w:ilvl="0">
      <w:lvlJc w:val="left"/>
      <w:lvlText w:val="%1."/>
      <w:numFmt w:val="decimal"/>
      <w:start w:val="28"/>
    </w:lvl>
  </w:abstractNum>
  <w:abstractNum w:abstractNumId="422">
    <w:nsid w:val="17A03BB9"/>
    <w:multiLevelType w:val="hybridMultilevel"/>
    <w:lvl w:ilvl="0">
      <w:lvlJc w:val="left"/>
      <w:lvlText w:val="%1."/>
      <w:numFmt w:val="decimal"/>
      <w:start w:val="1"/>
    </w:lvl>
  </w:abstractNum>
  <w:abstractNum w:abstractNumId="423">
    <w:nsid w:val="5CA941"/>
    <w:multiLevelType w:val="hybridMultilevel"/>
    <w:lvl w:ilvl="0">
      <w:lvlJc w:val="left"/>
      <w:lvlText w:val="(%1)"/>
      <w:numFmt w:val="lowerLetter"/>
      <w:start w:val="1"/>
    </w:lvl>
  </w:abstractNum>
  <w:abstractNum w:abstractNumId="424">
    <w:nsid w:val="734C7D9F"/>
    <w:multiLevelType w:val="hybridMultilevel"/>
    <w:lvl w:ilvl="0">
      <w:lvlJc w:val="left"/>
      <w:lvlText w:val="(%1)"/>
      <w:numFmt w:val="lowerRoman"/>
      <w:start w:val="1"/>
    </w:lvl>
  </w:abstractNum>
  <w:abstractNum w:abstractNumId="425">
    <w:nsid w:val="24F5D018"/>
    <w:multiLevelType w:val="hybridMultilevel"/>
    <w:lvl w:ilvl="0">
      <w:lvlJc w:val="left"/>
      <w:lvlText w:val="(%1)"/>
      <w:numFmt w:val="lowerRoman"/>
      <w:start w:val="4"/>
    </w:lvl>
  </w:abstractNum>
  <w:abstractNum w:abstractNumId="426">
    <w:nsid w:val="6780C122"/>
    <w:multiLevelType w:val="hybridMultilevel"/>
    <w:lvl w:ilvl="0">
      <w:lvlJc w:val="left"/>
      <w:lvlText w:val="(%1)"/>
      <w:numFmt w:val="lowerLetter"/>
      <w:start w:val="5"/>
    </w:lvl>
  </w:abstractNum>
  <w:abstractNum w:abstractNumId="427">
    <w:nsid w:val="534347A8"/>
    <w:multiLevelType w:val="hybridMultilevel"/>
    <w:lvl w:ilvl="0">
      <w:lvlJc w:val="left"/>
      <w:lvlText w:val="%1"/>
      <w:numFmt w:val="lowerLetter"/>
      <w:start w:val="1"/>
    </w:lvl>
    <w:lvl w:ilvl="1">
      <w:lvlJc w:val="left"/>
      <w:lvlText w:val="(%2)"/>
      <w:numFmt w:val="lowerLetter"/>
      <w:start w:val="12"/>
    </w:lvl>
  </w:abstractNum>
  <w:abstractNum w:abstractNumId="428">
    <w:nsid w:val="5800E34B"/>
    <w:multiLevelType w:val="hybridMultilevel"/>
    <w:lvl w:ilvl="0">
      <w:lvlJc w:val="left"/>
      <w:lvlText w:val="(%1)"/>
      <w:numFmt w:val="lowerLetter"/>
      <w:start w:val="35"/>
    </w:lvl>
    <w:lvl w:ilvl="1">
      <w:lvlJc w:val="left"/>
      <w:lvlText w:val="%2"/>
      <w:numFmt w:val="lowerLetter"/>
      <w:start w:val="1"/>
    </w:lvl>
  </w:abstractNum>
  <w:abstractNum w:abstractNumId="429">
    <w:nsid w:val="1673EFC8"/>
    <w:multiLevelType w:val="hybridMultilevel"/>
    <w:lvl w:ilvl="0">
      <w:lvlJc w:val="left"/>
      <w:lvlText w:val="(%1)"/>
      <w:numFmt w:val="lowerLetter"/>
      <w:start w:val="13"/>
    </w:lvl>
  </w:abstractNum>
  <w:abstractNum w:abstractNumId="430">
    <w:nsid w:val="5B9B1FD"/>
    <w:multiLevelType w:val="hybridMultilevel"/>
    <w:lvl w:ilvl="0">
      <w:lvlJc w:val="left"/>
      <w:lvlText w:val="%1."/>
      <w:numFmt w:val="decimal"/>
      <w:start w:val="3"/>
    </w:lvl>
  </w:abstractNum>
  <w:abstractNum w:abstractNumId="431">
    <w:nsid w:val="7AD7FCA2"/>
    <w:multiLevelType w:val="hybridMultilevel"/>
    <w:lvl w:ilvl="0">
      <w:lvlJc w:val="left"/>
      <w:lvlText w:val="%1."/>
      <w:numFmt w:val="decimal"/>
      <w:start w:val="4"/>
    </w:lvl>
  </w:abstractNum>
  <w:abstractNum w:abstractNumId="432">
    <w:nsid w:val="63351604"/>
    <w:multiLevelType w:val="hybridMultilevel"/>
    <w:lvl w:ilvl="0">
      <w:lvlJc w:val="left"/>
      <w:lvlText w:val="(%1)"/>
      <w:numFmt w:val="lowerLetter"/>
      <w:start w:val="1"/>
    </w:lvl>
  </w:abstractNum>
  <w:abstractNum w:abstractNumId="433">
    <w:nsid w:val="E759D1A"/>
    <w:multiLevelType w:val="hybridMultilevel"/>
    <w:lvl w:ilvl="0">
      <w:lvlJc w:val="left"/>
      <w:lvlText w:val="%1."/>
      <w:numFmt w:val="decimal"/>
      <w:start w:val="8"/>
    </w:lvl>
  </w:abstractNum>
  <w:abstractNum w:abstractNumId="434">
    <w:nsid w:val="6E3DEE90"/>
    <w:multiLevelType w:val="hybridMultilevel"/>
    <w:lvl w:ilvl="0">
      <w:lvlJc w:val="left"/>
      <w:lvlText w:val="(%1)"/>
      <w:numFmt w:val="lowerLetter"/>
      <w:start w:val="1"/>
    </w:lvl>
  </w:abstractNum>
  <w:abstractNum w:abstractNumId="435">
    <w:nsid w:val="1A8762F4"/>
    <w:multiLevelType w:val="hybridMultilevel"/>
    <w:lvl w:ilvl="0">
      <w:lvlJc w:val="left"/>
      <w:lvlText w:val="%1."/>
      <w:numFmt w:val="decimal"/>
      <w:start w:val="9"/>
    </w:lvl>
  </w:abstractNum>
  <w:abstractNum w:abstractNumId="436">
    <w:nsid w:val="7F41D049"/>
    <w:multiLevelType w:val="hybridMultilevel"/>
    <w:lvl w:ilvl="0">
      <w:lvlJc w:val="left"/>
      <w:lvlText w:val="(%1)"/>
      <w:numFmt w:val="lowerLetter"/>
      <w:start w:val="1"/>
    </w:lvl>
  </w:abstractNum>
  <w:abstractNum w:abstractNumId="437">
    <w:nsid w:val="449F66FE"/>
    <w:multiLevelType w:val="hybridMultilevel"/>
    <w:lvl w:ilvl="0">
      <w:lvlJc w:val="left"/>
      <w:lvlText w:val="%1."/>
      <w:numFmt w:val="decimal"/>
      <w:start w:val="10"/>
    </w:lvl>
  </w:abstractNum>
  <w:abstractNum w:abstractNumId="438">
    <w:nsid w:val="557E0515"/>
    <w:multiLevelType w:val="hybridMultilevel"/>
    <w:lvl w:ilvl="0">
      <w:lvlJc w:val="left"/>
      <w:lvlText w:val="(%1)"/>
      <w:numFmt w:val="lowerLetter"/>
      <w:start w:val="1"/>
    </w:lvl>
  </w:abstractNum>
  <w:abstractNum w:abstractNumId="439">
    <w:nsid w:val="3BA0794B"/>
    <w:multiLevelType w:val="hybridMultilevel"/>
    <w:lvl w:ilvl="0">
      <w:lvlJc w:val="left"/>
      <w:lvlText w:val="(%1)"/>
      <w:numFmt w:val="lowerLetter"/>
      <w:start w:val="2"/>
    </w:lvl>
  </w:abstractNum>
  <w:abstractNum w:abstractNumId="440">
    <w:nsid w:val="6A0DCE48"/>
    <w:multiLevelType w:val="hybridMultilevel"/>
    <w:lvl w:ilvl="0">
      <w:lvlJc w:val="left"/>
      <w:lvlText w:val="%1."/>
      <w:numFmt w:val="decimal"/>
      <w:start w:val="11"/>
    </w:lvl>
  </w:abstractNum>
  <w:abstractNum w:abstractNumId="441">
    <w:nsid w:val="7237AA96"/>
    <w:multiLevelType w:val="hybridMultilevel"/>
    <w:lvl w:ilvl="0">
      <w:lvlJc w:val="left"/>
      <w:lvlText w:val="(%1)"/>
      <w:numFmt w:val="lowerLetter"/>
      <w:start w:val="1"/>
    </w:lvl>
  </w:abstractNum>
  <w:abstractNum w:abstractNumId="442">
    <w:nsid w:val="5B1FBC2D"/>
    <w:multiLevelType w:val="hybridMultilevel"/>
    <w:lvl w:ilvl="0">
      <w:lvlJc w:val="left"/>
      <w:lvlText w:val="%1."/>
      <w:numFmt w:val="decimal"/>
      <w:start w:val="12"/>
    </w:lvl>
  </w:abstractNum>
  <w:abstractNum w:abstractNumId="443">
    <w:nsid w:val="33DFCCE8"/>
    <w:multiLevelType w:val="hybridMultilevel"/>
    <w:lvl w:ilvl="0">
      <w:lvlJc w:val="left"/>
      <w:lvlText w:val="(%1)"/>
      <w:numFmt w:val="lowerLetter"/>
      <w:start w:val="1"/>
    </w:lvl>
  </w:abstractNum>
  <w:abstractNum w:abstractNumId="444">
    <w:nsid w:val="18C45E15"/>
    <w:multiLevelType w:val="hybridMultilevel"/>
    <w:lvl w:ilvl="0">
      <w:lvlJc w:val="left"/>
      <w:lvlText w:val="(%1)"/>
      <w:numFmt w:val="lowerLetter"/>
      <w:start w:val="3"/>
    </w:lvl>
  </w:abstractNum>
  <w:abstractNum w:abstractNumId="445">
    <w:nsid w:val="6B431F25"/>
    <w:multiLevelType w:val="hybridMultilevel"/>
    <w:lvl w:ilvl="0">
      <w:lvlJc w:val="left"/>
      <w:lvlText w:val="%1."/>
      <w:numFmt w:val="decimal"/>
      <w:start w:val="13"/>
    </w:lvl>
  </w:abstractNum>
  <w:abstractNum w:abstractNumId="446">
    <w:nsid w:val="13CD8DCB"/>
    <w:multiLevelType w:val="hybridMultilevel"/>
    <w:lvl w:ilvl="0">
      <w:lvlJc w:val="left"/>
      <w:lvlText w:val="(%1)"/>
      <w:numFmt w:val="lowerLetter"/>
      <w:start w:val="1"/>
    </w:lvl>
  </w:abstractNum>
  <w:abstractNum w:abstractNumId="447">
    <w:nsid w:val="563A1A5C"/>
    <w:multiLevelType w:val="hybridMultilevel"/>
    <w:lvl w:ilvl="0">
      <w:lvlJc w:val="left"/>
      <w:lvlText w:val="(%1)"/>
      <w:numFmt w:val="lowerLetter"/>
      <w:start w:val="4"/>
    </w:lvl>
  </w:abstractNum>
  <w:abstractNum w:abstractNumId="448">
    <w:nsid w:val="2973F88F"/>
    <w:multiLevelType w:val="hybridMultilevel"/>
    <w:lvl w:ilvl="0">
      <w:lvlJc w:val="left"/>
      <w:lvlText w:val="%1."/>
      <w:numFmt w:val="decimal"/>
      <w:start w:val="14"/>
    </w:lvl>
  </w:abstractNum>
  <w:abstractNum w:abstractNumId="449">
    <w:nsid w:val="2C70EDAE"/>
    <w:multiLevelType w:val="hybridMultilevel"/>
    <w:lvl w:ilvl="0">
      <w:lvlJc w:val="left"/>
      <w:lvlText w:val="%1"/>
      <w:numFmt w:val="lowerRoman"/>
      <w:start w:val="1"/>
    </w:lvl>
    <w:lvl w:ilvl="1">
      <w:lvlJc w:val="left"/>
      <w:lvlText w:val="(%2)"/>
      <w:numFmt w:val="lowerLetter"/>
      <w:start w:val="1"/>
    </w:lvl>
  </w:abstractNum>
  <w:abstractNum w:abstractNumId="450">
    <w:nsid w:val="44296C6D"/>
    <w:multiLevelType w:val="hybridMultilevel"/>
    <w:lvl w:ilvl="0">
      <w:lvlJc w:val="left"/>
      <w:lvlText w:val="(%1)"/>
      <w:numFmt w:val="lowerRoman"/>
      <w:start w:val="5"/>
    </w:lvl>
    <w:lvl w:ilvl="1">
      <w:lvlJc w:val="left"/>
      <w:lvlText w:val="%2"/>
      <w:numFmt w:val="lowerLetter"/>
      <w:start w:val="1"/>
    </w:lvl>
  </w:abstractNum>
  <w:abstractNum w:abstractNumId="451">
    <w:nsid w:val="3A86D445"/>
    <w:multiLevelType w:val="hybridMultilevel"/>
    <w:lvl w:ilvl="0">
      <w:lvlJc w:val="left"/>
      <w:lvlText w:val="(%1)"/>
      <w:numFmt w:val="lowerRoman"/>
      <w:start w:val="7"/>
    </w:lvl>
    <w:lvl w:ilvl="1">
      <w:lvlJc w:val="left"/>
      <w:lvlText w:val="(%2)"/>
      <w:numFmt w:val="lowerLetter"/>
      <w:start w:val="2"/>
    </w:lvl>
  </w:abstractNum>
  <w:abstractNum w:abstractNumId="452">
    <w:nsid w:val="51F79246"/>
    <w:multiLevelType w:val="hybridMultilevel"/>
    <w:lvl w:ilvl="0">
      <w:lvlJc w:val="left"/>
      <w:lvlText w:val="(%1)"/>
      <w:numFmt w:val="lowerLetter"/>
      <w:start w:val="5"/>
    </w:lvl>
  </w:abstractNum>
  <w:abstractNum w:abstractNumId="453">
    <w:nsid w:val="5BC9A827"/>
    <w:multiLevelType w:val="hybridMultilevel"/>
    <w:lvl w:ilvl="0">
      <w:lvlJc w:val="left"/>
      <w:lvlText w:val="%1."/>
      <w:numFmt w:val="decimal"/>
      <w:start w:val="15"/>
    </w:lvl>
  </w:abstractNum>
  <w:abstractNum w:abstractNumId="454">
    <w:nsid w:val="3AE37D86"/>
    <w:multiLevelType w:val="hybridMultilevel"/>
    <w:lvl w:ilvl="0">
      <w:lvlJc w:val="left"/>
      <w:lvlText w:val="(%1)"/>
      <w:numFmt w:val="lowerLetter"/>
      <w:start w:val="1"/>
    </w:lvl>
  </w:abstractNum>
  <w:abstractNum w:abstractNumId="455">
    <w:nsid w:val="45440FE5"/>
    <w:multiLevelType w:val="hybridMultilevel"/>
    <w:lvl w:ilvl="0">
      <w:lvlJc w:val="left"/>
      <w:lvlText w:val="(%1)"/>
      <w:numFmt w:val="lowerLetter"/>
      <w:start w:val="3"/>
    </w:lvl>
  </w:abstractNum>
  <w:abstractNum w:abstractNumId="456">
    <w:nsid w:val="BF783F"/>
    <w:multiLevelType w:val="hybridMultilevel"/>
    <w:lvl w:ilvl="0">
      <w:lvlJc w:val="left"/>
      <w:lvlText w:val="%1"/>
      <w:numFmt w:val="lowerLetter"/>
      <w:start w:val="1"/>
    </w:lvl>
    <w:lvl w:ilvl="1">
      <w:lvlJc w:val="left"/>
      <w:lvlText w:val="%2."/>
      <w:numFmt w:val="decimal"/>
      <w:start w:val="17"/>
    </w:lvl>
  </w:abstractNum>
  <w:abstractNum w:abstractNumId="457">
    <w:nsid w:val="22643EA9"/>
    <w:multiLevelType w:val="hybridMultilevel"/>
    <w:lvl w:ilvl="0">
      <w:lvlJc w:val="left"/>
      <w:lvlText w:val="(%1)"/>
      <w:numFmt w:val="lowerLetter"/>
      <w:start w:val="2"/>
    </w:lvl>
    <w:lvl w:ilvl="1">
      <w:lvlJc w:val="left"/>
      <w:lvlText w:val="%2"/>
      <w:numFmt w:val="decimal"/>
      <w:start w:val="1"/>
    </w:lvl>
  </w:abstractNum>
  <w:abstractNum w:abstractNumId="458">
    <w:nsid w:val="1887578D"/>
    <w:multiLevelType w:val="hybridMultilevel"/>
    <w:lvl w:ilvl="0">
      <w:lvlJc w:val="left"/>
      <w:lvlText w:val="%1."/>
      <w:numFmt w:val="decimal"/>
      <w:start w:val="19"/>
    </w:lvl>
  </w:abstractNum>
  <w:abstractNum w:abstractNumId="459">
    <w:nsid w:val="58C05B8A"/>
    <w:multiLevelType w:val="hybridMultilevel"/>
    <w:lvl w:ilvl="0">
      <w:lvlJc w:val="left"/>
      <w:lvlText w:val="(%1)"/>
      <w:numFmt w:val="lowerLetter"/>
      <w:start w:val="1"/>
    </w:lvl>
  </w:abstractNum>
  <w:abstractNum w:abstractNumId="460">
    <w:nsid w:val="38D82E71"/>
    <w:multiLevelType w:val="hybridMultilevel"/>
    <w:lvl w:ilvl="0">
      <w:lvlJc w:val="left"/>
      <w:lvlText w:val="%1."/>
      <w:numFmt w:val="decimal"/>
      <w:start w:val="20"/>
    </w:lvl>
  </w:abstractNum>
  <w:abstractNum w:abstractNumId="461">
    <w:nsid w:val="1E41098A"/>
    <w:multiLevelType w:val="hybridMultilevel"/>
    <w:lvl w:ilvl="0">
      <w:lvlJc w:val="left"/>
      <w:lvlText w:val="(%1)"/>
      <w:numFmt w:val="lowerLetter"/>
      <w:start w:val="1"/>
    </w:lvl>
  </w:abstractNum>
  <w:abstractNum w:abstractNumId="462">
    <w:nsid w:val="5398582C"/>
    <w:multiLevelType w:val="hybridMultilevel"/>
    <w:lvl w:ilvl="0">
      <w:lvlJc w:val="left"/>
      <w:lvlText w:val="%1."/>
      <w:numFmt w:val="decimal"/>
      <w:start w:val="22"/>
    </w:lvl>
  </w:abstractNum>
  <w:abstractNum w:abstractNumId="463">
    <w:nsid w:val="1C0D4475"/>
    <w:multiLevelType w:val="hybridMultilevel"/>
    <w:lvl w:ilvl="0">
      <w:lvlJc w:val="left"/>
      <w:lvlText w:val="%1."/>
      <w:numFmt w:val="decimal"/>
      <w:start w:val="28"/>
    </w:lvl>
  </w:abstractNum>
  <w:abstractNum w:abstractNumId="464">
    <w:nsid w:val="2CB6A6A4"/>
    <w:multiLevelType w:val="hybridMultilevel"/>
    <w:lvl w:ilvl="0">
      <w:lvlJc w:val="left"/>
      <w:lvlText w:val="%1."/>
      <w:numFmt w:val="decimal"/>
      <w:start w:val="1"/>
    </w:lvl>
  </w:abstractNum>
  <w:abstractNum w:abstractNumId="465">
    <w:nsid w:val="41D646BC"/>
    <w:multiLevelType w:val="hybridMultilevel"/>
    <w:lvl w:ilvl="0">
      <w:lvlJc w:val="left"/>
      <w:lvlText w:val="(%1)"/>
      <w:numFmt w:val="lowerLetter"/>
      <w:start w:val="1"/>
    </w:lvl>
  </w:abstractNum>
  <w:abstractNum w:abstractNumId="466">
    <w:nsid w:val="3694A76A"/>
    <w:multiLevelType w:val="hybridMultilevel"/>
    <w:lvl w:ilvl="0">
      <w:lvlJc w:val="left"/>
      <w:lvlText w:val="(%1)"/>
      <w:numFmt w:val="lowerRoman"/>
      <w:start w:val="1"/>
    </w:lvl>
  </w:abstractNum>
  <w:abstractNum w:abstractNumId="467">
    <w:nsid w:val="2BF876EE"/>
    <w:multiLevelType w:val="hybridMultilevel"/>
    <w:lvl w:ilvl="0">
      <w:lvlJc w:val="left"/>
      <w:lvlText w:val="(%1)"/>
      <w:numFmt w:val="lowerRoman"/>
      <w:start w:val="4"/>
    </w:lvl>
  </w:abstractNum>
  <w:abstractNum w:abstractNumId="468">
    <w:nsid w:val="675ADBA"/>
    <w:multiLevelType w:val="hybridMultilevel"/>
    <w:lvl w:ilvl="0">
      <w:lvlJc w:val="left"/>
      <w:lvlText w:val="(%1)"/>
      <w:numFmt w:val="lowerLetter"/>
      <w:start w:val="5"/>
    </w:lvl>
  </w:abstractNum>
  <w:abstractNum w:abstractNumId="469">
    <w:nsid w:val="C12AC7F"/>
    <w:multiLevelType w:val="hybridMultilevel"/>
    <w:lvl w:ilvl="0">
      <w:lvlJc w:val="left"/>
      <w:lvlText w:val="%1"/>
      <w:numFmt w:val="lowerLetter"/>
      <w:start w:val="1"/>
    </w:lvl>
    <w:lvl w:ilvl="1">
      <w:lvlJc w:val="left"/>
      <w:lvlText w:val="(%2)"/>
      <w:numFmt w:val="lowerLetter"/>
      <w:start w:val="12"/>
    </w:lvl>
  </w:abstractNum>
  <w:abstractNum w:abstractNumId="470">
    <w:nsid w:val="6798F039"/>
    <w:multiLevelType w:val="hybridMultilevel"/>
    <w:lvl w:ilvl="0">
      <w:lvlJc w:val="left"/>
      <w:lvlText w:val="(%1)"/>
      <w:numFmt w:val="lowerLetter"/>
      <w:start w:val="35"/>
    </w:lvl>
    <w:lvl w:ilvl="1">
      <w:lvlJc w:val="left"/>
      <w:lvlText w:val="%2"/>
      <w:numFmt w:val="lowerLetter"/>
      <w:start w:val="1"/>
    </w:lvl>
  </w:abstractNum>
  <w:abstractNum w:abstractNumId="471">
    <w:nsid w:val="70837C02"/>
    <w:multiLevelType w:val="hybridMultilevel"/>
    <w:lvl w:ilvl="0">
      <w:lvlJc w:val="left"/>
      <w:lvlText w:val="(%1)"/>
      <w:numFmt w:val="lowerLetter"/>
      <w:start w:val="13"/>
    </w:lvl>
  </w:abstractNum>
  <w:abstractNum w:abstractNumId="472">
    <w:nsid w:val="7E4A5715"/>
    <w:multiLevelType w:val="hybridMultilevel"/>
    <w:lvl w:ilvl="0">
      <w:lvlJc w:val="left"/>
      <w:lvlText w:val="%1."/>
      <w:numFmt w:val="decimal"/>
      <w:start w:val="3"/>
    </w:lvl>
  </w:abstractNum>
  <w:abstractNum w:abstractNumId="473">
    <w:nsid w:val="42B8AC67"/>
    <w:multiLevelType w:val="hybridMultilevel"/>
    <w:lvl w:ilvl="0">
      <w:lvlJc w:val="left"/>
      <w:lvlText w:val="%1."/>
      <w:numFmt w:val="decimal"/>
      <w:start w:val="4"/>
    </w:lvl>
  </w:abstractNum>
  <w:abstractNum w:abstractNumId="474">
    <w:nsid w:val="246348EA"/>
    <w:multiLevelType w:val="hybridMultilevel"/>
    <w:lvl w:ilvl="0">
      <w:lvlJc w:val="left"/>
      <w:lvlText w:val="(%1)"/>
      <w:numFmt w:val="lowerLetter"/>
      <w:start w:val="1"/>
    </w:lvl>
  </w:abstractNum>
  <w:abstractNum w:abstractNumId="475">
    <w:nsid w:val="170EB52B"/>
    <w:multiLevelType w:val="hybridMultilevel"/>
    <w:lvl w:ilvl="0">
      <w:lvlJc w:val="left"/>
      <w:lvlText w:val="%1."/>
      <w:numFmt w:val="decimal"/>
      <w:start w:val="8"/>
    </w:lvl>
  </w:abstractNum>
  <w:abstractNum w:abstractNumId="476">
    <w:nsid w:val="2DFBCB8C"/>
    <w:multiLevelType w:val="hybridMultilevel"/>
    <w:lvl w:ilvl="0">
      <w:lvlJc w:val="left"/>
      <w:lvlText w:val="(%1)"/>
      <w:numFmt w:val="lowerLetter"/>
      <w:start w:val="1"/>
    </w:lvl>
  </w:abstractNum>
  <w:abstractNum w:abstractNumId="477">
    <w:nsid w:val="3830D6B6"/>
    <w:multiLevelType w:val="hybridMultilevel"/>
    <w:lvl w:ilvl="0">
      <w:lvlJc w:val="left"/>
      <w:lvlText w:val="%1."/>
      <w:numFmt w:val="decimal"/>
      <w:start w:val="9"/>
    </w:lvl>
  </w:abstractNum>
  <w:abstractNum w:abstractNumId="478">
    <w:nsid w:val="6D48CF87"/>
    <w:multiLevelType w:val="hybridMultilevel"/>
    <w:lvl w:ilvl="0">
      <w:lvlJc w:val="left"/>
      <w:lvlText w:val="(%1)"/>
      <w:numFmt w:val="lowerLetter"/>
      <w:start w:val="1"/>
    </w:lvl>
  </w:abstractNum>
  <w:abstractNum w:abstractNumId="479">
    <w:nsid w:val="576FC41B"/>
    <w:multiLevelType w:val="hybridMultilevel"/>
    <w:lvl w:ilvl="0">
      <w:lvlJc w:val="left"/>
      <w:lvlText w:val="%1."/>
      <w:numFmt w:val="decimal"/>
      <w:start w:val="10"/>
    </w:lvl>
  </w:abstractNum>
  <w:abstractNum w:abstractNumId="480">
    <w:nsid w:val="64A1C464"/>
    <w:multiLevelType w:val="hybridMultilevel"/>
    <w:lvl w:ilvl="0">
      <w:lvlJc w:val="left"/>
      <w:lvlText w:val="(%1)"/>
      <w:numFmt w:val="lowerLetter"/>
      <w:start w:val="1"/>
    </w:lvl>
  </w:abstractNum>
  <w:abstractNum w:abstractNumId="481">
    <w:nsid w:val="31723BF5"/>
    <w:multiLevelType w:val="hybridMultilevel"/>
    <w:lvl w:ilvl="0">
      <w:lvlJc w:val="left"/>
      <w:lvlText w:val="(%1)"/>
      <w:numFmt w:val="lowerLetter"/>
      <w:start w:val="2"/>
    </w:lvl>
  </w:abstractNum>
  <w:abstractNum w:abstractNumId="482">
    <w:nsid w:val="11F69861"/>
    <w:multiLevelType w:val="hybridMultilevel"/>
    <w:lvl w:ilvl="0">
      <w:lvlJc w:val="left"/>
      <w:lvlText w:val="%1."/>
      <w:numFmt w:val="decimal"/>
      <w:start w:val="11"/>
    </w:lvl>
  </w:abstractNum>
  <w:abstractNum w:abstractNumId="483">
    <w:nsid w:val="369956AB"/>
    <w:multiLevelType w:val="hybridMultilevel"/>
    <w:lvl w:ilvl="0">
      <w:lvlJc w:val="left"/>
      <w:lvlText w:val="(%1)"/>
      <w:numFmt w:val="lowerLetter"/>
      <w:start w:val="1"/>
    </w:lvl>
  </w:abstractNum>
  <w:abstractNum w:abstractNumId="484">
    <w:nsid w:val="D3BE41C"/>
    <w:multiLevelType w:val="hybridMultilevel"/>
    <w:lvl w:ilvl="0">
      <w:lvlJc w:val="left"/>
      <w:lvlText w:val="%1."/>
      <w:numFmt w:val="decimal"/>
      <w:start w:val="12"/>
    </w:lvl>
  </w:abstractNum>
  <w:abstractNum w:abstractNumId="485">
    <w:nsid w:val="4CDA15E7"/>
    <w:multiLevelType w:val="hybridMultilevel"/>
    <w:lvl w:ilvl="0">
      <w:lvlJc w:val="left"/>
      <w:lvlText w:val="(%1)"/>
      <w:numFmt w:val="lowerLetter"/>
      <w:start w:val="1"/>
    </w:lvl>
  </w:abstractNum>
  <w:abstractNum w:abstractNumId="486">
    <w:nsid w:val="7BDD6690"/>
    <w:multiLevelType w:val="hybridMultilevel"/>
    <w:lvl w:ilvl="0">
      <w:lvlJc w:val="left"/>
      <w:lvlText w:val="(%1)"/>
      <w:numFmt w:val="lowerLetter"/>
      <w:start w:val="3"/>
    </w:lvl>
  </w:abstractNum>
  <w:abstractNum w:abstractNumId="487">
    <w:nsid w:val="DFB5C5B"/>
    <w:multiLevelType w:val="hybridMultilevel"/>
    <w:lvl w:ilvl="0">
      <w:lvlJc w:val="left"/>
      <w:lvlText w:val="%1."/>
      <w:numFmt w:val="decimal"/>
      <w:start w:val="13"/>
    </w:lvl>
  </w:abstractNum>
  <w:abstractNum w:abstractNumId="488">
    <w:nsid w:val="6F3E5490"/>
    <w:multiLevelType w:val="hybridMultilevel"/>
    <w:lvl w:ilvl="0">
      <w:lvlJc w:val="left"/>
      <w:lvlText w:val="(%1)"/>
      <w:numFmt w:val="lowerLetter"/>
      <w:start w:val="1"/>
    </w:lvl>
  </w:abstractNum>
  <w:abstractNum w:abstractNumId="489">
    <w:nsid w:val="1464BE1E"/>
    <w:multiLevelType w:val="hybridMultilevel"/>
    <w:lvl w:ilvl="0">
      <w:lvlJc w:val="left"/>
      <w:lvlText w:val="(%1)"/>
      <w:numFmt w:val="lowerLetter"/>
      <w:start w:val="4"/>
    </w:lvl>
  </w:abstractNum>
  <w:abstractNum w:abstractNumId="490">
    <w:nsid w:val="66BBB7E5"/>
    <w:multiLevelType w:val="hybridMultilevel"/>
    <w:lvl w:ilvl="0">
      <w:lvlJc w:val="left"/>
      <w:lvlText w:val="%1."/>
      <w:numFmt w:val="decimal"/>
      <w:start w:val="14"/>
    </w:lvl>
  </w:abstractNum>
  <w:abstractNum w:abstractNumId="491">
    <w:nsid w:val="28168302"/>
    <w:multiLevelType w:val="hybridMultilevel"/>
    <w:lvl w:ilvl="0">
      <w:lvlJc w:val="left"/>
      <w:lvlText w:val="%1"/>
      <w:numFmt w:val="lowerRoman"/>
      <w:start w:val="1"/>
    </w:lvl>
    <w:lvl w:ilvl="1">
      <w:lvlJc w:val="left"/>
      <w:lvlText w:val="(%2)"/>
      <w:numFmt w:val="lowerLetter"/>
      <w:start w:val="1"/>
    </w:lvl>
  </w:abstractNum>
  <w:abstractNum w:abstractNumId="492">
    <w:nsid w:val="32A5C7A8"/>
    <w:multiLevelType w:val="hybridMultilevel"/>
    <w:lvl w:ilvl="0">
      <w:lvlJc w:val="left"/>
      <w:lvlText w:val="(%1)"/>
      <w:numFmt w:val="lowerRoman"/>
      <w:start w:val="5"/>
    </w:lvl>
    <w:lvl w:ilvl="1">
      <w:lvlJc w:val="left"/>
      <w:lvlText w:val="%2"/>
      <w:numFmt w:val="lowerLetter"/>
      <w:start w:val="1"/>
    </w:lvl>
  </w:abstractNum>
  <w:abstractNum w:abstractNumId="493">
    <w:nsid w:val="3A541011"/>
    <w:multiLevelType w:val="hybridMultilevel"/>
    <w:lvl w:ilvl="0">
      <w:lvlJc w:val="left"/>
      <w:lvlText w:val="(%1)"/>
      <w:numFmt w:val="lowerRoman"/>
      <w:start w:val="7"/>
    </w:lvl>
    <w:lvl w:ilvl="1">
      <w:lvlJc w:val="left"/>
      <w:lvlText w:val="(%2)"/>
      <w:numFmt w:val="lowerLetter"/>
      <w:start w:val="2"/>
    </w:lvl>
  </w:abstractNum>
  <w:abstractNum w:abstractNumId="494">
    <w:nsid w:val="4423C777"/>
    <w:multiLevelType w:val="hybridMultilevel"/>
    <w:lvl w:ilvl="0">
      <w:lvlJc w:val="left"/>
      <w:lvlText w:val="(%1)"/>
      <w:numFmt w:val="lowerLetter"/>
      <w:start w:val="5"/>
    </w:lvl>
  </w:abstractNum>
  <w:abstractNum w:abstractNumId="495">
    <w:nsid w:val="5F5C6E4D"/>
    <w:multiLevelType w:val="hybridMultilevel"/>
    <w:lvl w:ilvl="0">
      <w:lvlJc w:val="left"/>
      <w:lvlText w:val="%1."/>
      <w:numFmt w:val="decimal"/>
      <w:start w:val="15"/>
    </w:lvl>
  </w:abstractNum>
  <w:abstractNum w:abstractNumId="496">
    <w:nsid w:val="7C2A56CD"/>
    <w:multiLevelType w:val="hybridMultilevel"/>
    <w:lvl w:ilvl="0">
      <w:lvlJc w:val="left"/>
      <w:lvlText w:val="(%1)"/>
      <w:numFmt w:val="lowerLetter"/>
      <w:start w:val="1"/>
    </w:lvl>
  </w:abstractNum>
  <w:abstractNum w:abstractNumId="497">
    <w:nsid w:val="7AB86EE1"/>
    <w:multiLevelType w:val="hybridMultilevel"/>
    <w:lvl w:ilvl="0">
      <w:lvlJc w:val="left"/>
      <w:lvlText w:val="(%1)"/>
      <w:numFmt w:val="lowerLetter"/>
      <w:start w:val="3"/>
    </w:lvl>
  </w:abstractNum>
  <w:abstractNum w:abstractNumId="498">
    <w:nsid w:val="B54E53B"/>
    <w:multiLevelType w:val="hybridMultilevel"/>
    <w:lvl w:ilvl="0">
      <w:lvlJc w:val="left"/>
      <w:lvlText w:val="%1"/>
      <w:numFmt w:val="lowerLetter"/>
      <w:start w:val="1"/>
    </w:lvl>
    <w:lvl w:ilvl="1">
      <w:lvlJc w:val="left"/>
      <w:lvlText w:val="%2."/>
      <w:numFmt w:val="decimal"/>
      <w:start w:val="17"/>
    </w:lvl>
  </w:abstractNum>
  <w:abstractNum w:abstractNumId="499">
    <w:nsid w:val="2A00487"/>
    <w:multiLevelType w:val="hybridMultilevel"/>
    <w:lvl w:ilvl="0">
      <w:lvlJc w:val="left"/>
      <w:lvlText w:val="(%1)"/>
      <w:numFmt w:val="lowerLetter"/>
      <w:start w:val="2"/>
    </w:lvl>
    <w:lvl w:ilvl="1">
      <w:lvlJc w:val="left"/>
      <w:lvlText w:val="%2"/>
      <w:numFmt w:val="decimal"/>
      <w:start w:val="1"/>
    </w:lvl>
  </w:abstractNum>
  <w:abstractNum w:abstractNumId="500">
    <w:nsid w:val="6CB1B60"/>
    <w:multiLevelType w:val="hybridMultilevel"/>
    <w:lvl w:ilvl="0">
      <w:lvlJc w:val="left"/>
      <w:lvlText w:val="%1."/>
      <w:numFmt w:val="decimal"/>
      <w:start w:val="19"/>
    </w:lvl>
  </w:abstractNum>
  <w:abstractNum w:abstractNumId="501">
    <w:nsid w:val="72EDD574"/>
    <w:multiLevelType w:val="hybridMultilevel"/>
    <w:lvl w:ilvl="0">
      <w:lvlJc w:val="left"/>
      <w:lvlText w:val="(%1)"/>
      <w:numFmt w:val="lowerLetter"/>
      <w:start w:val="1"/>
    </w:lvl>
  </w:abstractNum>
  <w:abstractNum w:abstractNumId="502">
    <w:nsid w:val="7323808A"/>
    <w:multiLevelType w:val="hybridMultilevel"/>
    <w:lvl w:ilvl="0">
      <w:lvlJc w:val="left"/>
      <w:lvlText w:val="%1."/>
      <w:numFmt w:val="decimal"/>
      <w:start w:val="20"/>
    </w:lvl>
  </w:abstractNum>
  <w:abstractNum w:abstractNumId="503">
    <w:nsid w:val="5157276"/>
    <w:multiLevelType w:val="hybridMultilevel"/>
    <w:lvl w:ilvl="0">
      <w:lvlJc w:val="left"/>
      <w:lvlText w:val="(%1)"/>
      <w:numFmt w:val="lowerLetter"/>
      <w:start w:val="1"/>
    </w:lvl>
  </w:abstractNum>
  <w:abstractNum w:abstractNumId="504">
    <w:nsid w:val="35A681DB"/>
    <w:multiLevelType w:val="hybridMultilevel"/>
    <w:lvl w:ilvl="0">
      <w:lvlJc w:val="left"/>
      <w:lvlText w:val="%1."/>
      <w:numFmt w:val="decimal"/>
      <w:start w:val="22"/>
    </w:lvl>
  </w:abstractNum>
  <w:abstractNum w:abstractNumId="505">
    <w:nsid w:val="1786C974"/>
    <w:multiLevelType w:val="hybridMultilevel"/>
    <w:lvl w:ilvl="0">
      <w:lvlJc w:val="left"/>
      <w:lvlText w:val="%1."/>
      <w:numFmt w:val="decimal"/>
      <w:start w:val="28"/>
    </w:lvl>
  </w:abstractNum>
  <w:abstractNum w:abstractNumId="506">
    <w:nsid w:val="1C2427A1"/>
    <w:multiLevelType w:val="hybridMultilevel"/>
    <w:lvl w:ilvl="0">
      <w:lvlJc w:val="left"/>
      <w:lvlText w:val="%1."/>
      <w:numFmt w:val="decimal"/>
      <w:start w:val="1"/>
    </w:lvl>
  </w:abstractNum>
  <w:abstractNum w:abstractNumId="507">
    <w:nsid w:val="63A24D68"/>
    <w:multiLevelType w:val="hybridMultilevel"/>
    <w:lvl w:ilvl="0">
      <w:lvlJc w:val="left"/>
      <w:lvlText w:val="(%1)"/>
      <w:numFmt w:val="lowerLetter"/>
      <w:start w:val="1"/>
    </w:lvl>
  </w:abstractNum>
  <w:abstractNum w:abstractNumId="508">
    <w:nsid w:val="4FB7A02A"/>
    <w:multiLevelType w:val="hybridMultilevel"/>
    <w:lvl w:ilvl="0">
      <w:lvlJc w:val="left"/>
      <w:lvlText w:val="(%1)"/>
      <w:numFmt w:val="lowerRoman"/>
      <w:start w:val="1"/>
    </w:lvl>
  </w:abstractNum>
  <w:abstractNum w:abstractNumId="509">
    <w:nsid w:val="96CF728"/>
    <w:multiLevelType w:val="hybridMultilevel"/>
    <w:lvl w:ilvl="0">
      <w:lvlJc w:val="left"/>
      <w:lvlText w:val="(%1)"/>
      <w:numFmt w:val="lowerRoman"/>
      <w:start w:val="4"/>
    </w:lvl>
  </w:abstractNum>
  <w:abstractNum w:abstractNumId="510">
    <w:nsid w:val="3B121183"/>
    <w:multiLevelType w:val="hybridMultilevel"/>
    <w:lvl w:ilvl="0">
      <w:lvlJc w:val="left"/>
      <w:lvlText w:val="(%1)"/>
      <w:numFmt w:val="lowerLetter"/>
      <w:start w:val="5"/>
    </w:lvl>
  </w:abstractNum>
  <w:abstractNum w:abstractNumId="511">
    <w:nsid w:val="3459648F"/>
    <w:multiLevelType w:val="hybridMultilevel"/>
    <w:lvl w:ilvl="0">
      <w:lvlJc w:val="left"/>
      <w:lvlText w:val="%1"/>
      <w:numFmt w:val="lowerLetter"/>
      <w:start w:val="1"/>
    </w:lvl>
    <w:lvl w:ilvl="1">
      <w:lvlJc w:val="left"/>
      <w:lvlText w:val="(%2)"/>
      <w:numFmt w:val="lowerLetter"/>
      <w:start w:val="12"/>
    </w:lvl>
  </w:abstractNum>
  <w:abstractNum w:abstractNumId="512">
    <w:nsid w:val="3ADF331D"/>
    <w:multiLevelType w:val="hybridMultilevel"/>
    <w:lvl w:ilvl="0">
      <w:lvlJc w:val="left"/>
      <w:lvlText w:val="(%1)"/>
      <w:numFmt w:val="lowerLetter"/>
      <w:start w:val="35"/>
    </w:lvl>
    <w:lvl w:ilvl="1">
      <w:lvlJc w:val="left"/>
      <w:lvlText w:val="%2"/>
      <w:numFmt w:val="lowerLetter"/>
      <w:start w:val="1"/>
    </w:lvl>
  </w:abstractNum>
  <w:abstractNum w:abstractNumId="513">
    <w:nsid w:val="4D08A9E4"/>
    <w:multiLevelType w:val="hybridMultilevel"/>
    <w:lvl w:ilvl="0">
      <w:lvlJc w:val="left"/>
      <w:lvlText w:val="(%1)"/>
      <w:numFmt w:val="lowerLetter"/>
      <w:start w:val="13"/>
    </w:lvl>
  </w:abstractNum>
  <w:abstractNum w:abstractNumId="514">
    <w:nsid w:val="6AF2BB3A"/>
    <w:multiLevelType w:val="hybridMultilevel"/>
    <w:lvl w:ilvl="0">
      <w:lvlJc w:val="left"/>
      <w:lvlText w:val="%1."/>
      <w:numFmt w:val="decimal"/>
      <w:start w:val="3"/>
    </w:lvl>
  </w:abstractNum>
  <w:abstractNum w:abstractNumId="515">
    <w:nsid w:val="481B1739"/>
    <w:multiLevelType w:val="hybridMultilevel"/>
    <w:lvl w:ilvl="0">
      <w:lvlJc w:val="left"/>
      <w:lvlText w:val="%1."/>
      <w:numFmt w:val="decimal"/>
      <w:start w:val="4"/>
    </w:lvl>
  </w:abstractNum>
  <w:abstractNum w:abstractNumId="516">
    <w:nsid w:val="19E2BFCC"/>
    <w:multiLevelType w:val="hybridMultilevel"/>
    <w:lvl w:ilvl="0">
      <w:lvlJc w:val="left"/>
      <w:lvlText w:val="(%1)"/>
      <w:numFmt w:val="lowerLetter"/>
      <w:start w:val="1"/>
    </w:lvl>
  </w:abstractNum>
  <w:abstractNum w:abstractNumId="517">
    <w:nsid w:val="66D021CA"/>
    <w:multiLevelType w:val="hybridMultilevel"/>
    <w:lvl w:ilvl="0">
      <w:lvlJc w:val="left"/>
      <w:lvlText w:val="%1."/>
      <w:numFmt w:val="decimal"/>
      <w:start w:val="8"/>
    </w:lvl>
  </w:abstractNum>
  <w:abstractNum w:abstractNumId="518">
    <w:nsid w:val="56167394"/>
    <w:multiLevelType w:val="hybridMultilevel"/>
    <w:lvl w:ilvl="0">
      <w:lvlJc w:val="left"/>
      <w:lvlText w:val="(%1)"/>
      <w:numFmt w:val="lowerLetter"/>
      <w:start w:val="1"/>
    </w:lvl>
  </w:abstractNum>
  <w:abstractNum w:abstractNumId="519">
    <w:nsid w:val="921145C"/>
    <w:multiLevelType w:val="hybridMultilevel"/>
    <w:lvl w:ilvl="0">
      <w:lvlJc w:val="left"/>
      <w:lvlText w:val="%1."/>
      <w:numFmt w:val="decimal"/>
      <w:start w:val="9"/>
    </w:lvl>
  </w:abstractNum>
  <w:abstractNum w:abstractNumId="520">
    <w:nsid w:val="7B34DFE8"/>
    <w:multiLevelType w:val="hybridMultilevel"/>
    <w:lvl w:ilvl="0">
      <w:lvlJc w:val="left"/>
      <w:lvlText w:val="(%1)"/>
      <w:numFmt w:val="lowerLetter"/>
      <w:start w:val="1"/>
    </w:lvl>
  </w:abstractNum>
  <w:abstractNum w:abstractNumId="521">
    <w:nsid w:val="3CD22B79"/>
    <w:multiLevelType w:val="hybridMultilevel"/>
    <w:lvl w:ilvl="0">
      <w:lvlJc w:val="left"/>
      <w:lvlText w:val="%1."/>
      <w:numFmt w:val="decimal"/>
      <w:start w:val="10"/>
    </w:lvl>
  </w:abstractNum>
  <w:abstractNum w:abstractNumId="522">
    <w:nsid w:val="3137975E"/>
    <w:multiLevelType w:val="hybridMultilevel"/>
    <w:lvl w:ilvl="0">
      <w:lvlJc w:val="left"/>
      <w:lvlText w:val="(%1)"/>
      <w:numFmt w:val="lowerLetter"/>
      <w:start w:val="1"/>
    </w:lvl>
  </w:abstractNum>
  <w:abstractNum w:abstractNumId="523">
    <w:nsid w:val="2DDAA791"/>
    <w:multiLevelType w:val="hybridMultilevel"/>
    <w:lvl w:ilvl="0">
      <w:lvlJc w:val="left"/>
      <w:lvlText w:val="(%1)"/>
      <w:numFmt w:val="lowerLetter"/>
      <w:start w:val="2"/>
    </w:lvl>
  </w:abstractNum>
  <w:abstractNum w:abstractNumId="524">
    <w:nsid w:val="77263B8A"/>
    <w:multiLevelType w:val="hybridMultilevel"/>
    <w:lvl w:ilvl="0">
      <w:lvlJc w:val="left"/>
      <w:lvlText w:val="%1."/>
      <w:numFmt w:val="decimal"/>
      <w:start w:val="11"/>
    </w:lvl>
  </w:abstractNum>
  <w:abstractNum w:abstractNumId="525">
    <w:nsid w:val="755B5ED6"/>
    <w:multiLevelType w:val="hybridMultilevel"/>
    <w:lvl w:ilvl="0">
      <w:lvlJc w:val="left"/>
      <w:lvlText w:val="(%1)"/>
      <w:numFmt w:val="lowerLetter"/>
      <w:start w:val="1"/>
    </w:lvl>
  </w:abstractNum>
  <w:abstractNum w:abstractNumId="526">
    <w:nsid w:val="D3715DE"/>
    <w:multiLevelType w:val="hybridMultilevel"/>
    <w:lvl w:ilvl="0">
      <w:lvlJc w:val="left"/>
      <w:lvlText w:val="%1."/>
      <w:numFmt w:val="decimal"/>
      <w:start w:val="12"/>
    </w:lvl>
  </w:abstractNum>
  <w:abstractNum w:abstractNumId="527">
    <w:nsid w:val="73509257"/>
    <w:multiLevelType w:val="hybridMultilevel"/>
    <w:lvl w:ilvl="0">
      <w:lvlJc w:val="left"/>
      <w:lvlText w:val="(%1)"/>
      <w:numFmt w:val="lowerLetter"/>
      <w:start w:val="1"/>
    </w:lvl>
  </w:abstractNum>
  <w:abstractNum w:abstractNumId="528">
    <w:nsid w:val="7013CDB7"/>
    <w:multiLevelType w:val="hybridMultilevel"/>
    <w:lvl w:ilvl="0">
      <w:lvlJc w:val="left"/>
      <w:lvlText w:val="(%1)"/>
      <w:numFmt w:val="lowerLetter"/>
      <w:start w:val="3"/>
    </w:lvl>
  </w:abstractNum>
  <w:abstractNum w:abstractNumId="529">
    <w:nsid w:val="188BFB19"/>
    <w:multiLevelType w:val="hybridMultilevel"/>
    <w:lvl w:ilvl="0">
      <w:lvlJc w:val="left"/>
      <w:lvlText w:val="%1."/>
      <w:numFmt w:val="decimal"/>
      <w:start w:val="13"/>
    </w:lvl>
  </w:abstractNum>
  <w:abstractNum w:abstractNumId="530">
    <w:nsid w:val="75F096DF"/>
    <w:multiLevelType w:val="hybridMultilevel"/>
    <w:lvl w:ilvl="0">
      <w:lvlJc w:val="left"/>
      <w:lvlText w:val="(%1)"/>
      <w:numFmt w:val="lowerLetter"/>
      <w:start w:val="1"/>
    </w:lvl>
  </w:abstractNum>
  <w:abstractNum w:abstractNumId="531">
    <w:nsid w:val="76DEE918"/>
    <w:multiLevelType w:val="hybridMultilevel"/>
    <w:lvl w:ilvl="0">
      <w:lvlJc w:val="left"/>
      <w:lvlText w:val="(%1)"/>
      <w:numFmt w:val="lowerLetter"/>
      <w:start w:val="4"/>
    </w:lvl>
  </w:abstractNum>
  <w:abstractNum w:abstractNumId="532">
    <w:nsid w:val="B79D08D"/>
    <w:multiLevelType w:val="hybridMultilevel"/>
    <w:lvl w:ilvl="0">
      <w:lvlJc w:val="left"/>
      <w:lvlText w:val="%1."/>
      <w:numFmt w:val="decimal"/>
      <w:start w:val="14"/>
    </w:lvl>
  </w:abstractNum>
  <w:abstractNum w:abstractNumId="533">
    <w:nsid w:val="69141769"/>
    <w:multiLevelType w:val="hybridMultilevel"/>
    <w:lvl w:ilvl="0">
      <w:lvlJc w:val="left"/>
      <w:lvlText w:val="%1"/>
      <w:numFmt w:val="lowerRoman"/>
      <w:start w:val="1"/>
    </w:lvl>
    <w:lvl w:ilvl="1">
      <w:lvlJc w:val="left"/>
      <w:lvlText w:val="(%2)"/>
      <w:numFmt w:val="lowerLetter"/>
      <w:start w:val="1"/>
    </w:lvl>
  </w:abstractNum>
  <w:abstractNum w:abstractNumId="534">
    <w:nsid w:val="7BF45B8E"/>
    <w:multiLevelType w:val="hybridMultilevel"/>
    <w:lvl w:ilvl="0">
      <w:lvlJc w:val="left"/>
      <w:lvlText w:val="(%1)"/>
      <w:numFmt w:val="lowerRoman"/>
      <w:start w:val="5"/>
    </w:lvl>
    <w:lvl w:ilvl="1">
      <w:lvlJc w:val="left"/>
      <w:lvlText w:val="%2"/>
      <w:numFmt w:val="lowerLetter"/>
      <w:start w:val="1"/>
    </w:lvl>
  </w:abstractNum>
  <w:abstractNum w:abstractNumId="535">
    <w:nsid w:val="41205269"/>
    <w:multiLevelType w:val="hybridMultilevel"/>
    <w:lvl w:ilvl="0">
      <w:lvlJc w:val="left"/>
      <w:lvlText w:val="(%1)"/>
      <w:numFmt w:val="lowerRoman"/>
      <w:start w:val="7"/>
    </w:lvl>
    <w:lvl w:ilvl="1">
      <w:lvlJc w:val="left"/>
      <w:lvlText w:val="(%2)"/>
      <w:numFmt w:val="lowerLetter"/>
      <w:start w:val="2"/>
    </w:lvl>
  </w:abstractNum>
  <w:abstractNum w:abstractNumId="536">
    <w:nsid w:val="9AE0DD"/>
    <w:multiLevelType w:val="hybridMultilevel"/>
    <w:lvl w:ilvl="0">
      <w:lvlJc w:val="left"/>
      <w:lvlText w:val="(%1)"/>
      <w:numFmt w:val="lowerLetter"/>
      <w:start w:val="5"/>
    </w:lvl>
  </w:abstractNum>
  <w:abstractNum w:abstractNumId="537">
    <w:nsid w:val="1818832F"/>
    <w:multiLevelType w:val="hybridMultilevel"/>
    <w:lvl w:ilvl="0">
      <w:lvlJc w:val="left"/>
      <w:lvlText w:val="%1."/>
      <w:numFmt w:val="decimal"/>
      <w:start w:val="15"/>
    </w:lvl>
  </w:abstractNum>
  <w:abstractNum w:abstractNumId="538">
    <w:nsid w:val="24C29FD1"/>
    <w:multiLevelType w:val="hybridMultilevel"/>
    <w:lvl w:ilvl="0">
      <w:lvlJc w:val="left"/>
      <w:lvlText w:val="(%1)"/>
      <w:numFmt w:val="lowerLetter"/>
      <w:start w:val="1"/>
    </w:lvl>
  </w:abstractNum>
  <w:abstractNum w:abstractNumId="539">
    <w:nsid w:val="50528108"/>
    <w:multiLevelType w:val="hybridMultilevel"/>
    <w:lvl w:ilvl="0">
      <w:lvlJc w:val="left"/>
      <w:lvlText w:val="(%1)"/>
      <w:numFmt w:val="lowerLetter"/>
      <w:start w:val="3"/>
    </w:lvl>
  </w:abstractNum>
  <w:abstractNum w:abstractNumId="540">
    <w:nsid w:val="21857A57"/>
    <w:multiLevelType w:val="hybridMultilevel"/>
    <w:lvl w:ilvl="0">
      <w:lvlJc w:val="left"/>
      <w:lvlText w:val="%1"/>
      <w:numFmt w:val="lowerLetter"/>
      <w:start w:val="1"/>
    </w:lvl>
    <w:lvl w:ilvl="1">
      <w:lvlJc w:val="left"/>
      <w:lvlText w:val="%2."/>
      <w:numFmt w:val="decimal"/>
      <w:start w:val="17"/>
    </w:lvl>
  </w:abstractNum>
  <w:abstractNum w:abstractNumId="541">
    <w:nsid w:val="5FD4B154"/>
    <w:multiLevelType w:val="hybridMultilevel"/>
    <w:lvl w:ilvl="0">
      <w:lvlJc w:val="left"/>
      <w:lvlText w:val="(%1)"/>
      <w:numFmt w:val="lowerLetter"/>
      <w:start w:val="2"/>
    </w:lvl>
    <w:lvl w:ilvl="1">
      <w:lvlJc w:val="left"/>
      <w:lvlText w:val="%2"/>
      <w:numFmt w:val="decimal"/>
      <w:start w:val="1"/>
    </w:lvl>
  </w:abstractNum>
  <w:abstractNum w:abstractNumId="542">
    <w:nsid w:val="4ABE597"/>
    <w:multiLevelType w:val="hybridMultilevel"/>
    <w:lvl w:ilvl="0">
      <w:lvlJc w:val="left"/>
      <w:lvlText w:val="%1."/>
      <w:numFmt w:val="decimal"/>
      <w:start w:val="19"/>
    </w:lvl>
  </w:abstractNum>
  <w:abstractNum w:abstractNumId="543">
    <w:nsid w:val="5C64AD75"/>
    <w:multiLevelType w:val="hybridMultilevel"/>
    <w:lvl w:ilvl="0">
      <w:lvlJc w:val="left"/>
      <w:lvlText w:val="(%1)"/>
      <w:numFmt w:val="lowerLetter"/>
      <w:start w:val="1"/>
    </w:lvl>
  </w:abstractNum>
  <w:abstractNum w:abstractNumId="544">
    <w:nsid w:val="2CDD5B39"/>
    <w:multiLevelType w:val="hybridMultilevel"/>
    <w:lvl w:ilvl="0">
      <w:lvlJc w:val="left"/>
      <w:lvlText w:val="%1."/>
      <w:numFmt w:val="decimal"/>
      <w:start w:val="20"/>
    </w:lvl>
  </w:abstractNum>
  <w:abstractNum w:abstractNumId="545">
    <w:nsid w:val="6F9EA0D1"/>
    <w:multiLevelType w:val="hybridMultilevel"/>
    <w:lvl w:ilvl="0">
      <w:lvlJc w:val="left"/>
      <w:lvlText w:val="(%1)"/>
      <w:numFmt w:val="lowerLetter"/>
      <w:start w:val="1"/>
    </w:lvl>
  </w:abstractNum>
  <w:abstractNum w:abstractNumId="546">
    <w:nsid w:val="247FC4AE"/>
    <w:multiLevelType w:val="hybridMultilevel"/>
    <w:lvl w:ilvl="0">
      <w:lvlJc w:val="left"/>
      <w:lvlText w:val="%1."/>
      <w:numFmt w:val="decimal"/>
      <w:start w:val="22"/>
    </w:lvl>
  </w:abstractNum>
  <w:abstractNum w:abstractNumId="547">
    <w:nsid w:val="46C01B05"/>
    <w:multiLevelType w:val="hybridMultilevel"/>
    <w:lvl w:ilvl="0">
      <w:lvlJc w:val="left"/>
      <w:lvlText w:val="%1."/>
      <w:numFmt w:val="decimal"/>
      <w:start w:val="28"/>
    </w:lvl>
  </w:abstractNum>
  <w:abstractNum w:abstractNumId="548">
    <w:nsid w:val="566E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2025-10-09T15:42:00Z</dcterms:created>
  <dcterms:modified xsi:type="dcterms:W3CDTF">2025-10-09T15:42:00Z</dcterms:modified>
</cp:coreProperties>
</file>