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29696d424b4.htm"/>
        <w:bookmarkStart w:id="1" w:name="ksd929696d424b4"/>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424(b)(4)</w:t>
        <w:br/>
        <w:t xml:space="preserve">Registration No. 333-289479 </w:t>
      </w:r>
    </w:p>
    <w:p>
      <w:pPr>
        <w:pStyle w:val="TextBody"/>
        <w:bidi w:val="0"/>
        <w:spacing w:before="240" w:after="0"/>
        <w:jc w:val="center"/>
        <w:rPr>
          <w:rFonts w:ascii="Times New Roman" w:hAnsi="Times New Roman"/>
          <w:b/>
          <w:sz w:val="36"/>
        </w:rPr>
      </w:pPr>
      <w:r>
        <w:rPr>
          <w:rFonts w:ascii="Times New Roman" w:hAnsi="Times New Roman"/>
          <w:b/>
          <w:sz w:val="36"/>
        </w:rPr>
        <w:t xml:space="preserve">$220,000,000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540000" cy="3994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40000" cy="3994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GigCapital8 Corp. </w:t>
      </w:r>
    </w:p>
    <w:p>
      <w:pPr>
        <w:pStyle w:val="TextBody"/>
        <w:bidi w:val="0"/>
        <w:spacing w:before="240" w:after="0"/>
        <w:jc w:val="center"/>
        <w:rPr>
          <w:rFonts w:ascii="Times New Roman" w:hAnsi="Times New Roman"/>
          <w:b/>
          <w:sz w:val="28"/>
        </w:rPr>
      </w:pPr>
      <w:r>
        <w:rPr>
          <w:rFonts w:ascii="Times New Roman" w:hAnsi="Times New Roman"/>
          <w:b/>
          <w:sz w:val="28"/>
        </w:rPr>
        <w:t xml:space="preserve">22,000,000 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GigCapital8 Corp., a Cayman Islands exempted company (the “company”), is a newly organized Private-to-Public Equity (PPE) company, also known as a blank check company or special purpose acquisition company (“SPAC”), formed by an affiliate of the serial SPAC issuer GigCapital Global, for the purpose of entering into a merger, share exchange, asset acquisition, stock purchase, recapitalization, reorganization or similar business combination with one or more businesses, which we refer to throughout this prospectus as our “initial business combination.” We have not selected any specific business combination target. To date, our efforts have been limited to organizational activities as well as activities related to this offering. Our efforts to identify a prospective target business will not be limited to a particular industry or geographic region, although we intend to focus on companies in the aerospace and defense services, cybersecurity and secured communications and quantum-based command and control systems, and artificial intelligence and machine-learning industries. </w:t>
      </w:r>
    </w:p>
    <w:p>
      <w:pPr>
        <w:pStyle w:val="TextBody"/>
        <w:bidi w:val="0"/>
        <w:spacing w:before="240" w:after="0"/>
        <w:jc w:val="left"/>
        <w:rPr>
          <w:rFonts w:ascii="Times New Roman" w:hAnsi="Times New Roman"/>
          <w:sz w:val="20"/>
        </w:rPr>
      </w:pPr>
      <w:r>
        <w:rPr>
          <w:rFonts w:ascii="Times New Roman" w:hAnsi="Times New Roman"/>
          <w:sz w:val="20"/>
        </w:rPr>
        <w:t xml:space="preserve">This is an initial public offering of our securities. We are offering 22,000,000 units at an offering price of $10.00 each. Each unit consists of one Class A ordinary share and one right to receive one-fifth of one Class A ordinary share upon the consummation of an initial business combination. Each five rights entitle the holder thereof to receive one Class A ordinary share upon the consummation of our business combination. We will not issue fractional shares upon the conversion of the rights. As a result, you must hold rights in multiples of five in order to receive shares for all of your rights upon the consummation of a business combination. We refer herein to the units sold in this offering as our “public units,” and the components thereof as our “public shares” and “public rights,” respectively. We have granted D. Boral Capital LLC, the representative of the underwriters of this offering, a 45-day option to purchase up to an additional 3,300,000 units solely to cover over-allotments, if any.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purchasers of our public units, or our “public shareholders,” with the opportunity to redeem all or a portion of their public shares upon the completion of our initial business combination at a per-share price, payable in cash, equal to the aggregate amount then on deposit in the trust account described below as of two business days prior to consummation of the initial business combination, including interest earned on the funds held in the trust account (net of amounts withdrawn to pay our taxes, if any (“permitted withdrawals”)), divided by the number of then issued and outstanding public shares, subject to the limitations and on the conditions described herein. The amount in the trust account will initially be $10.00 per public share. We will have 24 months from the closing of this offering or until such earlier liquidation date as our board of directors may approve, to consummate an initial business combination, which we refer to herein as the completion window.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shareholder approval for an extension, holders of public shares will be offered an opportunity to redeem their shares at a per share price, payable in cash, equal to the aggregate amount then on deposit in the trust account, including interest earned thereon (less permitted withdrawals), divided by the number of then issued and outstanding public shares, subject to applicable law. If we are unable to complete our initial business combination within the completion window (or such later date as approved by our shareholders), or by such earlier liquidation date as our board of directors may approve, we will redeem 100% of the public shares at a per share price, payable in cash, equal to the aggregate amount then on deposit in the trust account, including interest earned thereon (less permitted withdrawals and up to $100,000 of interest income to pay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dissolution expenses), divided by the number of then issued and outstanding public shares, subject to applicable law and certain conditions as further described herein. </w:t>
      </w:r>
      <w:r>
        <w:rPr>
          <w:rFonts w:ascii="Times New Roman" w:hAnsi="Times New Roman"/>
          <w:b/>
          <w:sz w:val="20"/>
        </w:rPr>
        <w:t>See</w:t>
      </w:r>
      <w:r>
        <w:rPr>
          <w:rFonts w:ascii="Times New Roman" w:hAnsi="Times New Roman"/>
          <w:sz w:val="20"/>
        </w:rPr>
        <w:t> “</w:t>
      </w:r>
      <w:r>
        <w:rPr>
          <w:rFonts w:ascii="Times New Roman" w:hAnsi="Times New Roman"/>
          <w:b/>
          <w:i/>
          <w:sz w:val="20"/>
        </w:rPr>
        <w:t>Summary — The Offering — Redemption rights for public shareholders upon completion of our initial business combination</w:t>
      </w:r>
      <w:r>
        <w:rPr>
          <w:rFonts w:ascii="Times New Roman" w:hAnsi="Times New Roman"/>
          <w:sz w:val="20"/>
        </w:rPr>
        <w:t xml:space="preserve">” </w:t>
      </w:r>
      <w:r>
        <w:rPr>
          <w:rFonts w:ascii="Times New Roman" w:hAnsi="Times New Roman"/>
          <w:b/>
          <w:sz w:val="20"/>
        </w:rPr>
        <w:t>on page 43 and “</w:t>
      </w:r>
      <w:r>
        <w:rPr>
          <w:rFonts w:ascii="Times New Roman" w:hAnsi="Times New Roman"/>
          <w:b/>
          <w:i/>
          <w:sz w:val="20"/>
        </w:rPr>
        <w:t>Summary — The Offering — Redemption of public shares and distribution and liquidation if no initial business combination</w:t>
      </w:r>
      <w:r>
        <w:rPr>
          <w:rFonts w:ascii="Times New Roman" w:hAnsi="Times New Roman"/>
          <w:sz w:val="20"/>
        </w:rPr>
        <w:t xml:space="preserve">” </w:t>
      </w:r>
      <w:r>
        <w:rPr>
          <w:rFonts w:ascii="Times New Roman" w:hAnsi="Times New Roman"/>
          <w:b/>
          <w:sz w:val="20"/>
        </w:rPr>
        <w:t xml:space="preserve">on page 48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“group”(as defined under Section 13 of the Securities Exchange Act of 1934, as amended (the “Exchange Act”), will be restricted from redeeming its shares with respect to more than an aggregate of 15% of the shares sold in this offering without our prior consent. However, we would not be restricting our shareholders’ ability to vote all of their shares (including all shares held by those shareholders that hold more than 15% of the shares sold in this offering) for or against our initial business combination. </w:t>
      </w:r>
      <w:r>
        <w:rPr>
          <w:rFonts w:ascii="Times New Roman" w:hAnsi="Times New Roman"/>
          <w:b/>
          <w:sz w:val="20"/>
        </w:rPr>
        <w:t>See “</w:t>
      </w:r>
      <w:r>
        <w:rPr>
          <w:rFonts w:ascii="Times New Roman" w:hAnsi="Times New Roman"/>
          <w:b/>
          <w:i/>
          <w:sz w:val="20"/>
        </w:rPr>
        <w:t>Summary—The Offering—</w:t>
      </w:r>
      <w:r>
        <w:rPr>
          <w:rFonts w:ascii="Times New Roman" w:hAnsi="Times New Roman"/>
          <w:sz w:val="20"/>
        </w:rPr>
        <w:t xml:space="preserve"> </w:t>
      </w:r>
      <w:r>
        <w:rPr>
          <w:rFonts w:ascii="Times New Roman" w:hAnsi="Times New Roman"/>
          <w:b/>
          <w:i/>
          <w:sz w:val="20"/>
        </w:rPr>
        <w:t>Limitation on redemption rights of shareholders holding more than 15% of the public shares sold in this offering if we hold a shareholder vote</w:t>
      </w:r>
      <w:r>
        <w:rPr>
          <w:rFonts w:ascii="Times New Roman" w:hAnsi="Times New Roman"/>
          <w:sz w:val="20"/>
        </w:rPr>
        <w:t xml:space="preserve">” </w:t>
      </w:r>
      <w:r>
        <w:rPr>
          <w:rFonts w:ascii="Times New Roman" w:hAnsi="Times New Roman"/>
          <w:b/>
          <w:sz w:val="20"/>
        </w:rPr>
        <w:t>on page 46 for further discussion on certain limitations on redemption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sponsor, GigAcquisitions8 Corp. which is owned by two of our directors, Dr. Avi S. Katz and Dr. Raluca Dinu (or non-affiliated investors to which our sponsor assigns this subscription as described below) together with four of our other directors, James Greene, Luis Machuca, Bryan Timm and Raanan Horowitz, and non-affiliated Lynrock Lake Master Fund LP (“Lynrock”) will subscribe pursuant to a unit purchase agreement (the “Unit Purchase Agreement”) to purchase an aggregate of 95,200 private placement units (including if the underwriters’ over-allotment option is exercised in full), at a price of $9.7374 per unit, for an aggregate purchase price of $927,000 in a private placement that will close simultaneously with the closing of this offering. Each unit sold in this private placement consists of one Class A ordinary share and one right to receive one-fifth of one Class A ordinary share upon the consummation of an initial business combination, as described in more detail in this prospectus. We refer to these units throughout this prospectus as “private placement units,” the Class A ordinary shares included in the units as “private placement shares” and the share rights included in such units as “private placement rights.” The sponsor reserves the right to allocate participation in the private placement for the 95,200 private placement units to some non-affiliated investors in connection with the completion of this offering in exchange for interests in our founder shares (as defined below). The private placement units are identical to the public units sold in this offering, subject to certain limited exceptions as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At our formation on June 30, 2025, one Class B ordinary share that was allotted to Harneys Fiduciary (Cayman) Limited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As a result, as of the date of this prospectus, our sponsor has 7,845,229 Class B ordinary shares, which our sponsor can transfer to permitted transferees as set forth in the subscription agreement and the letter agreement to be executed at the time of the closing of this offering. We refer to such 7,850,229 Class B ordinary shares initially held by our sponsor throughout this prospectus as “founder shares.” </w:t>
      </w:r>
      <w:r>
        <w:rPr>
          <w:rFonts w:ascii="Times New Roman" w:hAnsi="Times New Roman"/>
          <w:b/>
          <w:sz w:val="20"/>
        </w:rPr>
        <w:t xml:space="preserve">See </w:t>
      </w:r>
      <w:r>
        <w:rPr>
          <w:rFonts w:ascii="Times New Roman" w:hAnsi="Times New Roman"/>
          <w:sz w:val="20"/>
        </w:rPr>
        <w:t>“</w:t>
      </w:r>
      <w:r>
        <w:rPr>
          <w:rFonts w:ascii="Times New Roman" w:hAnsi="Times New Roman"/>
          <w:b/>
          <w:i/>
          <w:sz w:val="20"/>
        </w:rPr>
        <w:t>Summary</w:t>
      </w:r>
      <w:r>
        <w:rPr>
          <w:rFonts w:ascii="Times New Roman" w:hAnsi="Times New Roman"/>
          <w:sz w:val="20"/>
        </w:rPr>
        <w:t xml:space="preserve">— </w:t>
      </w:r>
      <w:r>
        <w:rPr>
          <w:rFonts w:ascii="Times New Roman" w:hAnsi="Times New Roman"/>
          <w:b/>
          <w:i/>
          <w:sz w:val="20"/>
        </w:rPr>
        <w:t>The Offering— Sponsor</w:t>
      </w:r>
      <w:r>
        <w:rPr>
          <w:rFonts w:ascii="Times New Roman" w:hAnsi="Times New Roman"/>
          <w:sz w:val="20"/>
        </w:rPr>
        <w:t>’</w:t>
      </w:r>
      <w:r>
        <w:rPr>
          <w:rFonts w:ascii="Times New Roman" w:hAnsi="Times New Roman"/>
          <w:b/>
          <w:i/>
          <w:sz w:val="20"/>
        </w:rPr>
        <w:t>s Securities and Compensation</w:t>
      </w:r>
      <w:r>
        <w:rPr>
          <w:rFonts w:ascii="Times New Roman" w:hAnsi="Times New Roman"/>
          <w:sz w:val="20"/>
        </w:rPr>
        <w:t xml:space="preserve">” </w:t>
      </w:r>
      <w:r>
        <w:rPr>
          <w:rFonts w:ascii="Times New Roman" w:hAnsi="Times New Roman"/>
          <w:b/>
          <w:sz w:val="20"/>
        </w:rPr>
        <w:t>for further discussion on sponsor</w:t>
      </w:r>
      <w:r>
        <w:rPr>
          <w:rFonts w:ascii="Times New Roman" w:hAnsi="Times New Roman"/>
          <w:sz w:val="20"/>
        </w:rPr>
        <w:t>’</w:t>
      </w:r>
      <w:r>
        <w:rPr>
          <w:rFonts w:ascii="Times New Roman" w:hAnsi="Times New Roman"/>
          <w:b/>
          <w:sz w:val="20"/>
        </w:rPr>
        <w:t>s and our affiliates</w:t>
      </w:r>
      <w:r>
        <w:rPr>
          <w:rFonts w:ascii="Times New Roman" w:hAnsi="Times New Roman"/>
          <w:sz w:val="20"/>
        </w:rPr>
        <w:t xml:space="preserve">’ </w:t>
      </w:r>
      <w:r>
        <w:rPr>
          <w:rFonts w:ascii="Times New Roman" w:hAnsi="Times New Roman"/>
          <w:b/>
          <w:sz w:val="20"/>
        </w:rPr>
        <w:t xml:space="preserve">securities and compensation. </w:t>
      </w:r>
      <w:r>
        <w:rPr>
          <w:rFonts w:ascii="Times New Roman" w:hAnsi="Times New Roman"/>
          <w:sz w:val="20"/>
        </w:rPr>
        <w:t xml:space="preserve">The proceeds from the sale of the founder shares will not be placed in the trust account. Prior to the completion of our initial business combination, only holders of our Class B ordinary shares will be entitled to vote on the election of directors. Our sponsor intends at the time of the consummation of this offering to sell 375,397 founder shares in the aggregate to Messrs. Greene, Machuca, Timm and Horowitz at an aggregate price of $9,244, and 1,416,665 founder shares to non-affiliated Lynrock at an aggregate price of $13,130, thus reducing the price paid by our sponsor for the 6,058,167 founder shares which it is retaining to $2,626, or $0.000434 per share. Prior to the making of this offering, the sponsor transferred 5,000 founder shares to Christine Marshall, our Chief Financial Officer,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solely in consideration of future services to us. The 5,000 founder shares granted to Ms. Marshall are subject to forfeiture back to the sponsor in the event she resigns or is removed for cause from her position with us prior to consummation of our initial business combination. Following this transfer of shares, the sponsor will hold 6,053,167 founder shares. </w:t>
      </w:r>
    </w:p>
    <w:p>
      <w:pPr>
        <w:pStyle w:val="TextBody"/>
        <w:bidi w:val="0"/>
        <w:spacing w:before="240" w:after="0"/>
        <w:jc w:val="left"/>
        <w:rPr>
          <w:rFonts w:ascii="Times New Roman" w:hAnsi="Times New Roman"/>
          <w:sz w:val="20"/>
        </w:rPr>
      </w:pPr>
      <w:r>
        <w:rPr>
          <w:rFonts w:ascii="Times New Roman" w:hAnsi="Times New Roman"/>
          <w:sz w:val="20"/>
        </w:rPr>
        <w:t xml:space="preserve">Eight groups of institutional accredited investors (none of which are affiliated with any member of our management, our sponsor or any other investor), which we refer to as the “non-managing investors” throughout this prospectus, have committed to purchase an aggregate of (a)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262,425 private placement units if the underwriters’ over-allotment option is exercised in full) at a price of $9.7374 per private placement unit, for an aggregate purchase price of $2,430,006 (or $2,624,266 if the underwriters’ over-allotment option is exercised in full) in a private placement that will close simultaneously with the completion of this offering. We refer to the 2,964,203 Class B ordinary shares being issued to the non-managing investors throughout this prospectus as “private investor shares.” </w:t>
      </w:r>
    </w:p>
    <w:p>
      <w:pPr>
        <w:pStyle w:val="TextBody"/>
        <w:bidi w:val="0"/>
        <w:spacing w:before="240" w:after="0"/>
        <w:jc w:val="left"/>
        <w:rPr>
          <w:rFonts w:ascii="Times New Roman" w:hAnsi="Times New Roman"/>
          <w:sz w:val="20"/>
        </w:rPr>
      </w:pPr>
      <w:r>
        <w:rPr>
          <w:rFonts w:ascii="Times New Roman" w:hAnsi="Times New Roman"/>
          <w:sz w:val="20"/>
        </w:rPr>
        <w:t xml:space="preserve">The Class B ordinary shares will automatically convert into Class A ordinary shares at the time of our initial business combination, or at any time prior thereto at the option of the holder thereof, on a one-for-one basis, subject to adjustment for share sub-divisions, share capitalizations, reorganizations, recapitalizations and the like. Because our sponsor, following the sale of founder shares to the four other directors and Lynrock, acquired the retained founder shares at a nominal price of $0.000434 per Class B ordinary share, Messrs. Greene, Machuca, Timm and Horowitz will acquire founder shares from our sponsor at the time of this offering at a nominal price of $0.02462 per Class B ordinary share, Lynrock will acquire founder shares from our sponsor at the time of this offering at a nominal purchase price of $0.00927 per share, and the non-managing investors will acquire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one-to-one basis upon conversion. In addition, because our insiders will acquire the private placement units, including the private placement shares, at a price of $9.7374 per private placement unit that is less than the amount paid by our public shareholders for the public units which we are selling in this offering, our public shareholders will incur an immediate and substantial dilution upon the closing of this offering. </w:t>
      </w:r>
      <w:r>
        <w:rPr>
          <w:rFonts w:ascii="Times New Roman" w:hAnsi="Times New Roman"/>
          <w:b/>
          <w:sz w:val="20"/>
        </w:rPr>
        <w:t>See the section titled “</w:t>
      </w:r>
      <w:r>
        <w:rPr>
          <w:rFonts w:ascii="Times New Roman" w:hAnsi="Times New Roman"/>
          <w:b/>
          <w:i/>
          <w:sz w:val="20"/>
        </w:rPr>
        <w:t>Risk Factors</w:t>
      </w:r>
      <w:r>
        <w:rPr>
          <w:rFonts w:ascii="Times New Roman" w:hAnsi="Times New Roman"/>
          <w:sz w:val="20"/>
        </w:rPr>
        <w:t> — </w:t>
      </w:r>
      <w:r>
        <w:rPr>
          <w:rFonts w:ascii="Times New Roman" w:hAnsi="Times New Roman"/>
          <w:b/>
          <w:i/>
          <w:sz w:val="20"/>
        </w:rPr>
        <w:t>Risks Relating to our Securities</w:t>
      </w:r>
      <w:r>
        <w:rPr>
          <w:rFonts w:ascii="Times New Roman" w:hAnsi="Times New Roman"/>
          <w:sz w:val="20"/>
        </w:rPr>
        <w:t> — </w:t>
      </w:r>
      <w:r>
        <w:rPr>
          <w:rFonts w:ascii="Times New Roman" w:hAnsi="Times New Roman"/>
          <w:b/>
          <w:i/>
          <w:sz w:val="20"/>
        </w:rPr>
        <w:t>The nominal purchase price paid by our sponsor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hAnsi="Times New Roman"/>
          <w:sz w:val="20"/>
        </w:rPr>
        <w:t xml:space="preserve">” </w:t>
      </w:r>
      <w:r>
        <w:rPr>
          <w:rFonts w:ascii="Times New Roman" w:hAnsi="Times New Roman"/>
          <w:b/>
          <w:sz w:val="20"/>
        </w:rPr>
        <w:t>on page 103</w:t>
      </w:r>
      <w:r>
        <w:rPr>
          <w:rFonts w:ascii="Times New Roman" w:hAnsi="Times New Roman"/>
          <w:sz w:val="20"/>
        </w:rPr>
        <w:t xml:space="preserve">. In the case that additional Class A ordinary shares, or equity-linked securities (as described herein), are issued or deemed issued in excess of the amounts issued in this offering and related to or in connection with the closing of our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as described below),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 If we increase or decrease the size of this offering, we will effect a share capitalization or a share repurchase or redemption or other appropriate mechanism, as applicable, with respect to our Class B ordinary shares immediately prior to the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consummation of this offering in such amount as to maintain the ownership of founder shares by our insiders, on an as-converted basis, at 30% of our issued and outstanding ordinary shares upon the consummation of this offering. Prior to our initial business combination, only holders of our Class B ordinary shares will have the right to vote on the appointment and removal of directors. Holders of our Class A ordinary shares will not be entitled to vote on the appointment or removal of directors during such time. These provisions of our amended and restated memorandum and articles of association may only be amended by a special resolution passed by a majority of at least 90% (or, where such amendment is proposed in respect of the consummation of our initial business combination, two-thirds) of our ordinary shares voting at the applicable general meeting. With respect to any other matter submitted to a vote of our shareholders, including any vote in connection with our initial business combination, except as required by applicable law or stock exchange rule, holders of our Class A ordinary shares and holders of our Class B ordinary shares will vote together as a single class, with each share entitling the holder to one vote. In addition, to continue the company in a jurisdiction outside of the Cayman Islands, including the adoption of the organizational documents for such jurisdiction, our board of directors will be able to approve such continuation and organizational documents without the vote of any holders of our Class A ordinary shares and Class B ordinary shares. Collectively, our insiders’ aggregate holdings of 5,599,050 Class B ordinary shares and 45,200 private placement shares will represent 17.8% of all ordinary shares outstanding upon completion of this offering, assuming that the underwriters’ over-allotment option is not exercised. In addition, together with the non-managing investors’ 2,577,522 Class B ordinary shares and 242,475 private placement shares, the total founder shares, private investor shares and private placement shares of the insiders and the non-managing investors will represent 30.7% of all 31,741,483 ordinary shares outstanding upon completion of this offering, assuming that the underwriters’ over-allotment option is not exercised. </w:t>
      </w:r>
    </w:p>
    <w:p>
      <w:pPr>
        <w:pStyle w:val="TextBody"/>
        <w:bidi w:val="0"/>
        <w:spacing w:before="240" w:after="0"/>
        <w:jc w:val="left"/>
        <w:rPr>
          <w:rFonts w:ascii="Times New Roman" w:hAnsi="Times New Roman"/>
          <w:sz w:val="20"/>
        </w:rPr>
      </w:pPr>
      <w:r>
        <w:rPr>
          <w:rFonts w:ascii="Times New Roman" w:hAnsi="Times New Roman"/>
          <w:b/>
          <w:sz w:val="20"/>
        </w:rPr>
        <w:t>See “</w:t>
      </w:r>
      <w:r>
        <w:rPr>
          <w:rFonts w:ascii="Times New Roman" w:hAnsi="Times New Roman"/>
          <w:b/>
          <w:i/>
          <w:sz w:val="20"/>
        </w:rPr>
        <w:t>Summary—Sponsor</w:t>
      </w:r>
      <w:r>
        <w:rPr>
          <w:rFonts w:ascii="Times New Roman" w:hAnsi="Times New Roman"/>
          <w:sz w:val="20"/>
        </w:rPr>
        <w:t xml:space="preserve">” </w:t>
      </w:r>
      <w:r>
        <w:rPr>
          <w:rFonts w:ascii="Times New Roman" w:hAnsi="Times New Roman"/>
          <w:b/>
          <w:sz w:val="20"/>
        </w:rPr>
        <w:t>for further discussion on our sponsor’s securities and compensation on page 15; “</w:t>
      </w:r>
      <w:r>
        <w:rPr>
          <w:rFonts w:ascii="Times New Roman" w:hAnsi="Times New Roman"/>
          <w:b/>
          <w:i/>
          <w:sz w:val="20"/>
        </w:rPr>
        <w:t>Summary —The Offering —Transfer restrictions applicable to founder shares, private investor shares, private placement shares and private placement rights (and shares into which the rights convert)</w:t>
      </w:r>
      <w:r>
        <w:rPr>
          <w:rFonts w:ascii="Times New Roman" w:hAnsi="Times New Roman"/>
          <w:sz w:val="20"/>
        </w:rPr>
        <w:t xml:space="preserve">” </w:t>
      </w:r>
      <w:r>
        <w:rPr>
          <w:rFonts w:ascii="Times New Roman" w:hAnsi="Times New Roman"/>
          <w:b/>
          <w:sz w:val="20"/>
        </w:rPr>
        <w:t>on page 33, “</w:t>
      </w:r>
      <w:r>
        <w:rPr>
          <w:rFonts w:ascii="Times New Roman" w:hAnsi="Times New Roman"/>
          <w:b/>
          <w:i/>
          <w:sz w:val="20"/>
        </w:rPr>
        <w:t>Summary —The Offering—Conversion of founder shares and private investor shares and anti-dilution rights</w:t>
      </w:r>
      <w:r>
        <w:rPr>
          <w:rFonts w:ascii="Times New Roman" w:hAnsi="Times New Roman"/>
          <w:sz w:val="20"/>
        </w:rPr>
        <w:t xml:space="preserve">” </w:t>
      </w:r>
      <w:r>
        <w:rPr>
          <w:rFonts w:ascii="Times New Roman" w:hAnsi="Times New Roman"/>
          <w:b/>
          <w:sz w:val="20"/>
        </w:rPr>
        <w:t>on page 34 “</w:t>
      </w:r>
      <w:r>
        <w:rPr>
          <w:rFonts w:ascii="Times New Roman" w:hAnsi="Times New Roman"/>
          <w:b/>
          <w:i/>
          <w:sz w:val="20"/>
        </w:rPr>
        <w:t>Summary — The Offering —Election of directors; Voting rights</w:t>
      </w:r>
      <w:r>
        <w:rPr>
          <w:rFonts w:ascii="Times New Roman" w:hAnsi="Times New Roman"/>
          <w:sz w:val="20"/>
        </w:rPr>
        <w:t xml:space="preserve">” </w:t>
      </w:r>
      <w:r>
        <w:rPr>
          <w:rFonts w:ascii="Times New Roman" w:hAnsi="Times New Roman"/>
          <w:b/>
          <w:sz w:val="20"/>
        </w:rPr>
        <w:t>on page 41, “</w:t>
      </w:r>
      <w:r>
        <w:rPr>
          <w:rFonts w:ascii="Times New Roman" w:hAnsi="Times New Roman"/>
          <w:b/>
          <w:i/>
          <w:sz w:val="20"/>
        </w:rPr>
        <w:t>Risk Factors —Risks Relating to our Securities—</w:t>
      </w:r>
      <w:r>
        <w:rPr>
          <w:rFonts w:ascii="Times New Roman" w:hAnsi="Times New Roman"/>
          <w:sz w:val="20"/>
        </w:rPr>
        <w:t xml:space="preserve"> </w:t>
      </w:r>
      <w:r>
        <w:rPr>
          <w:rFonts w:ascii="Times New Roman" w:hAnsi="Times New Roman"/>
          <w:b/>
          <w:i/>
          <w:sz w:val="20"/>
        </w:rPr>
        <w:t>The nominal purchase price paid by our insiders for the founder shares and paid by the non-managing investors for the private investor shares, in addition to the sale of private placement units to the insiders and the non-managing investors, may result in significant dilution to the implied value of your public shares upon the consummation of our initial business combination.</w:t>
      </w:r>
      <w:r>
        <w:rPr>
          <w:rFonts w:ascii="Times New Roman" w:hAnsi="Times New Roman"/>
          <w:sz w:val="20"/>
        </w:rPr>
        <w:t xml:space="preserve">” </w:t>
      </w:r>
      <w:r>
        <w:rPr>
          <w:rFonts w:ascii="Times New Roman" w:hAnsi="Times New Roman"/>
          <w:b/>
          <w:sz w:val="20"/>
        </w:rPr>
        <w:t>on page 103, and “</w:t>
      </w:r>
      <w:r>
        <w:rPr>
          <w:rFonts w:ascii="Times New Roman" w:hAnsi="Times New Roman"/>
          <w:b/>
          <w:i/>
          <w:sz w:val="20"/>
        </w:rPr>
        <w:t>General Risk Factors —</w:t>
      </w:r>
      <w:r>
        <w:rPr>
          <w:rFonts w:ascii="Times New Roman" w:hAnsi="Times New Roman"/>
          <w:sz w:val="20"/>
        </w:rPr>
        <w:t xml:space="preserve"> </w:t>
      </w:r>
      <w:r>
        <w:rPr>
          <w:rFonts w:ascii="Times New Roman" w:hAnsi="Times New Roman"/>
          <w:b/>
          <w:i/>
          <w:sz w:val="20"/>
        </w:rPr>
        <w:t>We may issue additional ordinary or preferred shares to complete our initial business combination or under an employee incentive plan upon or after consummation of our initial business combination, which would dilute the interest of our shareholders and likely present other risks.</w:t>
      </w:r>
      <w:r>
        <w:rPr>
          <w:rFonts w:ascii="Times New Roman" w:hAnsi="Times New Roman"/>
          <w:sz w:val="20"/>
        </w:rPr>
        <w:t xml:space="preserve">” </w:t>
      </w:r>
      <w:r>
        <w:rPr>
          <w:rFonts w:ascii="Times New Roman" w:hAnsi="Times New Roman"/>
          <w:b/>
          <w:sz w:val="20"/>
        </w:rPr>
        <w:t>on page 76 and “</w:t>
      </w:r>
      <w:r>
        <w:rPr>
          <w:rFonts w:ascii="Times New Roman" w:hAnsi="Times New Roman"/>
          <w:b/>
          <w:i/>
          <w:sz w:val="20"/>
        </w:rPr>
        <w:t>Dilution</w:t>
      </w:r>
      <w:r>
        <w:rPr>
          <w:rFonts w:ascii="Times New Roman" w:hAnsi="Times New Roman"/>
          <w:sz w:val="20"/>
        </w:rPr>
        <w:t xml:space="preserve">” </w:t>
      </w:r>
      <w:r>
        <w:rPr>
          <w:rFonts w:ascii="Times New Roman" w:hAnsi="Times New Roman"/>
          <w:b/>
          <w:sz w:val="20"/>
        </w:rPr>
        <w:t xml:space="preserve">on page 123. </w:t>
      </w:r>
    </w:p>
    <w:p>
      <w:pPr>
        <w:pStyle w:val="TextBody"/>
        <w:bidi w:val="0"/>
        <w:spacing w:before="240" w:after="0"/>
        <w:jc w:val="left"/>
        <w:rPr>
          <w:rFonts w:ascii="Times New Roman" w:hAnsi="Times New Roman"/>
          <w:sz w:val="20"/>
        </w:rPr>
      </w:pPr>
      <w:r>
        <w:rPr>
          <w:rFonts w:ascii="Times New Roman" w:hAnsi="Times New Roman"/>
          <w:sz w:val="20"/>
        </w:rPr>
        <w:t xml:space="preserve">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the listing eligibility requirements of the Nasdaq Global Market tier of The Nasdaq Stock Market LLC (“Nasdaq”). The underwriters will receive the same upfront discounts and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w:t>
      </w:r>
      <w:r>
        <w:rPr>
          <w:rFonts w:ascii="Times New Roman" w:hAnsi="Times New Roman"/>
          <w:b/>
          <w:sz w:val="20"/>
        </w:rPr>
        <w:t>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As more fully discussed in “</w:t>
      </w:r>
      <w:r>
        <w:rPr>
          <w:rFonts w:ascii="Times New Roman" w:hAnsi="Times New Roman"/>
          <w:b/>
          <w:i/>
          <w:sz w:val="20"/>
        </w:rPr>
        <w:t>Management—Conflicts of Interest</w:t>
      </w:r>
      <w:r>
        <w:rPr>
          <w:rFonts w:ascii="Times New Roman" w:hAnsi="Times New Roman"/>
          <w:sz w:val="20"/>
        </w:rPr>
        <w:t xml:space="preserve">” </w:t>
      </w:r>
      <w:r>
        <w:rPr>
          <w:rFonts w:ascii="Times New Roman" w:hAnsi="Times New Roman"/>
          <w:b/>
          <w:sz w:val="20"/>
        </w:rPr>
        <w:t>on page 179,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w:t>
      </w:r>
      <w:r>
        <w:rPr>
          <w:rFonts w:ascii="Times New Roman" w:hAnsi="Times New Roman"/>
          <w:sz w:val="20"/>
        </w:rPr>
        <w:t xml:space="preserve"> The low price that our sponsor, executive officers and directors (directly or indirectly) paid for the founder shares creates an incentive whereby our sponsor, officers and directors could potentially make a substantial profit even if we select an acquisition target that subsequently declines in value and is unprofitable for public shareholders. If we are unable to complete our initial business combination within 24 months from the closing of this offering, or by such earlier liquidation date as our board of directors may approve, the founder shares and private placement units held by our insiders may expire worthless, except to the extent they receive liquidating distributions from assets outside the trust account, which could create an incentive for our sponsor, executive officers and directors to complete a transaction even if we select an acquisition target that subsequently declines in value and is unprofitable for public shareholders.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 Additionally, commencing on the date on which our securities are listed on Nasdaq, we will pay an affiliate of our sponsor in an amount equal to $30,000 per month for office space, utilities and secretarial and administrative support made available to us, as described elsewhere in this prospectus. Furthermore, we will pay our Chief Financial Officer up to $15,000 per month for her services to us. Upon consummation of this offering, we will repay a $100,000 loan made to us by our sponsor to cover offering-related and organizational expenses. In the event that following this offering we obtain working capital loans from our sponsor to finance transaction costs related to our initial business combination, up to $1,500,000 of such loans may be convertible into units of the post-business combination entity at a price of $10.00 per unit at the option of our sponsor. Additionally, our sponsor, our officers and directors or their affiliates may be paid finder’s fees, advisory fees, consulting fees or success fees in order to effectuate the completion of our initial business combination. Additionally, following consummation of a business combination, members of our management team will be entitled to reimbursement for any out-of-pocket expenses related to identifying, investigating and completing an initial business combination. As a result, there may be actual or potential material conflicts of interest between members of our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team, our sponsor and its affiliates on one hand, and purchasers in this offering on the other. </w:t>
      </w:r>
      <w:r>
        <w:rPr>
          <w:rFonts w:ascii="Times New Roman" w:hAnsi="Times New Roman"/>
          <w:b/>
          <w:sz w:val="20"/>
        </w:rPr>
        <w:t>See the sections titled “</w:t>
      </w:r>
      <w:r>
        <w:rPr>
          <w:rFonts w:ascii="Times New Roman" w:hAnsi="Times New Roman"/>
          <w:b/>
          <w:i/>
          <w:sz w:val="20"/>
        </w:rPr>
        <w:t>Prospectus Summary</w:t>
      </w:r>
      <w:r>
        <w:rPr>
          <w:rFonts w:ascii="Times New Roman" w:hAnsi="Times New Roman"/>
          <w:sz w:val="20"/>
        </w:rPr>
        <w:t> — </w:t>
      </w:r>
      <w:r>
        <w:rPr>
          <w:rFonts w:ascii="Times New Roman" w:hAnsi="Times New Roman"/>
          <w:b/>
          <w:i/>
          <w:sz w:val="20"/>
        </w:rPr>
        <w:t>Our Sponsor</w:t>
      </w:r>
      <w:r>
        <w:rPr>
          <w:rFonts w:ascii="Times New Roman" w:hAnsi="Times New Roman"/>
          <w:sz w:val="20"/>
        </w:rPr>
        <w:t xml:space="preserve">” </w:t>
      </w:r>
      <w:r>
        <w:rPr>
          <w:rFonts w:ascii="Times New Roman" w:hAnsi="Times New Roman"/>
          <w:b/>
          <w:sz w:val="20"/>
        </w:rPr>
        <w:t>on page 15 for further discussion on our sponsor’s and affiliate’s compensation;</w:t>
      </w:r>
      <w:r>
        <w:rPr>
          <w:rFonts w:ascii="Times New Roman" w:hAnsi="Times New Roman"/>
          <w:sz w:val="20"/>
        </w:rPr>
        <w:t xml:space="preserve"> “</w:t>
      </w:r>
      <w:r>
        <w:rPr>
          <w:rFonts w:ascii="Times New Roman" w:hAnsi="Times New Roman"/>
          <w:b/>
          <w:i/>
          <w:sz w:val="20"/>
        </w:rPr>
        <w:t>Proposed Business</w:t>
      </w:r>
      <w:r>
        <w:rPr>
          <w:rFonts w:ascii="Times New Roman" w:hAnsi="Times New Roman"/>
          <w:sz w:val="20"/>
        </w:rPr>
        <w:t> — </w:t>
      </w:r>
      <w:r>
        <w:rPr>
          <w:rFonts w:ascii="Times New Roman" w:hAnsi="Times New Roman"/>
          <w:b/>
          <w:i/>
          <w:sz w:val="20"/>
        </w:rPr>
        <w:t xml:space="preserve">Our Business Combination Process — Sources of Target Businesses” </w:t>
      </w:r>
      <w:r>
        <w:rPr>
          <w:rFonts w:ascii="Times New Roman" w:hAnsi="Times New Roman"/>
          <w:b/>
          <w:sz w:val="20"/>
        </w:rPr>
        <w:t>on page</w:t>
      </w:r>
      <w:r>
        <w:rPr>
          <w:rFonts w:ascii="Times New Roman" w:hAnsi="Times New Roman"/>
          <w:sz w:val="20"/>
        </w:rPr>
        <w:t> </w:t>
      </w:r>
      <w:r>
        <w:rPr>
          <w:rFonts w:ascii="Times New Roman" w:hAnsi="Times New Roman"/>
          <w:b/>
          <w:sz w:val="20"/>
        </w:rPr>
        <w:t>151</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i/>
          <w:sz w:val="20"/>
        </w:rPr>
        <w:t>Certain Relationships and Related Party Transactions</w:t>
      </w:r>
      <w:r>
        <w:rPr>
          <w:rFonts w:ascii="Times New Roman" w:hAnsi="Times New Roman"/>
          <w:sz w:val="20"/>
        </w:rPr>
        <w:t xml:space="preserve">” </w:t>
      </w:r>
      <w:r>
        <w:rPr>
          <w:rFonts w:ascii="Times New Roman" w:hAnsi="Times New Roman"/>
          <w:b/>
          <w:sz w:val="20"/>
        </w:rPr>
        <w:t>on page</w:t>
      </w:r>
      <w:r>
        <w:rPr>
          <w:rFonts w:ascii="Times New Roman" w:hAnsi="Times New Roman"/>
          <w:sz w:val="20"/>
        </w:rPr>
        <w:t> </w:t>
      </w:r>
      <w:r>
        <w:rPr>
          <w:rFonts w:ascii="Times New Roman" w:hAnsi="Times New Roman"/>
          <w:b/>
          <w:sz w:val="20"/>
        </w:rPr>
        <w:t>190</w:t>
      </w:r>
      <w:r>
        <w:rPr>
          <w:rFonts w:ascii="Times New Roman" w:hAnsi="Times New Roman"/>
          <w:sz w:val="20"/>
        </w:rPr>
        <w:t xml:space="preserve"> </w:t>
      </w:r>
      <w:r>
        <w:rPr>
          <w:rFonts w:ascii="Times New Roman" w:hAnsi="Times New Roman"/>
          <w:b/>
          <w:sz w:val="20"/>
        </w:rPr>
        <w:t>for more information. For more details on related risks, see</w:t>
      </w:r>
      <w:r>
        <w:rPr>
          <w:rFonts w:ascii="Times New Roman" w:hAnsi="Times New Roman"/>
          <w:sz w:val="20"/>
        </w:rPr>
        <w:t xml:space="preserve"> “</w:t>
      </w:r>
      <w:r>
        <w:rPr>
          <w:rFonts w:ascii="Times New Roman" w:hAnsi="Times New Roman"/>
          <w:b/>
          <w:i/>
          <w:sz w:val="20"/>
        </w:rPr>
        <w:t>Risk Factors — Risks Relating to our Search</w:t>
      </w:r>
      <w:r>
        <w:rPr>
          <w:rFonts w:ascii="Times New Roman" w:hAnsi="Times New Roman"/>
          <w:sz w:val="20"/>
        </w:rPr>
        <w:t xml:space="preserve"> </w:t>
      </w:r>
      <w:r>
        <w:rPr>
          <w:rFonts w:ascii="Times New Roman" w:hAnsi="Times New Roman"/>
          <w:b/>
          <w:i/>
          <w:sz w:val="20"/>
        </w:rPr>
        <w:t>for, and Consummation of or Inability to</w:t>
      </w:r>
      <w:r>
        <w:rPr>
          <w:rFonts w:ascii="Times New Roman" w:hAnsi="Times New Roman"/>
          <w:sz w:val="20"/>
        </w:rPr>
        <w:t xml:space="preserve"> </w:t>
      </w:r>
      <w:r>
        <w:rPr>
          <w:rFonts w:ascii="Times New Roman" w:hAnsi="Times New Roman"/>
          <w:b/>
          <w:i/>
          <w:sz w:val="20"/>
        </w:rPr>
        <w:t>Consummate, a Business Combination — We may engage in our</w:t>
      </w:r>
      <w:r>
        <w:rPr>
          <w:rFonts w:ascii="Times New Roman" w:hAnsi="Times New Roman"/>
          <w:sz w:val="20"/>
        </w:rPr>
        <w:t xml:space="preserve"> </w:t>
      </w:r>
      <w:r>
        <w:rPr>
          <w:rFonts w:ascii="Times New Roman" w:hAnsi="Times New Roman"/>
          <w:b/>
          <w:i/>
          <w:sz w:val="20"/>
        </w:rPr>
        <w:t>initial business combination with one or more target businesses that have relationships with entities that may be affiliated with our sponsor, executive</w:t>
      </w:r>
      <w:r>
        <w:rPr>
          <w:rFonts w:ascii="Times New Roman" w:hAnsi="Times New Roman"/>
          <w:sz w:val="20"/>
        </w:rPr>
        <w:t xml:space="preserve"> </w:t>
      </w:r>
      <w:r>
        <w:rPr>
          <w:rFonts w:ascii="Times New Roman" w:hAnsi="Times New Roman"/>
          <w:b/>
          <w:i/>
          <w:sz w:val="20"/>
        </w:rPr>
        <w:t xml:space="preserve">officers or directors, which may raise potential conflicts of interest. </w:t>
      </w:r>
      <w:r>
        <w:rPr>
          <w:rFonts w:ascii="Times New Roman" w:hAnsi="Times New Roman"/>
          <w:sz w:val="20"/>
        </w:rPr>
        <w:t xml:space="preserve">” </w:t>
      </w:r>
      <w:r>
        <w:rPr>
          <w:rFonts w:ascii="Times New Roman" w:hAnsi="Times New Roman"/>
          <w:b/>
          <w:sz w:val="20"/>
        </w:rPr>
        <w:t>on page</w:t>
      </w:r>
      <w:r>
        <w:rPr>
          <w:rFonts w:ascii="Times New Roman" w:hAnsi="Times New Roman"/>
          <w:sz w:val="20"/>
        </w:rPr>
        <w:t> </w:t>
      </w:r>
      <w:r>
        <w:rPr>
          <w:rFonts w:ascii="Times New Roman" w:hAnsi="Times New Roman"/>
          <w:b/>
          <w:sz w:val="20"/>
        </w:rPr>
        <w:t>77</w:t>
      </w:r>
      <w:r>
        <w:rPr>
          <w:rFonts w:ascii="Times New Roman" w:hAnsi="Times New Roman"/>
          <w:sz w:val="20"/>
        </w:rPr>
        <w:t>, “</w:t>
      </w:r>
      <w:r>
        <w:rPr>
          <w:rFonts w:ascii="Times New Roman" w:hAnsi="Times New Roman"/>
          <w:b/>
          <w:i/>
          <w:sz w:val="20"/>
        </w:rPr>
        <w:t>Risk Factors — Risks</w:t>
      </w:r>
      <w:r>
        <w:rPr>
          <w:rFonts w:ascii="Times New Roman" w:hAnsi="Times New Roman"/>
          <w:sz w:val="20"/>
        </w:rPr>
        <w:t xml:space="preserve"> </w:t>
      </w:r>
      <w:r>
        <w:rPr>
          <w:rFonts w:ascii="Times New Roman" w:hAnsi="Times New Roman"/>
          <w:b/>
          <w:i/>
          <w:sz w:val="20"/>
        </w:rPr>
        <w:t>Relating to our Search for, and Consummation of or Inability to Consummate, a Business Combination —</w:t>
      </w:r>
      <w:r>
        <w:rPr>
          <w:rFonts w:ascii="Times New Roman" w:hAnsi="Times New Roman"/>
          <w:sz w:val="20"/>
        </w:rPr>
        <w:t xml:space="preserve"> </w:t>
      </w:r>
      <w:r>
        <w:rPr>
          <w:rFonts w:ascii="Times New Roman" w:hAnsi="Times New Roman"/>
          <w:b/>
          <w:i/>
          <w:sz w:val="20"/>
        </w:rPr>
        <w:t>We are not required to obtain an opinion from an independent investment banking firm or another independent entity, and consequently, an independent source may not confirm that the price we are paying for</w:t>
      </w:r>
      <w:r>
        <w:rPr>
          <w:rFonts w:ascii="Times New Roman" w:hAnsi="Times New Roman"/>
          <w:sz w:val="20"/>
        </w:rPr>
        <w:t xml:space="preserve"> </w:t>
      </w:r>
      <w:r>
        <w:rPr>
          <w:rFonts w:ascii="Times New Roman" w:hAnsi="Times New Roman"/>
          <w:b/>
          <w:i/>
          <w:sz w:val="20"/>
        </w:rPr>
        <w:t>the business is fair to our shareholders from a financial point of view.”</w:t>
      </w:r>
      <w:r>
        <w:rPr>
          <w:rFonts w:ascii="Times New Roman" w:hAnsi="Times New Roman"/>
          <w:sz w:val="20"/>
        </w:rPr>
        <w:t> </w:t>
      </w:r>
      <w:r>
        <w:rPr>
          <w:rFonts w:ascii="Times New Roman" w:hAnsi="Times New Roman"/>
          <w:b/>
          <w:sz w:val="20"/>
        </w:rPr>
        <w:t>on page</w:t>
      </w:r>
      <w:r>
        <w:rPr>
          <w:rFonts w:ascii="Times New Roman" w:hAnsi="Times New Roman"/>
          <w:sz w:val="20"/>
        </w:rPr>
        <w:t xml:space="preserve"> </w:t>
      </w:r>
      <w:r>
        <w:rPr>
          <w:rFonts w:ascii="Times New Roman" w:hAnsi="Times New Roman"/>
          <w:b/>
          <w:sz w:val="20"/>
        </w:rPr>
        <w:t>76</w:t>
      </w:r>
      <w:r>
        <w:rPr>
          <w:rFonts w:ascii="Times New Roman" w:hAnsi="Times New Roman"/>
          <w:sz w:val="20"/>
        </w:rPr>
        <w:t>, “</w:t>
      </w:r>
      <w:r>
        <w:rPr>
          <w:rFonts w:ascii="Times New Roman" w:hAnsi="Times New Roman"/>
          <w:b/>
          <w:i/>
          <w:sz w:val="20"/>
        </w:rPr>
        <w:t xml:space="preserve">Risk Factors — Risks Relating to Our Management Team — 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 </w:t>
      </w:r>
      <w:r>
        <w:rPr>
          <w:rFonts w:ascii="Times New Roman" w:hAnsi="Times New Roman"/>
          <w:b/>
          <w:sz w:val="20"/>
        </w:rPr>
        <w:t>on page</w:t>
      </w:r>
      <w:r>
        <w:rPr>
          <w:rFonts w:ascii="Times New Roman" w:hAnsi="Times New Roman"/>
          <w:sz w:val="20"/>
        </w:rPr>
        <w:t> </w:t>
      </w:r>
      <w:r>
        <w:rPr>
          <w:rFonts w:ascii="Times New Roman" w:hAnsi="Times New Roman"/>
          <w:b/>
          <w:sz w:val="20"/>
        </w:rPr>
        <w:t>95</w:t>
      </w:r>
      <w:r>
        <w:rPr>
          <w:rFonts w:ascii="Times New Roman" w:hAnsi="Times New Roman"/>
          <w:sz w:val="20"/>
        </w:rPr>
        <w:t>, “</w:t>
      </w:r>
      <w:r>
        <w:rPr>
          <w:rFonts w:ascii="Times New Roman" w:hAnsi="Times New Roman"/>
          <w:b/>
          <w:i/>
          <w:sz w:val="20"/>
        </w:rPr>
        <w:t xml:space="preserve">Risk Factors — Risks Relating to our Management Team— 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 </w:t>
      </w:r>
      <w:r>
        <w:rPr>
          <w:rFonts w:ascii="Times New Roman" w:hAnsi="Times New Roman"/>
          <w:sz w:val="20"/>
        </w:rPr>
        <w:t xml:space="preserve">” </w:t>
      </w:r>
      <w:r>
        <w:rPr>
          <w:rFonts w:ascii="Times New Roman" w:hAnsi="Times New Roman"/>
          <w:b/>
          <w:sz w:val="20"/>
        </w:rPr>
        <w:t>on page</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i/>
          <w:sz w:val="20"/>
        </w:rPr>
        <w:t>Risk Factors — Risks Relating to Our Management Team — Certain of our officers and directors are now, and all of them may in the future become, affiliated with entities engaged in business activities similar to those intended to be conducted by us, including other blank check companies, and, accordingly, may have conflicts of interest in allocating their time and determining to which entity a particular business opportunity should be presented</w:t>
      </w:r>
      <w:r>
        <w:rPr>
          <w:rFonts w:ascii="Times New Roman" w:hAnsi="Times New Roman"/>
          <w:sz w:val="20"/>
        </w:rPr>
        <w:t xml:space="preserve">” </w:t>
      </w:r>
      <w:r>
        <w:rPr>
          <w:rFonts w:ascii="Times New Roman" w:hAnsi="Times New Roman"/>
          <w:b/>
          <w:sz w:val="20"/>
        </w:rPr>
        <w:t>on page</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until the date that is 24 months from the closing of this offering or until such earlier liquidation date as our board of directors may approve to consummate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shareholder approval for an extension, holders of public shares will be offered an opportunity to redeem their shares at a per share price, payable in cash, equal to the aggregate amount then on deposit in the trust account, including interest earned thereon (which interest shall be net of permitted withdrawals), divided by the number of then issued and outstanding public shares, subject to applicable law. If we are unable to complete our initial business combination within the 24-month period, we will redeem 100% of the public shares at a per share price, payable in cash, equal to the aggregate amount then on deposit in the trust account, including interest earned thereon (which interest shall be net of permitted withdrawals and up to $100,000 of interest income to pay liquidation expenses), divided by the number of then issued and outstanding public shares, which redemption will constitute full and complete payment for the public shares and completely extinguish public shareholders’ rights as shareholders (including the right to receive further liquidation or other distributions, if any), subject to our obligations under Cayman Islands law to provide for claims of creditors and subject to the other requirements of applicable law. The redemption rights will also include the requirement that any beneficial owner on whose behalf a redemption right is being exercised must identify itself in order to validly redeem its shares. </w:t>
      </w:r>
    </w:p>
    <w:p>
      <w:pPr>
        <w:pStyle w:val="TextBody"/>
        <w:bidi w:val="0"/>
        <w:spacing w:before="240" w:after="0"/>
        <w:jc w:val="left"/>
        <w:rPr>
          <w:rFonts w:ascii="Times New Roman" w:hAnsi="Times New Roman"/>
          <w:sz w:val="20"/>
        </w:rPr>
      </w:pPr>
      <w:r>
        <w:rPr>
          <w:rFonts w:ascii="Times New Roman" w:hAnsi="Times New Roman"/>
          <w:sz w:val="20"/>
        </w:rPr>
        <w:t xml:space="preserve">There is presently no public market for our public units, public shares or public rights. We intend to apply to list our public units on the Nasdaq, under the symbol “GIWWU” on or promptly after the date of this prospectus. We cannot guarantee that our securities will be approved for listing on Nasdaq. The public shares and the public rights constituting the public units will begin separate trading on the 52nd day following the date of this prospectus, unless the underwriters determine that an earlier date is acceptable, and subject to our filing a Current Report on Form 8-K with the SEC containing an audited balance sheet of ours reflecting our receipt of the gross proceeds of this offering and issuing a press release announcing when such separate trading will begin. Once the securities comprising the public units begin separate trading, we expect that our public shares and public rights will be listed on Nasdaq under the symbols “GIW” and “GIWWR,” respectively.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rFonts w:ascii="Times New Roman" w:hAnsi="Times New Roman"/>
          <w:b/>
          <w:sz w:val="20"/>
        </w:rPr>
        <w:t>We are an “emerging growth company” and a “smaller reporting company” under applicable federal securities laws and will be subject to reduced public company reporting requirements. Investing in our securities involves a high degree of risk. See “</w:t>
      </w:r>
      <w:hyperlink w:anchor="tx929696_5">
        <w:r>
          <w:rPr>
            <w:rStyle w:val="InternetLink"/>
            <w:rFonts w:ascii="Times New Roman" w:hAnsi="Times New Roman"/>
            <w:b/>
            <w:sz w:val="20"/>
          </w:rPr>
          <w:t>Risk Factors</w:t>
        </w:r>
      </w:hyperlink>
      <w:r>
        <w:rPr>
          <w:rFonts w:ascii="Times New Roman" w:hAnsi="Times New Roman"/>
          <w:b/>
          <w:sz w:val="20"/>
        </w:rPr>
        <w:t xml:space="preserve">” beginning on page 60 for a discussion of information that should be considered in connection with an investment in our securities. Investors will not be entitled to protections normally afforded to investors in Rule 419 blank check offerings.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No offer or invitation, whether directly or indirectly, is being or may be made to the public in the Cayman Islands to subscribe for any of our securities.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39"/>
        <w:gridCol w:w="291"/>
        <w:gridCol w:w="148"/>
        <w:gridCol w:w="1313"/>
        <w:gridCol w:w="60"/>
        <w:gridCol w:w="291"/>
        <w:gridCol w:w="167"/>
        <w:gridCol w:w="1281"/>
        <w:gridCol w:w="60"/>
        <w:gridCol w:w="291"/>
        <w:gridCol w:w="148"/>
        <w:gridCol w:w="1416"/>
        <w:gridCol w:w="67"/>
      </w:tblGrid>
      <w:tr>
        <w:trPr/>
        <w:tc>
          <w:tcPr>
            <w:tcW w:w="3039"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03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Price to</w:t>
              <w:br/>
              <w:t>Public</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Underwriting</w:t>
              <w:br/>
              <w:t>Discount(1)</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Proceeds,</w:t>
              <w:br/>
              <w:t>Before</w:t>
              <w:br/>
              <w:t>Expenses, to us</w:t>
            </w:r>
          </w:p>
        </w:tc>
        <w:tc>
          <w:tcPr>
            <w:tcW w:w="67" w:type="dxa"/>
            <w:tcBorders/>
            <w:vAlign w:val="bottom"/>
          </w:tcPr>
          <w:p>
            <w:pPr>
              <w:pStyle w:val="TableContents"/>
              <w:bidi w:val="0"/>
              <w:spacing w:before="0" w:after="283"/>
              <w:jc w:val="left"/>
              <w:rPr/>
            </w:pPr>
            <w:r>
              <w:rPr/>
              <w:t> </w:t>
            </w:r>
          </w:p>
        </w:tc>
      </w:tr>
      <w:tr>
        <w:trPr/>
        <w:tc>
          <w:tcPr>
            <w:tcW w:w="303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Per Unit</w:t>
            </w:r>
          </w:p>
        </w:tc>
        <w:tc>
          <w:tcPr>
            <w:tcW w:w="2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1313" w:type="dxa"/>
            <w:tcBorders/>
            <w:shd w:fill="CCEEFF" w:val="clear"/>
            <w:vAlign w:val="bottom"/>
          </w:tcPr>
          <w:p>
            <w:pPr>
              <w:pStyle w:val="TableContents"/>
              <w:bidi w:val="0"/>
              <w:spacing w:before="0" w:after="283"/>
              <w:jc w:val="right"/>
              <w:rPr>
                <w:b/>
              </w:rPr>
            </w:pPr>
            <w:r>
              <w:rPr>
                <w:b/>
              </w:rPr>
              <w:t>10.00</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b/>
              </w:rPr>
            </w:pPr>
            <w:r>
              <w:rPr>
                <w:b/>
              </w:rPr>
              <w:t>$</w:t>
            </w:r>
          </w:p>
        </w:tc>
        <w:tc>
          <w:tcPr>
            <w:tcW w:w="1281" w:type="dxa"/>
            <w:tcBorders/>
            <w:shd w:fill="CCEEFF" w:val="clear"/>
            <w:vAlign w:val="bottom"/>
          </w:tcPr>
          <w:p>
            <w:pPr>
              <w:pStyle w:val="TableContents"/>
              <w:bidi w:val="0"/>
              <w:spacing w:before="0" w:after="283"/>
              <w:jc w:val="right"/>
              <w:rPr>
                <w:b/>
              </w:rPr>
            </w:pPr>
            <w:r>
              <w:rPr>
                <w:b/>
              </w:rPr>
              <w:t>0.0455</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1416" w:type="dxa"/>
            <w:tcBorders/>
            <w:shd w:fill="CCEEFF" w:val="clear"/>
            <w:vAlign w:val="bottom"/>
          </w:tcPr>
          <w:p>
            <w:pPr>
              <w:pStyle w:val="TableContents"/>
              <w:bidi w:val="0"/>
              <w:spacing w:before="0" w:after="283"/>
              <w:jc w:val="right"/>
              <w:rPr>
                <w:b/>
              </w:rPr>
            </w:pPr>
            <w:r>
              <w:rPr>
                <w:b/>
              </w:rPr>
              <w:t>9.9545</w:t>
            </w:r>
          </w:p>
        </w:tc>
        <w:tc>
          <w:tcPr>
            <w:tcW w:w="67" w:type="dxa"/>
            <w:tcBorders/>
            <w:shd w:fill="CCEEFF" w:val="clear"/>
            <w:vAlign w:val="bottom"/>
          </w:tcPr>
          <w:p>
            <w:pPr>
              <w:pStyle w:val="TableContents"/>
              <w:bidi w:val="0"/>
              <w:spacing w:before="0" w:after="283"/>
              <w:jc w:val="left"/>
              <w:rPr/>
            </w:pPr>
            <w:r>
              <w:rPr/>
              <w:t> </w:t>
            </w:r>
          </w:p>
        </w:tc>
      </w:tr>
      <w:tr>
        <w:trPr/>
        <w:tc>
          <w:tcPr>
            <w:tcW w:w="303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b/>
              </w:rPr>
            </w:pPr>
            <w:r>
              <w:rPr>
                <w:b/>
              </w:rPr>
              <w:t>$</w:t>
            </w:r>
          </w:p>
        </w:tc>
        <w:tc>
          <w:tcPr>
            <w:tcW w:w="1313" w:type="dxa"/>
            <w:tcBorders/>
            <w:vAlign w:val="bottom"/>
          </w:tcPr>
          <w:p>
            <w:pPr>
              <w:pStyle w:val="TableContents"/>
              <w:bidi w:val="0"/>
              <w:spacing w:before="0" w:after="283"/>
              <w:jc w:val="right"/>
              <w:rPr>
                <w:b/>
              </w:rPr>
            </w:pPr>
            <w:r>
              <w:rPr>
                <w:b/>
              </w:rPr>
              <w:t>220,000,000</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b/>
              </w:rPr>
            </w:pPr>
            <w:r>
              <w:rPr>
                <w:b/>
              </w:rPr>
              <w:t>$</w:t>
            </w:r>
          </w:p>
        </w:tc>
        <w:tc>
          <w:tcPr>
            <w:tcW w:w="1281" w:type="dxa"/>
            <w:tcBorders/>
            <w:vAlign w:val="bottom"/>
          </w:tcPr>
          <w:p>
            <w:pPr>
              <w:pStyle w:val="TableContents"/>
              <w:bidi w:val="0"/>
              <w:spacing w:before="0" w:after="283"/>
              <w:jc w:val="right"/>
              <w:rPr>
                <w:b/>
              </w:rPr>
            </w:pPr>
            <w:r>
              <w:rPr>
                <w:b/>
              </w:rPr>
              <w:t>1,000,000</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b/>
              </w:rPr>
            </w:pPr>
            <w:r>
              <w:rPr>
                <w:b/>
              </w:rPr>
              <w:t>$</w:t>
            </w:r>
          </w:p>
        </w:tc>
        <w:tc>
          <w:tcPr>
            <w:tcW w:w="1416" w:type="dxa"/>
            <w:tcBorders/>
            <w:vAlign w:val="bottom"/>
          </w:tcPr>
          <w:p>
            <w:pPr>
              <w:pStyle w:val="TableContents"/>
              <w:bidi w:val="0"/>
              <w:spacing w:before="0" w:after="283"/>
              <w:jc w:val="right"/>
              <w:rPr>
                <w:b/>
              </w:rPr>
            </w:pPr>
            <w:r>
              <w:rPr>
                <w:b/>
              </w:rPr>
              <w:t>219,000,000</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$0.0455 per unit or $1,000,000 in the aggregate (including a $250,000 referral fee to be paid by the underwriters to United First Partners LLC) (or $0.0405 per unit or $1,025,000 in the aggregate if the underwriters’ over-allotment option to purchase additional public units is exercised in full), is payable upon the closing of this offering. There is no deferred underwriting commission payable to the underwriters. See the section titled “</w:t>
            </w:r>
            <w:r>
              <w:rPr>
                <w:rFonts w:ascii="Times New Roman" w:hAnsi="Times New Roman"/>
                <w:i/>
                <w:sz w:val="20"/>
              </w:rPr>
              <w:t>Underwriting</w:t>
            </w:r>
            <w:r>
              <w:rPr>
                <w:rFonts w:ascii="Times New Roman" w:hAnsi="Times New Roman"/>
                <w:sz w:val="20"/>
              </w:rPr>
              <w:t xml:space="preserve">” for a description of compensation payable to the underwriters.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offering, $10.00 per public unit sold in this offering (whether or not the over-allotment option has been exercised, and whether exercised in full or in part) will be deposited into a segregated trust account located in the United States managed by Continental Stock Transfer &amp; Trust Company acting as trustee. Except as described in this prospectus, these funds will not be released to us until the earlier of (1) the completion of our initial business combination within the required time period or (2) our redemption of 100% of the outstanding public shares if we have not completed an initial business combination in the required time period. We are exempt from rules promulgated by the U.S. Securities and Exchange Commission (the “SEC”) to protect investors in blank check companies, such as Rule 419. </w:t>
      </w:r>
      <w:r>
        <w:rPr>
          <w:rFonts w:ascii="Times New Roman" w:hAnsi="Times New Roman"/>
          <w:b/>
          <w:sz w:val="20"/>
        </w:rPr>
        <w:t>See the risk factor titled</w:t>
      </w:r>
      <w:r>
        <w:rPr>
          <w:rFonts w:ascii="Times New Roman" w:hAnsi="Times New Roman"/>
          <w:sz w:val="20"/>
        </w:rPr>
        <w:t xml:space="preserve"> “</w:t>
      </w:r>
      <w:r>
        <w:rPr>
          <w:rFonts w:ascii="Times New Roman" w:hAnsi="Times New Roman"/>
          <w:b/>
          <w:i/>
          <w:sz w:val="20"/>
        </w:rPr>
        <w:t>You will not be entitled to protections normally afforded to investors of many other blank check companies.</w:t>
      </w:r>
      <w:r>
        <w:rPr>
          <w:rFonts w:ascii="Times New Roman" w:hAnsi="Times New Roman"/>
          <w:sz w:val="20"/>
        </w:rPr>
        <w:t xml:space="preserve">” </w:t>
      </w:r>
      <w:r>
        <w:rPr>
          <w:rFonts w:ascii="Times New Roman" w:hAnsi="Times New Roman"/>
          <w:b/>
          <w:sz w:val="20"/>
        </w:rPr>
        <w:t>on page 98</w:t>
      </w:r>
      <w:r>
        <w:rPr>
          <w:rFonts w:ascii="Times New Roman" w:hAnsi="Times New Roman"/>
          <w:sz w:val="20"/>
        </w:rPr>
        <w:t> </w:t>
      </w:r>
      <w:r>
        <w:rPr>
          <w:rFonts w:ascii="Times New Roman" w:hAnsi="Times New Roman"/>
          <w:b/>
          <w:sz w:val="20"/>
        </w:rPr>
        <w:t>and</w:t>
      </w:r>
      <w:r>
        <w:rPr>
          <w:rFonts w:ascii="Times New Roman" w:hAnsi="Times New Roman"/>
          <w:sz w:val="20"/>
        </w:rPr>
        <w:t xml:space="preserve"> “</w:t>
      </w:r>
      <w:r>
        <w:rPr>
          <w:rFonts w:ascii="Times New Roman" w:hAnsi="Times New Roman"/>
          <w:b/>
          <w:i/>
          <w:sz w:val="20"/>
        </w:rPr>
        <w:t>Proposed Business</w:t>
      </w:r>
      <w:r>
        <w:rPr>
          <w:rFonts w:ascii="Times New Roman" w:hAnsi="Times New Roman"/>
          <w:sz w:val="20"/>
        </w:rPr>
        <w:t> — </w:t>
      </w:r>
      <w:r>
        <w:rPr>
          <w:rFonts w:ascii="Times New Roman" w:hAnsi="Times New Roman"/>
          <w:b/>
          <w:i/>
          <w:sz w:val="20"/>
        </w:rPr>
        <w:t xml:space="preserve">Comparison of This Offering to Those of Blank Check Companies Subject to Rule 419” </w:t>
      </w:r>
      <w:r>
        <w:rPr>
          <w:rFonts w:ascii="Times New Roman" w:hAnsi="Times New Roman"/>
          <w:b/>
          <w:sz w:val="20"/>
        </w:rPr>
        <w:t>on page 163 for further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the difference between the public offering price per unit and our net tangible book value per share, as adjusted to reflect various potential redemption levels that may occur in connection with the closing of our initial business combination, which we refer to as “Adjusted NTBVPS,” on a pro forma basis to give effect to this offering and the issuance of the private placement units, assuming the exercise in full and no exercise of the over-allotment option. Adjusted NTBVPS excludes the effect of the consummation of our initial business combination or any related transactions or expenses. </w:t>
      </w:r>
      <w:r>
        <w:rPr>
          <w:rFonts w:ascii="Times New Roman" w:hAnsi="Times New Roman"/>
          <w:b/>
          <w:sz w:val="20"/>
        </w:rPr>
        <w:t>See the section titled “</w:t>
      </w:r>
      <w:r>
        <w:rPr>
          <w:rFonts w:ascii="Times New Roman" w:hAnsi="Times New Roman"/>
          <w:b/>
          <w:i/>
          <w:sz w:val="20"/>
        </w:rPr>
        <w:t>Dilution</w:t>
      </w:r>
      <w:r>
        <w:rPr>
          <w:rFonts w:ascii="Times New Roman" w:hAnsi="Times New Roman"/>
          <w:sz w:val="20"/>
        </w:rPr>
        <w:t xml:space="preserve">” </w:t>
      </w:r>
      <w:r>
        <w:rPr>
          <w:rFonts w:ascii="Times New Roman" w:hAnsi="Times New Roman"/>
          <w:b/>
          <w:sz w:val="20"/>
        </w:rPr>
        <w:t>on page 123 for more information.</w:t>
      </w:r>
      <w:r>
        <w:rPr>
          <w:rFonts w:ascii="Times New Roman" w:hAnsi="Times New Roman"/>
          <w:sz w:val="20"/>
        </w:rPr>
        <w:t xml:space="preserve"> </w:t>
      </w:r>
    </w:p>
    <w:p>
      <w:pPr>
        <w:pStyle w:val="TextBody"/>
        <w:bidi w:val="0"/>
        <w:spacing w:before="0" w:after="0"/>
        <w:jc w:val="left"/>
        <w:rPr/>
      </w:pPr>
      <w:r>
        <w:rPr/>
        <w:t> </w:t>
      </w:r>
    </w:p>
    <w:tbl>
      <w:tblPr>
        <w:tblW w:w="10965" w:type="dxa"/>
        <w:jc w:val="center"/>
        <w:tblInd w:w="0" w:type="dxa"/>
        <w:tblLayout w:type="fixed"/>
        <w:tblCellMar>
          <w:top w:w="0" w:type="dxa"/>
          <w:left w:w="0" w:type="dxa"/>
          <w:bottom w:w="0" w:type="dxa"/>
          <w:right w:w="0" w:type="dxa"/>
        </w:tblCellMar>
      </w:tblPr>
      <w:tblGrid>
        <w:gridCol w:w="1265"/>
        <w:gridCol w:w="120"/>
        <w:gridCol w:w="240"/>
        <w:gridCol w:w="755"/>
        <w:gridCol w:w="60"/>
        <w:gridCol w:w="120"/>
        <w:gridCol w:w="258"/>
        <w:gridCol w:w="812"/>
        <w:gridCol w:w="60"/>
        <w:gridCol w:w="120"/>
        <w:gridCol w:w="240"/>
        <w:gridCol w:w="755"/>
        <w:gridCol w:w="60"/>
        <w:gridCol w:w="120"/>
        <w:gridCol w:w="258"/>
        <w:gridCol w:w="812"/>
        <w:gridCol w:w="60"/>
        <w:gridCol w:w="120"/>
        <w:gridCol w:w="240"/>
        <w:gridCol w:w="755"/>
        <w:gridCol w:w="60"/>
        <w:gridCol w:w="120"/>
        <w:gridCol w:w="258"/>
        <w:gridCol w:w="812"/>
        <w:gridCol w:w="60"/>
        <w:gridCol w:w="120"/>
        <w:gridCol w:w="240"/>
        <w:gridCol w:w="755"/>
        <w:gridCol w:w="60"/>
        <w:gridCol w:w="120"/>
        <w:gridCol w:w="258"/>
        <w:gridCol w:w="812"/>
        <w:gridCol w:w="6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905" w:type="dxa"/>
            <w:gridSpan w:val="32"/>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 of July 21, 2025</w:t>
            </w:r>
          </w:p>
        </w:tc>
        <w:tc>
          <w:tcPr>
            <w:tcW w:w="60" w:type="dxa"/>
            <w:tcBorders/>
            <w:vAlign w:val="bottom"/>
          </w:tcPr>
          <w:p>
            <w:pPr>
              <w:pStyle w:val="TableContents"/>
              <w:bidi w:val="0"/>
              <w:spacing w:before="0" w:after="283"/>
              <w:jc w:val="left"/>
              <w:rPr/>
            </w:pPr>
            <w:r>
              <w:rPr/>
              <w:t> </w:t>
            </w:r>
          </w:p>
        </w:tc>
      </w:tr>
      <w:tr>
        <w:trPr/>
        <w:tc>
          <w:tcPr>
            <w:tcW w:w="12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Offering Price of</w:t>
              <w:br/>
              <w:t>$10.00 per Unit</w:t>
            </w:r>
          </w:p>
        </w:tc>
        <w:tc>
          <w:tcPr>
            <w:tcW w:w="120" w:type="dxa"/>
            <w:tcBorders/>
            <w:vAlign w:val="bottom"/>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25% of Maximum</w:t>
              <w:br/>
              <w:t>Redemption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50% of Maximum</w:t>
              <w:br/>
              <w:t>Redemption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75% of Maximum</w:t>
              <w:br/>
              <w:t>Redemption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Maximum</w:t>
              <w:br/>
              <w:t>Redemption</w:t>
            </w:r>
          </w:p>
        </w:tc>
        <w:tc>
          <w:tcPr>
            <w:tcW w:w="60" w:type="dxa"/>
            <w:tcBorders/>
            <w:vAlign w:val="bottom"/>
          </w:tcPr>
          <w:p>
            <w:pPr>
              <w:pStyle w:val="TableContents"/>
              <w:bidi w:val="0"/>
              <w:spacing w:before="0" w:after="283"/>
              <w:jc w:val="left"/>
              <w:rPr/>
            </w:pPr>
            <w:r>
              <w:rPr/>
              <w:t> </w:t>
            </w:r>
          </w:p>
        </w:tc>
      </w:tr>
      <w:tr>
        <w:trPr/>
        <w:tc>
          <w:tcPr>
            <w:tcW w:w="12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Adjusted</w:t>
              <w:br/>
              <w:t>NTBVPS</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Adjusted</w:t>
              <w:br/>
              <w:t>NTBVPS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Difference</w:t>
              <w:br/>
              <w:t>between</w:t>
              <w:br/>
              <w:t>Adjusted</w:t>
              <w:br/>
              <w:t>NTBVPS</w:t>
              <w:br/>
              <w:t>and</w:t>
              <w:br/>
              <w:t>Offering</w:t>
              <w:br/>
              <w:t>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Adjusted</w:t>
              <w:br/>
              <w:t>NTBVPS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Difference</w:t>
              <w:br/>
              <w:t>between</w:t>
              <w:br/>
              <w:t>Adjusted</w:t>
              <w:br/>
              <w:t>NTBVPS</w:t>
              <w:br/>
              <w:t>and</w:t>
              <w:br/>
              <w:t>Offering</w:t>
              <w:br/>
              <w:t>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Adjusted</w:t>
              <w:br/>
              <w:t>NTBVPS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Difference</w:t>
              <w:br/>
              <w:t>between</w:t>
              <w:br/>
              <w:t>Adjusted</w:t>
              <w:br/>
              <w:t>NTBVPS</w:t>
              <w:br/>
              <w:t>and</w:t>
              <w:br/>
              <w:t>Offering</w:t>
              <w:br/>
              <w:t>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Adjusted</w:t>
              <w:br/>
              <w:t>NTBVPS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Difference</w:t>
              <w:br/>
              <w:t>between</w:t>
              <w:br/>
              <w:t>Adjusted</w:t>
              <w:br/>
              <w:t>NTBVPS</w:t>
              <w:br/>
              <w:t>and</w:t>
              <w:br/>
              <w:t>Offering</w:t>
              <w:br/>
              <w:t>Price</w:t>
            </w:r>
          </w:p>
        </w:tc>
        <w:tc>
          <w:tcPr>
            <w:tcW w:w="6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center"/>
              <w:rPr/>
            </w:pPr>
            <w:r>
              <w:rPr/>
              <w:t> </w:t>
            </w:r>
          </w:p>
        </w:tc>
        <w:tc>
          <w:tcPr>
            <w:tcW w:w="9280" w:type="dxa"/>
            <w:gridSpan w:val="29"/>
            <w:tcBorders/>
            <w:shd w:fill="CCEEFF" w:val="clear"/>
            <w:vAlign w:val="bottom"/>
          </w:tcPr>
          <w:p>
            <w:pPr>
              <w:pStyle w:val="TableContents"/>
              <w:bidi w:val="0"/>
              <w:spacing w:before="0" w:after="283"/>
              <w:jc w:val="center"/>
              <w:rPr>
                <w:i/>
              </w:rPr>
            </w:pPr>
            <w:r>
              <w:rPr>
                <w:i/>
              </w:rPr>
              <w:t>Assuming No Exercise of Over-Allotment Option</w:t>
            </w:r>
          </w:p>
        </w:tc>
        <w:tc>
          <w:tcPr>
            <w:tcW w:w="6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$6.96</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6.33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3.67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5.35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4.65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6.32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0.11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9.89</w:t>
            </w:r>
          </w:p>
        </w:tc>
        <w:tc>
          <w:tcPr>
            <w:tcW w:w="60"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center"/>
              <w:rPr/>
            </w:pPr>
            <w:r>
              <w:rPr/>
              <w:t> </w:t>
            </w:r>
          </w:p>
        </w:tc>
        <w:tc>
          <w:tcPr>
            <w:tcW w:w="9280" w:type="dxa"/>
            <w:gridSpan w:val="29"/>
            <w:tcBorders/>
            <w:shd w:fill="CCEEFF" w:val="clear"/>
            <w:vAlign w:val="bottom"/>
          </w:tcPr>
          <w:p>
            <w:pPr>
              <w:pStyle w:val="TableContents"/>
              <w:bidi w:val="0"/>
              <w:spacing w:before="0" w:after="283"/>
              <w:jc w:val="center"/>
              <w:rPr>
                <w:i/>
              </w:rPr>
            </w:pPr>
            <w:r>
              <w:rPr>
                <w:i/>
              </w:rPr>
              <w:t>Assuming Full Exercise of Over-Allotment Option</w:t>
            </w:r>
          </w:p>
        </w:tc>
        <w:tc>
          <w:tcPr>
            <w:tcW w:w="60"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$6.98</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6.34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3.66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5.37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4.63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3.70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6.30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0.14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9.86</w:t>
            </w:r>
          </w:p>
        </w:tc>
        <w:tc>
          <w:tcPr>
            <w:tcW w:w="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underwriters are offering the public units on a firm commitment basis. The underwriters expect to deliver the public units to purchasers on or about, October 7, 2025, subject to customary closing conditions.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i/>
          <w:sz w:val="20"/>
        </w:rPr>
      </w:pPr>
      <w:r>
        <w:rPr>
          <w:rFonts w:ascii="Times New Roman" w:hAnsi="Times New Roman"/>
          <w:i/>
          <w:sz w:val="20"/>
          <w:u w:val="single"/>
        </w:rPr>
        <w:t>Sole Book-Running Manager</w:t>
      </w:r>
      <w:r>
        <w:rPr>
          <w:rFonts w:ascii="Times New Roman" w:hAnsi="Times New Roman"/>
          <w:i/>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 Boral Capital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October 6,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We are responsible for the information contained in this prospectus. We have not, and the underwriters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The information contained in this prospectus is current only as of its date. </w:t>
      </w:r>
    </w:p>
    <w:p>
      <w:pPr>
        <w:pStyle w:val="TextBody"/>
        <w:bidi w:val="0"/>
        <w:spacing w:before="48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4"/>
        <w:gridCol w:w="252"/>
        <w:gridCol w:w="70"/>
        <w:gridCol w:w="456"/>
        <w:gridCol w:w="63"/>
      </w:tblGrid>
      <w:tr>
        <w:trPr/>
        <w:tc>
          <w:tcPr>
            <w:tcW w:w="9364"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6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2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1">
              <w:r>
                <w:rPr>
                  <w:rStyle w:val="InternetLink"/>
                  <w:rFonts w:ascii="Times New Roman" w:hAnsi="Times New Roman"/>
                  <w:sz w:val="20"/>
                </w:rPr>
                <w:t>Summary</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2">
              <w:r>
                <w:rPr>
                  <w:rStyle w:val="InternetLink"/>
                  <w:rFonts w:ascii="Times New Roman" w:hAnsi="Times New Roman"/>
                  <w:sz w:val="20"/>
                </w:rPr>
                <w:t>Summary Financial Data</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3">
              <w:r>
                <w:rPr>
                  <w:rStyle w:val="InternetLink"/>
                  <w:rFonts w:ascii="Times New Roman" w:hAnsi="Times New Roman"/>
                  <w:sz w:val="20"/>
                </w:rPr>
                <w:t>Cautionary Note Regarding Forward-Looking Statements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4">
              <w:r>
                <w:rPr>
                  <w:rStyle w:val="InternetLink"/>
                  <w:rFonts w:ascii="Times New Roman" w:hAnsi="Times New Roman"/>
                  <w:sz w:val="20"/>
                </w:rPr>
                <w:t>Risks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5">
              <w:r>
                <w:rPr>
                  <w:rStyle w:val="InternetLink"/>
                  <w:rFonts w:ascii="Times New Roman" w:hAnsi="Times New Roman"/>
                  <w:sz w:val="20"/>
                </w:rPr>
                <w:t>Risk Factors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6">
              <w:r>
                <w:rPr>
                  <w:rStyle w:val="InternetLink"/>
                  <w:rFonts w:ascii="Times New Roman" w:hAnsi="Times New Roman"/>
                  <w:sz w:val="20"/>
                </w:rPr>
                <w:t>Use of Proceeds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118</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7">
              <w:r>
                <w:rPr>
                  <w:rStyle w:val="InternetLink"/>
                  <w:rFonts w:ascii="Times New Roman" w:hAnsi="Times New Roman"/>
                  <w:sz w:val="20"/>
                </w:rPr>
                <w:t>Dividend Policy</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8">
              <w:r>
                <w:rPr>
                  <w:rStyle w:val="InternetLink"/>
                  <w:rFonts w:ascii="Times New Roman" w:hAnsi="Times New Roman"/>
                  <w:sz w:val="20"/>
                </w:rPr>
                <w:t>Dilution</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9">
              <w:r>
                <w:rPr>
                  <w:rStyle w:val="InternetLink"/>
                  <w:rFonts w:ascii="Times New Roman" w:hAnsi="Times New Roman"/>
                  <w:sz w:val="20"/>
                </w:rPr>
                <w:t>Capitalization</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10">
              <w:r>
                <w:rPr>
                  <w:rStyle w:val="InternetLink"/>
                  <w:rFonts w:ascii="Times New Roman" w:hAnsi="Times New Roman"/>
                  <w:sz w:val="20"/>
                </w:rPr>
                <w:t>Management’s Discussion and Analysis of Financial Condition and Results of Operations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127</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11">
              <w:r>
                <w:rPr>
                  <w:rStyle w:val="InternetLink"/>
                  <w:rFonts w:ascii="Times New Roman" w:hAnsi="Times New Roman"/>
                  <w:sz w:val="20"/>
                </w:rPr>
                <w:t>Proposed Business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134</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12">
              <w:r>
                <w:rPr>
                  <w:rStyle w:val="InternetLink"/>
                  <w:rFonts w:ascii="Times New Roman" w:hAnsi="Times New Roman"/>
                  <w:sz w:val="20"/>
                </w:rPr>
                <w:t>Management</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169</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13">
              <w:r>
                <w:rPr>
                  <w:rStyle w:val="InternetLink"/>
                  <w:rFonts w:ascii="Times New Roman" w:hAnsi="Times New Roman"/>
                  <w:sz w:val="20"/>
                </w:rPr>
                <w:t>Principal Shareholders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186</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14">
              <w:r>
                <w:rPr>
                  <w:rStyle w:val="InternetLink"/>
                  <w:rFonts w:ascii="Times New Roman" w:hAnsi="Times New Roman"/>
                  <w:sz w:val="20"/>
                </w:rPr>
                <w:t>Certain Relationships and Related Party Transactions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15">
              <w:r>
                <w:rPr>
                  <w:rStyle w:val="InternetLink"/>
                  <w:rFonts w:ascii="Times New Roman" w:hAnsi="Times New Roman"/>
                  <w:sz w:val="20"/>
                </w:rPr>
                <w:t>Description of Securities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16">
              <w:r>
                <w:rPr>
                  <w:rStyle w:val="InternetLink"/>
                  <w:rFonts w:ascii="Times New Roman" w:hAnsi="Times New Roman"/>
                  <w:sz w:val="20"/>
                </w:rPr>
                <w:t>Securities Eligible For Future Sale</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210</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17">
              <w:r>
                <w:rPr>
                  <w:rStyle w:val="InternetLink"/>
                  <w:rFonts w:ascii="Times New Roman" w:hAnsi="Times New Roman"/>
                  <w:sz w:val="20"/>
                </w:rPr>
                <w:t>Material United States Federal Income Tax Considerations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215</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18">
              <w:r>
                <w:rPr>
                  <w:rStyle w:val="InternetLink"/>
                  <w:rFonts w:ascii="Times New Roman" w:hAnsi="Times New Roman"/>
                  <w:sz w:val="20"/>
                </w:rPr>
                <w:t>Underwriting</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225</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19">
              <w:r>
                <w:rPr>
                  <w:rStyle w:val="InternetLink"/>
                  <w:rFonts w:ascii="Times New Roman" w:hAnsi="Times New Roman"/>
                  <w:sz w:val="20"/>
                </w:rPr>
                <w:t>Legal Matters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233</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20">
              <w:r>
                <w:rPr>
                  <w:rStyle w:val="InternetLink"/>
                  <w:rFonts w:ascii="Times New Roman" w:hAnsi="Times New Roman"/>
                  <w:sz w:val="20"/>
                </w:rPr>
                <w:t>Experts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234</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21">
              <w:r>
                <w:rPr>
                  <w:rStyle w:val="InternetLink"/>
                  <w:rFonts w:ascii="Times New Roman" w:hAnsi="Times New Roman"/>
                  <w:sz w:val="20"/>
                </w:rPr>
                <w:t>Where You Can Find Additional Information</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235</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929696_22">
              <w:r>
                <w:rPr>
                  <w:rStyle w:val="InternetLink"/>
                  <w:rFonts w:ascii="Times New Roman" w:hAnsi="Times New Roman"/>
                  <w:sz w:val="20"/>
                </w:rPr>
                <w:t>Index to Financial Statements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Trademarks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x929696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stated in this prospectus or the context otherwise requires, references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i/>
                <w:sz w:val="20"/>
              </w:rPr>
              <w:t>amended and restated memorandum and articles of association” refer to the amended and restated memorandum and articles of association of the company which will be adopted prior to the consummation of this offering;</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i/>
                <w:sz w:val="20"/>
              </w:rPr>
              <w:t>combined team” refer to our management team and our other advisors, collectively;</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i/>
                <w:sz w:val="20"/>
              </w:rPr>
              <w:t>Companies Act” are to the Companies Act (As Revised) of the Cayman Islands as the same may be amended from time to time;</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i/>
                <w:sz w:val="20"/>
              </w:rPr>
              <w:t>completion window” are to (i)</w:t>
            </w:r>
            <w:r>
              <w:rPr>
                <w:rFonts w:ascii="Times New Roman" w:hAnsi="Times New Roman"/>
                <w:sz w:val="20"/>
              </w:rPr>
              <w:t> </w:t>
            </w:r>
            <w:r>
              <w:rPr>
                <w:rFonts w:ascii="Times New Roman" w:hAnsi="Times New Roman"/>
                <w:i/>
                <w:sz w:val="20"/>
              </w:rPr>
              <w:t>24</w:t>
            </w:r>
            <w:r>
              <w:rPr>
                <w:rFonts w:ascii="Times New Roman" w:hAnsi="Times New Roman"/>
                <w:sz w:val="20"/>
              </w:rPr>
              <w:t> </w:t>
            </w:r>
            <w:r>
              <w:rPr>
                <w:rFonts w:ascii="Times New Roman" w:hAnsi="Times New Roman"/>
                <w:i/>
                <w:sz w:val="20"/>
              </w:rPr>
              <w:t>months from the closing of this offering; or (ii)</w:t>
            </w:r>
            <w:r>
              <w:rPr>
                <w:rFonts w:ascii="Times New Roman" w:hAnsi="Times New Roman"/>
                <w:sz w:val="20"/>
              </w:rPr>
              <w:t> </w:t>
            </w:r>
            <w:r>
              <w:rPr>
                <w:rFonts w:ascii="Times New Roman" w:hAnsi="Times New Roman"/>
                <w:i/>
                <w:sz w:val="20"/>
              </w:rPr>
              <w:t>or such earlier liquidation date as our board of directors may approve, in which we must complete an initial business combination; or (iii)</w:t>
            </w:r>
            <w:r>
              <w:rPr>
                <w:rFonts w:ascii="Times New Roman" w:hAnsi="Times New Roman"/>
                <w:sz w:val="20"/>
              </w:rPr>
              <w:t> </w:t>
            </w:r>
            <w:r>
              <w:rPr>
                <w:rFonts w:ascii="Times New Roman" w:hAnsi="Times New Roman"/>
                <w:i/>
                <w:sz w:val="20"/>
              </w:rPr>
              <w:t>such other time period in which we must complete an initial business combination pursuant to an amendment to our amended and restated memorandum and articles of association. Our shareholders can also vote at any time to amend our amended and restated memorandum and articles of association to modify the amount of time we will have to complete an initial business combination, in which case our public shareholders will be offered an opportunity to redeem their public shares;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i/>
                <w:sz w:val="20"/>
              </w:rPr>
              <w:t>directors” are to our directors (including our director nominees named in this prospectus);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i/>
                <w:sz w:val="20"/>
              </w:rPr>
              <w:t>founder shares” are to Class</w:t>
            </w:r>
            <w:r>
              <w:rPr>
                <w:rFonts w:ascii="Times New Roman" w:hAnsi="Times New Roman"/>
                <w:sz w:val="20"/>
              </w:rPr>
              <w:t> </w:t>
            </w:r>
            <w:r>
              <w:rPr>
                <w:rFonts w:ascii="Times New Roman" w:hAnsi="Times New Roman"/>
                <w:i/>
                <w:sz w:val="20"/>
              </w:rPr>
              <w:t>B ordinary shares initially purchased by our sponsor in a private placement prior to this offering and then partially sold to four of our directors and the Class</w:t>
            </w:r>
            <w:r>
              <w:rPr>
                <w:rFonts w:ascii="Times New Roman" w:hAnsi="Times New Roman"/>
                <w:sz w:val="20"/>
              </w:rPr>
              <w:t> </w:t>
            </w:r>
            <w:r>
              <w:rPr>
                <w:rFonts w:ascii="Times New Roman" w:hAnsi="Times New Roman"/>
                <w:i/>
                <w:sz w:val="20"/>
              </w:rPr>
              <w:t>A ordinary shares that will be issued upon the automatic conversion of the Class</w:t>
            </w:r>
            <w:r>
              <w:rPr>
                <w:rFonts w:ascii="Times New Roman" w:hAnsi="Times New Roman"/>
                <w:sz w:val="20"/>
              </w:rPr>
              <w:t> </w:t>
            </w:r>
            <w:r>
              <w:rPr>
                <w:rFonts w:ascii="Times New Roman" w:hAnsi="Times New Roman"/>
                <w:i/>
                <w:sz w:val="20"/>
              </w:rPr>
              <w:t>B ordinary shares at the time of our initial business combination or earlier at the option of the holders thereof as described herein (such Class</w:t>
            </w:r>
            <w:r>
              <w:rPr>
                <w:rFonts w:ascii="Times New Roman" w:hAnsi="Times New Roman"/>
                <w:sz w:val="20"/>
              </w:rPr>
              <w:t> </w:t>
            </w:r>
            <w:r>
              <w:rPr>
                <w:rFonts w:ascii="Times New Roman" w:hAnsi="Times New Roman"/>
                <w:i/>
                <w:sz w:val="20"/>
              </w:rPr>
              <w:t>A ordinary shares will not be “public shares”);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i/>
                <w:sz w:val="20"/>
              </w:rPr>
              <w:t xml:space="preserve">initial shareholders” refer to our sponsor (or non-affiliated investors to which our sponsor assigns this subscription for the private placement units and as a result, transfers any founder shares), the non-managing investors and our directors and officers to the extent they hold the founder shares immediately prior to the consummation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i/>
                <w:sz w:val="20"/>
              </w:rPr>
              <w:t>insiders” are to our sponsor and all of our officers and directors to the extent they hold the founder shares immediately prior to the consummation of this offering and / or purchase private placement units concurrently with this offering;</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i/>
                <w:sz w:val="20"/>
              </w:rPr>
              <w:t>Investment Company Act” are to the Investment Company Act</w:t>
            </w:r>
            <w:r>
              <w:rPr>
                <w:rFonts w:ascii="Times New Roman" w:hAnsi="Times New Roman"/>
                <w:sz w:val="20"/>
              </w:rPr>
              <w:t> </w:t>
            </w:r>
            <w:r>
              <w:rPr>
                <w:rFonts w:ascii="Times New Roman" w:hAnsi="Times New Roman"/>
                <w:i/>
                <w:sz w:val="20"/>
              </w:rPr>
              <w:t>of</w:t>
            </w:r>
            <w:r>
              <w:rPr>
                <w:rFonts w:ascii="Times New Roman" w:hAnsi="Times New Roman"/>
                <w:sz w:val="20"/>
              </w:rPr>
              <w:t> </w:t>
            </w:r>
            <w:r>
              <w:rPr>
                <w:rFonts w:ascii="Times New Roman" w:hAnsi="Times New Roman"/>
                <w:i/>
                <w:sz w:val="20"/>
              </w:rPr>
              <w:t>1940, as amended;</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i/>
                <w:sz w:val="20"/>
              </w:rPr>
              <w:t>management” or our “management team” refer to our directors and executive officers;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i/>
                <w:sz w:val="20"/>
              </w:rPr>
              <w:t>non-managing investors</w:t>
            </w:r>
            <w:r>
              <w:rPr>
                <w:rFonts w:ascii="Times New Roman" w:hAnsi="Times New Roman"/>
                <w:sz w:val="20"/>
              </w:rPr>
              <w:t xml:space="preserve">” </w:t>
            </w:r>
            <w:r>
              <w:rPr>
                <w:rFonts w:ascii="Times New Roman" w:hAnsi="Times New Roman"/>
                <w:i/>
                <w:sz w:val="20"/>
              </w:rPr>
              <w:t>refer to eight groups of institutional accredited investors (none of which are affiliated with our sponsor, any member of our management, other members of our sponsor or any other investor) that have committed to purchase an aggregate of (a) 2,964,203 Class</w:t>
            </w:r>
            <w:r>
              <w:rPr>
                <w:rFonts w:ascii="Times New Roman" w:hAnsi="Times New Roman"/>
                <w:sz w:val="20"/>
              </w:rPr>
              <w:t> </w:t>
            </w:r>
            <w:r>
              <w:rPr>
                <w:rFonts w:ascii="Times New Roman" w:hAnsi="Times New Roman"/>
                <w:i/>
                <w:sz w:val="20"/>
              </w:rPr>
              <w:t>B ordinary shares (of which up to 386,681 Class</w:t>
            </w:r>
            <w:r>
              <w:rPr>
                <w:rFonts w:ascii="Times New Roman" w:hAnsi="Times New Roman"/>
                <w:sz w:val="20"/>
              </w:rPr>
              <w:t> </w:t>
            </w:r>
            <w:r>
              <w:rPr>
                <w:rFonts w:ascii="Times New Roman" w:hAnsi="Times New Roman"/>
                <w:i/>
                <w:sz w:val="20"/>
              </w:rPr>
              <w:t>B ordinary shares remain subject to forfeiture depending on the extent to which the underwriters’ over-allotment option is exercised during this offering) at a purchase price per Class</w:t>
            </w:r>
            <w:r>
              <w:rPr>
                <w:rFonts w:ascii="Times New Roman" w:hAnsi="Times New Roman"/>
                <w:sz w:val="20"/>
              </w:rPr>
              <w:t> </w:t>
            </w:r>
            <w:r>
              <w:rPr>
                <w:rFonts w:ascii="Times New Roman" w:hAnsi="Times New Roman"/>
                <w:i/>
                <w:sz w:val="20"/>
              </w:rPr>
              <w:t>B ordinary share of $0.023254, and (b)</w:t>
            </w:r>
            <w:r>
              <w:rPr>
                <w:rFonts w:ascii="Times New Roman" w:hAnsi="Times New Roman"/>
                <w:sz w:val="20"/>
              </w:rPr>
              <w:t> </w:t>
            </w:r>
            <w:r>
              <w:rPr>
                <w:rFonts w:ascii="Times New Roman" w:hAnsi="Times New Roman"/>
                <w:i/>
                <w:sz w:val="20"/>
              </w:rPr>
              <w:t>an aggregate of 242,475 private placement units (or up to 262,425 private placement units if the underwriters’ over-allotment option is exercised in full) at a price of $9.7374 per private placement unit, for an aggregate purchase price of $2,430,006 (or $2,624,266 if the underwriters’ over allotment option is exercised in full) from the company in a private placement that will close simultaneously with this offering;</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i/>
                <w:sz w:val="20"/>
              </w:rPr>
              <w:t>ordinary resolution” are to a resolution of the company passed by a simple majority of the votes cast by such shareholders as, being entitled to do so, vote in person or, where proxies are allowed, by proxy at a general meeting of the company, or a resolution approved in writing by all of the holders of the</w:t>
            </w:r>
            <w:r>
              <w:rPr>
                <w:rFonts w:ascii="Times New Roman" w:hAnsi="Times New Roman"/>
                <w:sz w:val="20"/>
              </w:rPr>
              <w:t xml:space="preserve"> </w:t>
            </w:r>
            <w:r>
              <w:rPr>
                <w:rFonts w:ascii="Times New Roman" w:hAnsi="Times New Roman"/>
                <w:i/>
                <w:sz w:val="20"/>
              </w:rPr>
              <w:t>issued shares entitled to vote on such matter (or such lower threshold as may be allowed under the Companies Act from time to time);;</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i/>
                <w:sz w:val="20"/>
              </w:rPr>
              <w:t>ordinary shares” are to our Class</w:t>
            </w:r>
            <w:r>
              <w:rPr>
                <w:rFonts w:ascii="Times New Roman" w:hAnsi="Times New Roman"/>
                <w:sz w:val="20"/>
              </w:rPr>
              <w:t> </w:t>
            </w:r>
            <w:r>
              <w:rPr>
                <w:rFonts w:ascii="Times New Roman" w:hAnsi="Times New Roman"/>
                <w:i/>
                <w:sz w:val="20"/>
              </w:rPr>
              <w:t>A ordinary shares and our Class</w:t>
            </w:r>
            <w:r>
              <w:rPr>
                <w:rFonts w:ascii="Times New Roman" w:hAnsi="Times New Roman"/>
                <w:sz w:val="20"/>
              </w:rPr>
              <w:t> </w:t>
            </w:r>
            <w:r>
              <w:rPr>
                <w:rFonts w:ascii="Times New Roman" w:hAnsi="Times New Roman"/>
                <w:i/>
                <w:sz w:val="20"/>
              </w:rPr>
              <w:t>B ordinary shares;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i/>
              </w:rPr>
            </w:pPr>
            <w:r>
              <w:rPr>
                <w:i/>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i/>
                <w:sz w:val="20"/>
              </w:rPr>
              <w:t>permitted withdrawals” refer to amounts withdrawn to pay our taxes, if any, and such withdrawals can only be made from interest and not from the principal held in the trust account;</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i/>
                <w:sz w:val="20"/>
              </w:rPr>
              <w:t>private investor shares” refer to 2,964,203 Class</w:t>
            </w:r>
            <w:r>
              <w:rPr>
                <w:rFonts w:ascii="Times New Roman" w:hAnsi="Times New Roman"/>
                <w:sz w:val="20"/>
              </w:rPr>
              <w:t> </w:t>
            </w:r>
            <w:r>
              <w:rPr>
                <w:rFonts w:ascii="Times New Roman" w:hAnsi="Times New Roman"/>
                <w:i/>
                <w:sz w:val="20"/>
              </w:rPr>
              <w:t>B ordinary shares to be purchased by the non-managing investors in a private placement, of which 386,681 Class</w:t>
            </w:r>
            <w:r>
              <w:rPr>
                <w:rFonts w:ascii="Times New Roman" w:hAnsi="Times New Roman"/>
                <w:sz w:val="20"/>
              </w:rPr>
              <w:t> </w:t>
            </w:r>
            <w:r>
              <w:rPr>
                <w:rFonts w:ascii="Times New Roman" w:hAnsi="Times New Roman"/>
                <w:i/>
                <w:sz w:val="20"/>
              </w:rPr>
              <w:t>B ordinary shares remain subject to forfeiture;</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i/>
                <w:sz w:val="20"/>
              </w:rPr>
              <w:t>private placement rights” refer to the rights to receive 1/5</w:t>
            </w:r>
            <w:r>
              <w:rPr>
                <w:rFonts w:ascii="Times New Roman" w:hAnsi="Times New Roman"/>
                <w:sz w:val="20"/>
              </w:rPr>
              <w:t> </w:t>
            </w:r>
            <w:r>
              <w:rPr>
                <w:rFonts w:ascii="Times New Roman" w:hAnsi="Times New Roman"/>
                <w:i/>
                <w:sz w:val="20"/>
              </w:rPr>
              <w:t>of one Class</w:t>
            </w:r>
            <w:r>
              <w:rPr>
                <w:rFonts w:ascii="Times New Roman" w:hAnsi="Times New Roman"/>
                <w:sz w:val="20"/>
              </w:rPr>
              <w:t> </w:t>
            </w:r>
            <w:r>
              <w:rPr>
                <w:rFonts w:ascii="Times New Roman" w:hAnsi="Times New Roman"/>
                <w:i/>
                <w:sz w:val="20"/>
              </w:rPr>
              <w:t>A ordinary share upon the consummation of an initial business combination included in the private placement units;</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i/>
                <w:sz w:val="20"/>
              </w:rPr>
              <w:t>private placement shares” refer to (i) 95,200 Class</w:t>
            </w:r>
            <w:r>
              <w:rPr>
                <w:rFonts w:ascii="Times New Roman" w:hAnsi="Times New Roman"/>
                <w:sz w:val="20"/>
              </w:rPr>
              <w:t> </w:t>
            </w:r>
            <w:r>
              <w:rPr>
                <w:rFonts w:ascii="Times New Roman" w:hAnsi="Times New Roman"/>
                <w:i/>
                <w:sz w:val="20"/>
              </w:rPr>
              <w:t>A ordinary shares included in private placement units to be purchased by the insiders and Lynrock in a private placement pursuant to the Unit Purchase Agreement concurrently with this offering, and (ii) 242,475 Class</w:t>
            </w:r>
            <w:r>
              <w:rPr>
                <w:rFonts w:ascii="Times New Roman" w:hAnsi="Times New Roman"/>
                <w:sz w:val="20"/>
              </w:rPr>
              <w:t> </w:t>
            </w:r>
            <w:r>
              <w:rPr>
                <w:rFonts w:ascii="Times New Roman" w:hAnsi="Times New Roman"/>
                <w:i/>
                <w:sz w:val="20"/>
              </w:rPr>
              <w:t>A ordinary shares (or 262,425 Class</w:t>
            </w:r>
            <w:r>
              <w:rPr>
                <w:rFonts w:ascii="Times New Roman" w:hAnsi="Times New Roman"/>
                <w:sz w:val="20"/>
              </w:rPr>
              <w:t> </w:t>
            </w:r>
            <w:r>
              <w:rPr>
                <w:rFonts w:ascii="Times New Roman" w:hAnsi="Times New Roman"/>
                <w:i/>
                <w:sz w:val="20"/>
              </w:rPr>
              <w:t>A ordinary shares if the underwriters exercise their over-allotment option in full) included in private placement units to be purchased by the non-managing investors in a private placement concurrently with this offering;</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i/>
                <w:sz w:val="20"/>
              </w:rPr>
              <w:t>private placement units” refer to the units issued in private placements pursuant to the Unit Purchase Agreement with the insiders and Lynrock for 95,200 private placement units, and the non-managing investors for 242,475 private placement units (or 262,425 private placement units if the underwriters exercise their over-allotment option in full) that will occur concurrently with the closing of this offering, which private placement units</w:t>
            </w:r>
            <w:r>
              <w:rPr>
                <w:rFonts w:ascii="Times New Roman" w:hAnsi="Times New Roman"/>
                <w:sz w:val="20"/>
              </w:rPr>
              <w:t> </w:t>
            </w:r>
            <w:r>
              <w:rPr>
                <w:rFonts w:ascii="Times New Roman" w:hAnsi="Times New Roman"/>
                <w:i/>
                <w:sz w:val="20"/>
              </w:rPr>
              <w:t>are identical to the public units sold in this offering, subject to certain limited exceptions as described in this prospectus;</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i/>
                <w:sz w:val="20"/>
              </w:rPr>
              <w:t>public rights” are to the rights to receive 1/5</w:t>
            </w:r>
            <w:r>
              <w:rPr>
                <w:rFonts w:ascii="Times New Roman" w:hAnsi="Times New Roman"/>
                <w:sz w:val="20"/>
              </w:rPr>
              <w:t> </w:t>
            </w:r>
            <w:r>
              <w:rPr>
                <w:rFonts w:ascii="Times New Roman" w:hAnsi="Times New Roman"/>
                <w:i/>
                <w:sz w:val="20"/>
              </w:rPr>
              <w:t>of one Class</w:t>
            </w:r>
            <w:r>
              <w:rPr>
                <w:rFonts w:ascii="Times New Roman" w:hAnsi="Times New Roman"/>
                <w:sz w:val="20"/>
              </w:rPr>
              <w:t> </w:t>
            </w:r>
            <w:r>
              <w:rPr>
                <w:rFonts w:ascii="Times New Roman" w:hAnsi="Times New Roman"/>
                <w:i/>
                <w:sz w:val="20"/>
              </w:rPr>
              <w:t>A ordinary share upon the consummation of an initial business combination that are being sold as part of the public units in this offering;</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i/>
                <w:sz w:val="20"/>
              </w:rPr>
              <w:t>public shares” are to our Class</w:t>
            </w:r>
            <w:r>
              <w:rPr>
                <w:rFonts w:ascii="Times New Roman" w:hAnsi="Times New Roman"/>
                <w:sz w:val="20"/>
              </w:rPr>
              <w:t> </w:t>
            </w:r>
            <w:r>
              <w:rPr>
                <w:rFonts w:ascii="Times New Roman" w:hAnsi="Times New Roman"/>
                <w:i/>
                <w:sz w:val="20"/>
              </w:rPr>
              <w:t>A ordinary shares sold as part of the public units in this offering (whether they are purchased in this offering or thereafter on the open market; such Class</w:t>
            </w:r>
            <w:r>
              <w:rPr>
                <w:rFonts w:ascii="Times New Roman" w:hAnsi="Times New Roman"/>
                <w:sz w:val="20"/>
              </w:rPr>
              <w:t> </w:t>
            </w:r>
            <w:r>
              <w:rPr>
                <w:rFonts w:ascii="Times New Roman" w:hAnsi="Times New Roman"/>
                <w:i/>
                <w:sz w:val="20"/>
              </w:rPr>
              <w:t>A ordinary shares exclude private placement shares and any Class</w:t>
            </w:r>
            <w:r>
              <w:rPr>
                <w:rFonts w:ascii="Times New Roman" w:hAnsi="Times New Roman"/>
                <w:sz w:val="20"/>
              </w:rPr>
              <w:t> </w:t>
            </w:r>
            <w:r>
              <w:rPr>
                <w:rFonts w:ascii="Times New Roman" w:hAnsi="Times New Roman"/>
                <w:i/>
                <w:sz w:val="20"/>
              </w:rPr>
              <w:t>A ordinary shares that are issued upon conversion of our Class</w:t>
            </w:r>
            <w:r>
              <w:rPr>
                <w:rFonts w:ascii="Times New Roman" w:hAnsi="Times New Roman"/>
                <w:sz w:val="20"/>
              </w:rPr>
              <w:t> </w:t>
            </w:r>
            <w:r>
              <w:rPr>
                <w:rFonts w:ascii="Times New Roman" w:hAnsi="Times New Roman"/>
                <w:i/>
                <w:sz w:val="20"/>
              </w:rPr>
              <w:t>B ordinary shares);</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i/>
                <w:sz w:val="20"/>
              </w:rPr>
              <w:t>public shareholders” refer to the holders of our public shares, including our sponsor (as defined below), any non-managing investors, executive officers and directors to the extent they purchase public shares, provided that their status as “public shareholders” shall only exist with respect to such public shares;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i/>
                <w:sz w:val="20"/>
              </w:rPr>
              <w:t>rights” refer to the public rights and the private placement rights;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i/>
                <w:sz w:val="20"/>
              </w:rPr>
              <w:t>special resolution” are to a resolution of our company passed by at least a two-thirds (2/3) majority (or such higher approval threshold as specified in our company’s amended and restated memorandum and articles of association) of the votes cast by such shareholders as, being entitled to do so, vote in person or, where proxies are allowed, by proxy at a general meeting of our company of which notice specifying the intention to propose the resolution as a special resolution has been duly given, or a resolution approved in writing by all of the holders of the issued shares entitled to vote on such matter.</w:t>
            </w:r>
            <w:r>
              <w:rPr>
                <w:rFonts w:ascii="Times New Roman" w:hAnsi="Times New Roman"/>
                <w:sz w:val="20"/>
              </w:rPr>
              <w:t xml:space="preserve"> </w:t>
            </w:r>
            <w:r>
              <w:rPr>
                <w:rFonts w:ascii="Times New Roman" w:hAnsi="Times New Roman"/>
                <w:i/>
                <w:sz w:val="20"/>
              </w:rPr>
              <w:t>For example, assuming that only the holders of one-third of our issued and outstanding ordinary shares, representing a quorum under our amended and restated memorandum and articles of</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i/>
                <w:sz w:val="20"/>
              </w:rPr>
              <w:t>association, vote their shares at such shareholders meeting, a special resolution can be passed by</w:t>
            </w:r>
            <w:r>
              <w:rPr>
                <w:rFonts w:ascii="Times New Roman" w:hAnsi="Times New Roman"/>
                <w:sz w:val="20"/>
              </w:rPr>
              <w:t xml:space="preserve"> </w:t>
            </w:r>
            <w:r>
              <w:rPr>
                <w:rFonts w:ascii="Times New Roman" w:hAnsi="Times New Roman"/>
                <w:i/>
                <w:sz w:val="20"/>
              </w:rPr>
              <w:t>holders of at least 7,053,664</w:t>
            </w:r>
            <w:r>
              <w:rPr>
                <w:rFonts w:ascii="Times New Roman" w:hAnsi="Times New Roman"/>
                <w:sz w:val="20"/>
              </w:rPr>
              <w:t xml:space="preserve"> </w:t>
            </w:r>
            <w:r>
              <w:rPr>
                <w:rFonts w:ascii="Times New Roman" w:hAnsi="Times New Roman"/>
                <w:i/>
                <w:sz w:val="20"/>
              </w:rPr>
              <w:t>ordinary shares of our company (assuming no exercise of the over-allotment option by the underwriters), which means that the insiders along with non-managing investors holding 9,403,808 ordinary shares in the aggregate may adopt such special resolution without any additional vote by public shareholders. If all the issued and outstanding ordinary shares of our company are present and entitled to vote at such shareholders meeting, a special resolution will require vote of holders of at least 21,160,989</w:t>
            </w:r>
            <w:r>
              <w:rPr>
                <w:rFonts w:ascii="Times New Roman" w:hAnsi="Times New Roman"/>
                <w:sz w:val="20"/>
              </w:rPr>
              <w:t> </w:t>
            </w:r>
            <w:r>
              <w:rPr>
                <w:rFonts w:ascii="Times New Roman" w:hAnsi="Times New Roman"/>
                <w:i/>
                <w:sz w:val="20"/>
              </w:rPr>
              <w:t>ordinary shares of our company (assuming no exercise of the over-allotment option by the underwriters), which in addition to the founder shares, private investor shares and private placement units that our insiders and non-managing investors have committed to purchase, will require approximately 11,419,506</w:t>
            </w:r>
            <w:r>
              <w:rPr>
                <w:rFonts w:ascii="Times New Roman" w:hAnsi="Times New Roman"/>
                <w:sz w:val="20"/>
              </w:rPr>
              <w:t> </w:t>
            </w:r>
            <w:r>
              <w:rPr>
                <w:rFonts w:ascii="Times New Roman" w:hAnsi="Times New Roman"/>
                <w:i/>
                <w:sz w:val="20"/>
              </w:rPr>
              <w:t>public shares, or approximately 51.91% of the 22,000,000;</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i/>
                <w:sz w:val="20"/>
              </w:rPr>
              <w:t>sponsor” refer to GigAcquisitions8 Corp., a company owned by Dr.</w:t>
            </w:r>
            <w:r>
              <w:rPr>
                <w:rFonts w:ascii="Times New Roman" w:hAnsi="Times New Roman"/>
                <w:sz w:val="20"/>
              </w:rPr>
              <w:t> </w:t>
            </w:r>
            <w:r>
              <w:rPr>
                <w:rFonts w:ascii="Times New Roman" w:hAnsi="Times New Roman"/>
                <w:i/>
                <w:sz w:val="20"/>
              </w:rPr>
              <w:t>Avi Katz, our Chief Executive Officer and Chairman of the Board, and Dr.</w:t>
            </w:r>
            <w:r>
              <w:rPr>
                <w:rFonts w:ascii="Times New Roman" w:hAnsi="Times New Roman"/>
                <w:sz w:val="20"/>
              </w:rPr>
              <w:t> </w:t>
            </w:r>
            <w:r>
              <w:rPr>
                <w:rFonts w:ascii="Times New Roman" w:hAnsi="Times New Roman"/>
                <w:i/>
                <w:sz w:val="20"/>
              </w:rPr>
              <w:t>Raluca Dinu, who is one of our directors; Drs. Katz and Dinu are husband and wife;</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i/>
              </w:rPr>
            </w:pPr>
            <w:r>
              <w:rPr>
                <w:i/>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i/>
                <w:sz w:val="20"/>
              </w:rPr>
              <w:t>underwriters’ over-allotment option” are to the underwriters’ 45-day option to purchase up to an additional 3,300,000 units to cover over-allotments, if any; and</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i/>
              </w:rPr>
            </w:pPr>
            <w:r>
              <w:rPr>
                <w:i/>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i/>
                <w:sz w:val="20"/>
              </w:rPr>
              <w:t xml:space="preserve">we,” “us” or “our company” refer to GigCapital8 Corp. </w:t>
            </w:r>
          </w:p>
        </w:tc>
      </w:tr>
    </w:tbl>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All references in this prospectus to shares of the company being forfeited shall take effect as surrenders for no consideration of such shares as a matter of Cayman Islands law. Any conversion of the Class B ordinary shares described in this prospectus will take effect as a compulsory redemption of Class B ordinary shares and an issuance of Class A ordinary shares, or as otherwise permitted by our amended and restated memorandum and articles of association, as a matter of Cayman Islands law. Any share dividends described in this prospectus will take effect as share capitalizations as a matter of Cayman Islands law (that is, an issuance of shares from share premium).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we tell you otherwise, the information in this prospectus assumes that the underwriters will not exercise their over-allotment option. You should rely only on the information contained in this prospectus. We have not, and the Underwriter has not, authorized anyone to provide you with different information. We are not, and the underwriters are not, making an offer of these securities in any jurisdiction where the offer is not permitted. “Private-to-Public Equity (PPE)TM” is a trademark of GigFounders, LLC, an affiliate of our sponsor, and all are used pursuant to an agreement.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General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newly organized Private-to-Public Equity (PPE) company, also known as a blank check company or SPAC, formed by an affiliate of the serial SPAC issuer GigCapital Global, and incorporated in the Cayman Islands on June 30, 2025 for the purpose of effecting a merger, share exchange, asset acquisition, stock purchase, recapitalization, reorganization or other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To date, our efforts have been limited to organizational activities as well as activities related to this offering.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aerospace and defense (“A&amp;D”) services, cybersecurity and secured communications and quantum-based command and control systems, and artificial intelligence (“AI”) and machine-learning (“ML”) industries.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management team believes there is a backlog of companies that are interested in becoming public companies. We believe that because this backlog is substantial, there may be a number of attractive companies that will not be able to list via a traditional initial public offering (an “IPO”) in the near-term, and therefore may opt to pursue a listing via a SPAC instead. Moreover, we believe current market conditions are causing middle-market financial sponsors and venture capital firms to consider alternative methods for providing liquidity to their limited partners.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Business Strategy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acquisition and value creation strategy is to identify, acquire and, after our initial business combination, further accelerate the growth of a company at the intersection of the A&amp;D services, cybersecurity and secured communications and quantum-based command and control systems, and AI and ML, and to contribute to the global A&amp;D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services, cybersecurity and secured communications and quantum-based command and control systems industries, as well as in AI and ML. Market size, growth potential, competition, and barriers to entry are all essential factors to consider as we identify the acquisition target. Our team intends to utilize an in-depth evaluation process of potential acquisition targets based on financial performance, strategic fit, and potential synergies as well as the company’s products, and services to ensure our target is aligned. Although, the global A&amp;D economy is highly regulated, and there are many legal and regulatory considerations that companies must consider, such as licensing requirements, export controls, and liability issues; our management team’s expertise and track record in the A&amp;D ecosystem, and all related technologies, will help mitigate these factors by proactively advising potential target companies on navigating these issues.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Overall, an acquisition and value creation strategy impacting the global A&amp;D economy requires a careful and strategic approach, the potential benefits can be significant for companies with the ability to identify and acquire complementary businesses and technologies with synergies through effective integration. Our management team believes that the global A&amp;D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expect to distinguish ourselves with our ability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Tap into our vast international network of relationships to develop a distinctive pipeline of acquisition opportunities.</w:t>
            </w:r>
            <w:r>
              <w:rPr>
                <w:rFonts w:ascii="Times New Roman" w:hAnsi="Times New Roman"/>
                <w:sz w:val="20"/>
              </w:rPr>
              <w:t xml:space="preserve"> We believe the combination of our Chief Executive Officer’s industry experience and our directors’ and management’s ability and network of relationships with CEOs, founders, family offices, private equity, hedge-funds, venture capitalists, sponsors and investment banks will help us to identify and evaluate suitable target businesses that could benefit from our operational and strategic expertise and from management’s experience in structuring complex transactions and accessing capital for growth.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Revitalize the acquisition target and generate value for shareholders after the business combination.</w:t>
            </w:r>
            <w:r>
              <w:rPr>
                <w:rFonts w:ascii="Times New Roman" w:hAnsi="Times New Roman"/>
                <w:sz w:val="20"/>
              </w:rPr>
              <w:t xml:space="preserve"> Given our management’s experience, we are confident that our officers and directors will be able to drive value after the combination. By implementing strategies that have proven successful in the past, they intend to focus on accelerating revenue growth, improving profit margins and fostering a results-driven culture.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Show a proven record of successful completions of business combinations</w:t>
            </w:r>
            <w:r>
              <w:rPr>
                <w:rFonts w:ascii="Times New Roman" w:hAnsi="Times New Roman"/>
                <w:sz w:val="20"/>
              </w:rPr>
              <w:t xml:space="preserve">. We believe that our management team’s track record and experience will provide a distinct advantage for identifying, valuing and completing a business combination that will meet our investors’ expectations. GigCapital8 is our eighth SPAC affiliated with GigCapital Global, with five out of seven prior SPACs having completed business combinations and one SPAC looking for a suitable business target, as summarized below.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2"/>
        <w:gridCol w:w="102"/>
        <w:gridCol w:w="8881"/>
      </w:tblGrid>
      <w:tr>
        <w:trPr/>
        <w:tc>
          <w:tcPr>
            <w:tcW w:w="1020"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GigCapital, Inc. (“GIG1”), a Private-to-Public Equity (PPE) company formed for the purpose of acquiring a company in the technology, media, and telecommunications (“TMT”) industry,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GigCapital2, Inc. (“GIG2”),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UpHealth, Inc. closed down certain of its subsidiaries and sold subsidiaries Innovations Group Incorporated to Belmar Pharma Solutions in June 2023 and Cloudbreak Health to an affiliate of GTCR, LLC in March 2024. Following an adverse legal judgement, in September 2023, UpHealth Holdings, Inc., a subsidiary of UpHealth, Inc., filed a voluntary petition for relief under Chapter 11 of the U.S. Bankruptcy Code. In addition, in October 2023, two of UpHealth Holdings’ wholly-owned subsidiaries, Thrasys, Inc. and Behavioral Health Services, LLC, and each of their subsidiaries filed voluntary petitions for relief under Chapter 11 of the U.S. Bankruptcy Code.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GigCapital3, Inc. (“GIG3”),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successfully completed its business combination with Lightning Systems, Inc., which did business as Lightning eMotors, and GIG3 retained such name. Lightning eMotors, Inc. was listed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NYSE under the new ticker symbol “ZEV,” before being listed on the OTC Expert Market under the ticker symbol “ZEVY.” In October 2021, Dr. Katz left Lightning eMotors as he did not stand for reelection to the board of directors. Lightning eMotors went into receivership in December 2023, and as a result, the assets of Lightning eMotors were sold to GERCO LLC, a subsidiary of GILLIG, in February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GigCapital4, Inc. (“GIG4”),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On December 9, 2021, GIG4 successfully completed its business combination with BigBear.ai Holdings, LLC, following which it was renamed as BigBear.ai Holdings, Inc. (NYSE: BBAI).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GigCapital5, Inc. (“GIG5”), a Private-to-Public Equity (PPE) company formed for the purpose of acquiring a company in the TMT, A&amp;D, advanced medical equipment, intelligent automation and sustainable industries,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the NYSE under the symbol “GIA” and then subsequently transferred to Nasdaq and later, to the OTCQB Venture Market. In March 2024, GIG5 successfully completed its business combination with QT Imaging, Inc., following which it was renamed as QT Imaging Holdings, Inc. (OTCQB: QTIH).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GigInternational1, Inc. (“GIW”),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GigCapital7 Corp. (“GIG7”),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 purchase one Class A ordinary share of GIG7, generating $200 million. GIG7 listed on Nasdaq under the symbol “GIG” and is currently looking for a suitable acquisition target.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respect to the foregoing examples, the past performance of the members of our management team or their affiliates, including with respect to GIG1, GIG2, GIG3, GIG4, GIG5 and GIG7, and their engagement in the TMT and other markets, is not a guarantee that we will be able to identify a suitable candidate for our initial 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 interested U.S. and foreign acquisition targets from extensive screening with previous GigCapital PPE platforms. Our management team’s expertise in data-driven identification, evaluation and engagement with potential targets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will facilitate and efficient de-SPAC process. You should not rely on the historical record of the performance of our management or any of its affiliates’ performance, including GIG1, GIG2, GIG3, GIG4, and GIG5, as indicative of our future performance. Members of our management team and their affiliates are likely to form other Private-to-Public Equity (PPE) companies prior to the completion of our initial business combination.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Team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management team’s knowledge, decades of experience and relationships across various industries can effect a positive transformation or augmentation of an existing business model through implementing proven business strategies within A&amp;D services, cybersecurity and secured communications and quantum-based command and control systems, and AI and ML. Our team is well positioned to originate attractive investment opportunities and has a history of executing various business transactions in multiple geographies and under varying economic and financial market conditions.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assembled a strong management team with a broad network of connections and corporate relationships across the A&amp;D, cybersecurity and secured communications and quantum-based command and control systems, and AI and ML industries. We are confident that we will be able to use our individual experiences as well as our networks to achieve success. Together, we will formulate an all-encompassing plan for growth, one that accounts for both organic expansion and expansion via mergers and acquisitions. In the end, we will attempt to transform our target company into a widely respected industry leader by leveraging the benefits of becoming a public company, including access to finance and equity for expansion.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experience or performance of our management team and their respective affiliates is not a guarantee of either (i) our ability to successfully identify and execute a transaction or (ii) success with respect to any business combination that we may consummate. You should not rely on the historical record of our management team or their respective affiliates as an assurance of the future performance of an investment in us or the returns we will, or are likely to, generate going forward. Moreover, although some of our key personnel may remain with a target business in senior management or advisory positions following a business combination, it is likely that some or all of the management of the target business will remain in place. Additionally, our management team members are subject to certain conflicts of interest. </w:t>
      </w:r>
      <w:r>
        <w:rPr>
          <w:rFonts w:ascii="Times New Roman" w:hAnsi="Times New Roman"/>
          <w:b/>
          <w:sz w:val="20"/>
          <w:bdr w:val="single" w:sz="8" w:space="1" w:color="000000"/>
        </w:rPr>
        <w:t>For more information, please refer to “</w:t>
      </w:r>
      <w:r>
        <w:rPr>
          <w:rFonts w:ascii="Times New Roman" w:hAnsi="Times New Roman"/>
          <w:b/>
          <w:i/>
          <w:sz w:val="20"/>
          <w:bdr w:val="single" w:sz="8" w:space="1" w:color="000000"/>
        </w:rPr>
        <w:t>Risk Factors</w:t>
      </w:r>
      <w:r>
        <w:rPr>
          <w:rFonts w:ascii="Times New Roman" w:hAnsi="Times New Roman"/>
          <w:sz w:val="20"/>
          <w:bdr w:val="single" w:sz="8" w:space="1" w:color="000000"/>
        </w:rPr>
        <w:t> — </w:t>
      </w:r>
      <w:r>
        <w:rPr>
          <w:rFonts w:ascii="Times New Roman" w:hAnsi="Times New Roman"/>
          <w:b/>
          <w:i/>
          <w:sz w:val="20"/>
          <w:bdr w:val="single" w:sz="8" w:space="1" w:color="000000"/>
        </w:rPr>
        <w:t>Risks Related to Management Team</w:t>
      </w:r>
      <w:r>
        <w:rPr>
          <w:rFonts w:ascii="Times New Roman" w:hAnsi="Times New Roman"/>
          <w:b/>
          <w:sz w:val="20"/>
          <w:bdr w:val="single" w:sz="8" w:space="1" w:color="000000"/>
        </w:rPr>
        <w: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Executive Officers and Directors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Dr.</w:t>
      </w:r>
      <w:r>
        <w:rPr>
          <w:rFonts w:ascii="Times New Roman" w:hAnsi="Times New Roman"/>
          <w:sz w:val="20"/>
          <w:bdr w:val="single" w:sz="8" w:space="1" w:color="000000"/>
        </w:rPr>
        <w:t> </w:t>
      </w:r>
      <w:r>
        <w:rPr>
          <w:rFonts w:ascii="Times New Roman" w:hAnsi="Times New Roman"/>
          <w:b/>
          <w:sz w:val="20"/>
          <w:bdr w:val="single" w:sz="8" w:space="1" w:color="000000"/>
        </w:rPr>
        <w:t>Avi</w:t>
      </w:r>
      <w:r>
        <w:rPr>
          <w:rFonts w:ascii="Times New Roman" w:hAnsi="Times New Roman"/>
          <w:sz w:val="20"/>
          <w:bdr w:val="single" w:sz="8" w:space="1" w:color="000000"/>
        </w:rPr>
        <w:t> </w:t>
      </w:r>
      <w:r>
        <w:rPr>
          <w:rFonts w:ascii="Times New Roman" w:hAnsi="Times New Roman"/>
          <w:b/>
          <w:sz w:val="20"/>
          <w:bdr w:val="single" w:sz="8" w:space="1" w:color="000000"/>
        </w:rPr>
        <w:t>S. Katz</w:t>
      </w:r>
      <w:r>
        <w:rPr>
          <w:rFonts w:ascii="Times New Roman" w:hAnsi="Times New Roman"/>
          <w:sz w:val="20"/>
          <w:bdr w:val="single" w:sz="8" w:space="1" w:color="000000"/>
        </w:rPr>
        <w:t xml:space="preserve"> serves as our Chief Executive Officer and Chairman of the Board. Dr. Katz has served as the Chairman of the Board of QT 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Dr. Katz founded GIG1, a company formed for the purpose of acquiring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Dr.</w:t>
      </w:r>
      <w:r>
        <w:rPr>
          <w:rFonts w:ascii="Times New Roman" w:hAnsi="Times New Roman"/>
          <w:sz w:val="20"/>
          <w:bdr w:val="single" w:sz="8" w:space="1" w:color="000000"/>
        </w:rPr>
        <w:t> </w:t>
      </w:r>
      <w:r>
        <w:rPr>
          <w:rFonts w:ascii="Times New Roman" w:hAnsi="Times New Roman"/>
          <w:b/>
          <w:sz w:val="20"/>
          <w:bdr w:val="single" w:sz="8" w:space="1" w:color="000000"/>
        </w:rPr>
        <w:t>Raluca Dinu</w:t>
      </w:r>
      <w:r>
        <w:rPr>
          <w:rFonts w:ascii="Times New Roman" w:hAnsi="Times New Roman"/>
          <w:sz w:val="20"/>
          <w:bdr w:val="single" w:sz="8" w:space="1" w:color="000000"/>
        </w:rPr>
        <w:t xml:space="preserve"> is our director. Dr. Dinu is the Chief Executive Officer, President, Secretary, serving in those roles since March 2024 and as a 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Integrated Device Technology, Inc.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Christine M. Marshall</w:t>
      </w:r>
      <w:r>
        <w:rPr>
          <w:rFonts w:ascii="Times New Roman" w:hAnsi="Times New Roman"/>
          <w:sz w:val="20"/>
          <w:bdr w:val="single" w:sz="8" w:space="1" w:color="000000"/>
        </w:rPr>
        <w:t xml:space="preserve"> joined our company as Chief Financial Officer on June 30, 2025. Ms. Marshall is an accomplished finance leader with 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Nominees for our Board of Directors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Admiral (Ret.) David Ben-Bashat </w:t>
      </w:r>
      <w:r>
        <w:rPr>
          <w:rFonts w:ascii="Times New Roman" w:hAnsi="Times New Roman"/>
          <w:sz w:val="20"/>
          <w:bdr w:val="single" w:sz="8" w:space="1" w:color="000000"/>
        </w:rPr>
        <w:t xml:space="preserve">will serve as our independent director upon the completion of this offering. V. Admiral (Ret.) Ben-Bashat was 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Rear Admiral (Ret.) Omri Dagul</w:t>
      </w:r>
      <w:r>
        <w:rPr>
          <w:rFonts w:ascii="Times New Roman" w:hAnsi="Times New Roman"/>
          <w:sz w:val="20"/>
          <w:bdr w:val="single" w:sz="8" w:space="1" w:color="000000"/>
        </w:rPr>
        <w:t xml:space="preserve"> will serve as our independent director upon the completion of this offering. Over several decades, R. Admiral (Ret.)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of Materiel Command. R. Admiral (Ret.) Omri holds a B.Sc. in Mechanical Engineering from the Technion, Haifa, Israel and a M.Sc. in Naval Architecture and Marine Engineering from the University of Michigan.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Raanan I. Horowitz </w:t>
      </w:r>
      <w:r>
        <w:rPr>
          <w:rFonts w:ascii="Times New Roman" w:hAnsi="Times New Roman"/>
          <w:sz w:val="20"/>
          <w:bdr w:val="single" w:sz="8" w:space="1" w:color="000000"/>
        </w:rPr>
        <w:t xml:space="preserve">will serve as our independent director upon the completion of this offering. Mr. Horowitz currently serves on the Board of 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Ambassador Adrian Zuckerman</w:t>
      </w:r>
      <w:r>
        <w:rPr>
          <w:rFonts w:ascii="Times New Roman" w:hAnsi="Times New Roman"/>
          <w:sz w:val="20"/>
          <w:bdr w:val="single" w:sz="8" w:space="1" w:color="000000"/>
        </w:rPr>
        <w:t xml:space="preserve"> will serve as our independent director upon the completion of this offering. Ambassador Zuckerman was the 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Luis Machuca</w:t>
      </w:r>
      <w:r>
        <w:rPr>
          <w:rFonts w:ascii="Times New Roman" w:hAnsi="Times New Roman"/>
          <w:sz w:val="20"/>
          <w:bdr w:val="single" w:sz="8" w:space="1" w:color="000000"/>
        </w:rPr>
        <w:t xml:space="preserve"> will serve as our independent director upon the completion of this offering. He also serves as a director of UpHealth, Inc. (OTC 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Bryan Timm</w:t>
      </w:r>
      <w:r>
        <w:rPr>
          <w:rFonts w:ascii="Times New Roman" w:hAnsi="Times New Roman"/>
          <w:sz w:val="20"/>
          <w:bdr w:val="single" w:sz="8" w:space="1" w:color="000000"/>
        </w:rPr>
        <w:t xml:space="preserve"> will serve as our independent director upon the completion of this offering. Mr. Timm currently serves as a Board Advisor for Pape’ Group, a family company serving the West Coast with Kenworth, John Deere, and Hyster heavy equipment dealerships. He previously served on the Board of Directors of Umpqua Holdings Corporation (Nasdaq:UMPQ)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James Greene</w:t>
      </w:r>
      <w:r>
        <w:rPr>
          <w:rFonts w:ascii="Times New Roman" w:hAnsi="Times New Roman"/>
          <w:sz w:val="20"/>
          <w:bdr w:val="single" w:sz="8" w:space="1" w:color="000000"/>
        </w:rPr>
        <w:t xml:space="preserve"> will serve as our independent director upon completion of this offering. Mr. Greene served as a director of Umpqua Bank (Nasdaq: 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Investment Criteria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Consistent with our strategy, we have identified general criteria and guidelines that we believe are important in evaluating prospective acquisition target and, when evaluating a prospective acquisition target,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an acquisition target business that does not meet any or all of these criteria or guidelines: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Companies that embrace today’s digital transformation and intelligent automation.</w:t>
            </w:r>
            <w:r>
              <w:rPr>
                <w:rFonts w:ascii="Times New Roman" w:hAnsi="Times New Roman"/>
                <w:sz w:val="20"/>
              </w:rPr>
              <w:t xml:space="preserve"> We will seek acquisition candidates active in the A&amp;D services, cybersecurity and secured communications and quantum-based command and control systems, and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Companies that will benefit from a public listing.</w:t>
            </w:r>
            <w:r>
              <w:rPr>
                <w:rFonts w:ascii="Times New Roman" w:hAnsi="Times New Roman"/>
                <w:sz w:val="20"/>
              </w:rPr>
              <w:t xml:space="preserve"> We will focus on partners looking to move to the next level through a public business 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Companies that will benefit from our industry expertise and relationships.</w:t>
            </w:r>
            <w:r>
              <w:rPr>
                <w:rFonts w:ascii="Times New Roman" w:hAnsi="Times New Roman"/>
                <w:sz w:val="20"/>
              </w:rPr>
              <w:t xml:space="preserve"> We will seek companies that will be best positioned to leverage our industry expertise, international capabilities, global experience, 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services, cybersecurity and secured communications and quantum-based command and control systems, and AI and ML. We will seek to identify such opportunities for value creation in evaluating potential business combinations. Our management also demonstrated the speed, certainty and efficiency in executing prior deals, which is highly desirable to quality business partners.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Companies that are market-leading participants</w:t>
            </w:r>
            <w:r>
              <w:rPr>
                <w:rFonts w:ascii="Times New Roman" w:hAnsi="Times New Roman"/>
                <w:sz w:val="20"/>
              </w:rPr>
              <w:t xml:space="preserve">. We will seek an acquisition target that has an established business and market position. While we will focus on the A&amp;D services, cybersecurity and secured communications and quantum-based command and control systems, and AI and ML, we will not seek a target that is pre-revenue or in early stages of development with unproven technologies.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Companies with strong management.</w:t>
            </w:r>
            <w:r>
              <w:rPr>
                <w:rFonts w:ascii="Times New Roman" w:hAnsi="Times New Roman"/>
                <w:sz w:val="20"/>
              </w:rPr>
              <w:t xml:space="preserve"> We will prioritize entities with well-established, proven and talented management teams that wish to 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Acquisition Process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partner with a late-stage growth and high-quality acquisition target where our management team can offer financial, operational, and executive mentoring in order to accelerate its growth and expansion, organically and strategically, from a privately held entity to a fast-growing publicly traded company. Our approach can be broken down into several phases: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Inception</w:t>
            </w:r>
            <w:r>
              <w:rPr>
                <w:rFonts w:ascii="Times New Roman" w:hAnsi="Times New Roman"/>
                <w:sz w:val="20"/>
              </w:rPr>
              <w:t xml:space="preserve">. This phase usually lasts up to approx. 2-3 months and entails incorporating a SPAC and bringing on a Private-to-Public (PPE) management team that includes A&amp;D experts, entrepreneurs and executive operators. During this phase, a blank check company also secures a sponsorship team composed of industry veterans in the A&amp;D sector, family offices, institutional buyers, private equity firms and hedge funds. In launching an initial public offering, the SPAC management pays the most attention to forming an IPO book to ensure a solid balance of fundamental equity investors.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Searching</w:t>
            </w:r>
            <w:r>
              <w:rPr>
                <w:rFonts w:ascii="Times New Roman" w:hAnsi="Times New Roman"/>
                <w:sz w:val="20"/>
              </w:rPr>
              <w:t xml:space="preserve">. The search for a financially viable acquisition target ready to become a public company may take approx. 6 to 12 months. Our search for a potential business combination will focus on the A&amp;D sector and other diversified verticals nationally and worldwide. In determining whether a company may become our initial business combination, we look at the acquisition target’s prospects as a public company, consider potential avenues for exit and financing, and if the company is supported by an entrepreneurial management team and technology-oriented owners.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Engagement</w:t>
            </w:r>
            <w:r>
              <w:rPr>
                <w:rFonts w:ascii="Times New Roman" w:hAnsi="Times New Roman"/>
                <w:sz w:val="20"/>
              </w:rPr>
              <w:t xml:space="preserve">. The next step is negotiation and execution of a letter of intent. It may take approx. from 3 to 6 weeks, and approx. another 5 to 10 weeks are required to conduct due diligence review and sign a binding definitive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Closing</w:t>
            </w:r>
            <w:r>
              <w:rPr>
                <w:rFonts w:ascii="Times New Roman" w:hAnsi="Times New Roman"/>
                <w:sz w:val="20"/>
              </w:rPr>
              <w:t xml:space="preserve">. Following entry into the binding definitive agreement, the acquisition target must deliver audited financial statements as required to enable us to file all necessary SEC filings and obtain SEC clearance of these filings in a process that may take approx. 3 to 6 months. During this phase, to the extent not yet done, we also need to secure financing through back-stop lenders or fundamental equity investors and ensure compliance with the minimum listing conditions (e.g., maintaining a market-cap, providing a required float and secure minimum round-lot shareholders), before closing a business combination. With the support of our investors, underwriters, legal counsel, accounting, investment and commercial banking firms, research analysts, investor and public relations and human resources firms, we create a “one-stop-shop” to ensure the successful path to becoming a public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Growth and Exit</w:t>
            </w:r>
            <w:r>
              <w:rPr>
                <w:rFonts w:ascii="Times New Roman" w:hAnsi="Times New Roman"/>
                <w:sz w:val="20"/>
              </w:rPr>
              <w:t xml:space="preserve">. The final phase may last approx. from 1 to 4 years, during which we invest our time and resources in expanding and growing the business. We actively participate in meetings of the board of directors and strategic advisory board, provide continuous financing and M&amp;A advisory support for growth, geographic expansion and consolidation, and prepare the business combination for de-SPAC.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Sponsor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sponsor, GigAcquisitions8 Corp., is a Cayman Islands exempted company. Although our sponsor is permitted to undertake any activities permitted under the Companies Act and other applicable law, our sponsor’s operations are focused on investing in our company. Our Chief Executive Officer, Avi S. Katz, and Dr. Raluca Dinu, our director, currently own 100% of the shares in the sponsor, and hold voting and investment discretion with respect to the securities held of record by the sponsor. Dr. Avi S. Katz and Dr. Raluca Dinu are sole directors of the sponsor. No other entity or person has a direct or indirect material interest in our sponsor.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the payments to be received by our sponsor and its affiliates from us prior to or in connection with the completion of our initial business combination and the securities issued and to be issued by us to our sponsor or its affiliates: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Entity/Individual</w:t>
            </w:r>
          </w:p>
        </w:tc>
        <w:tc>
          <w:tcPr>
            <w:tcW w:w="203"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to be Received or</w:t>
              <w:br/>
              <w:t>Securities Issued or to be Issued</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Consideration Paid or to be Paid</w:t>
            </w:r>
          </w:p>
        </w:tc>
      </w:tr>
      <w:tr>
        <w:trPr/>
        <w:tc>
          <w:tcPr>
            <w:tcW w:w="3572" w:type="dxa"/>
            <w:tcBorders/>
          </w:tcPr>
          <w:p>
            <w:pPr>
              <w:pStyle w:val="TableContents"/>
              <w:bidi w:val="0"/>
              <w:spacing w:before="0" w:after="283"/>
              <w:jc w:val="left"/>
              <w:rPr/>
            </w:pPr>
            <w:r>
              <w:rPr/>
              <w:t>GigAcquisitions8 Corp.</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$30,000 per month</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Office space, administrative and shared personnel support services</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7,845,229 Class B ordinary shares, of which 1,023,943 Class B ordinary shares remain subject to forfeiture depending on the extent to which the underwriters’ over-allotment option is exercised during this offering. Our sponsor intends at the time of the consummation of this offering to sell 375,397 founder shares in the aggregate to Messrs. Greene, Machuca, Timm and Horowitz at an aggregate price of $9,244, and 1,416,665 founder shares to Lynrock at an aggregate price of $13,130, (and prior to the making of this offering transferred 5,000 founder shares to Christine Marshall, our Chief Financial Officer, solely in</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$25,000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Entity/Individual</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to be Received or</w:t>
              <w:br/>
              <w:t>Securities Issued or to be Issued</w:t>
            </w:r>
          </w:p>
        </w:tc>
        <w:tc>
          <w:tcPr>
            <w:tcW w:w="204"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Consideration Paid or to be Paid</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consideration of future services to us,) thus reducing its holding to 6,053,167 founder shares</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Up to $100,000 in loans</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Repayment of loans made to us to cover offering related and organizational expenses</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Up to $1,500,000 in working capital loans, which loans may be convertible into private placement units at a price of $10.00 per unit at the option of the lender</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Working capital loans to finance transaction costs in connection with an initial business combination</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0"/>
              <w:jc w:val="left"/>
              <w:rPr>
                <w:rFonts w:ascii="Times New Roman" w:hAnsi="Times New Roman"/>
                <w:sz w:val="20"/>
              </w:rPr>
            </w:pPr>
            <w:r>
              <w:rPr>
                <w:rFonts w:ascii="Times New Roman" w:hAnsi="Times New Roman"/>
                <w:sz w:val="20"/>
              </w:rPr>
              <w:t>Reimbursement for any out-of-pocket expenses related to identifying, investigating and completing an initial business combination</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0"/>
              <w:jc w:val="left"/>
              <w:rPr>
                <w:rFonts w:ascii="Times New Roman" w:hAnsi="Times New Roman"/>
                <w:sz w:val="20"/>
              </w:rPr>
            </w:pPr>
            <w:r>
              <w:rPr>
                <w:rFonts w:ascii="Times New Roman" w:hAnsi="Times New Roman"/>
                <w:sz w:val="20"/>
              </w:rPr>
              <w:t>Services in connection with identifying, investigating and completing an initial business combination</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Up to $15,000 per month</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Monthly payments to Chief Financial Officer</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pPr>
            <w:r>
              <w:rPr/>
              <w:t>Chief Financial Officer</w:t>
              <w:br/>
              <w:t>(Christine Marshall)</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5,000 founder shares, subject to forfeiture to the sponsor if Ms. Marshall resigns or is removed for cause from her position with the Company prior to consummation of our initial business combination</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Future services as Chief Financial Officer</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pPr>
            <w:r>
              <w:rPr/>
              <w:t>GigAcquisitions8 Corp. and certain directors (Messrs. Greene, Machuca, Timm and Horowitz)</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45,200 private placement units to be purchased simultaneously with the closing of this offering (including if the underwriters’ over-allotment option is exercised in full)</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$440,130.48</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pPr>
            <w:r>
              <w:rPr/>
              <w:t>Holders of Class B ordinary shares</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Anti-dilution protection upon conversion into Class A ordinary shares at a greater than one-to-one ratio</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Issuance of the Class A ordinary shares issuable in connection with the conversion of the founder shares on a greater than one-to-one basis upon conversion</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pPr>
            <w:r>
              <w:rPr/>
              <w:t>GigAcquisitions8 Corp, our officers, directors, or our or their affiliates</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Finder’s fees, advisory fees, consulting fees, success fees</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Any services in order to effectuate the completion of our initial business combination, which, if payments are made in connection with such services prior to the completion of our initial business combination, will be paid from funds held outside the trust account. No agreements have been signed as of the date of this prospectus.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Entity/Individual</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to be Received or</w:t>
              <w:br/>
              <w:t>Securities Issued or to be Issued</w:t>
            </w:r>
          </w:p>
        </w:tc>
        <w:tc>
          <w:tcPr>
            <w:tcW w:w="204"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Consideration Paid or to be Paid</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may engage our sponsor or an affiliate of our sponsor as an advisor or otherwise in connection with our initial business combination and certain other transactions and pay such person or entity a salary or fee in an amount that constitutes a market standard for comparable transactions. No agreements have been signed as of the date of this prospectus.</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our sponsor acquired the founder shares at a nominal price of $0.000434 per Class B ordinary share, our directors will acquire at the time of this offering the founder shares at a nominal price of $0.02462 per Class B ordinary share, Lynrock will acquire founder shares from our sponsor at the time of this offering at a nominal purchase price of $0.00927 per share, and the non-managing investors will acquire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one-to-one basis upon conversion. In addition, because our insiders and the non-managing investors will acquire the private placement units, including the private placement shares, at a price of $9.7374 per private placement unit that is less than the amount paid by our public shareholders for the public units which we are selling in this offering, our public shareholders will incur an immediate and substantial dilution upon the closing of this offering. Additionally, our public shareholders may experience dilution from the conversion of the 337,675 private placement rights that form a part of the private placement units into 67,525 Class A ordinary shares (or up to 357,625 private placement rights converting into 71,525 Class A ordinary shares if the underwriters’ over-allotment option is exercised in full) to be purchased in the private placement simultaneously with the closing of this offering. Further, our public shareholders may experience material dilution if the $1,500,000 in working capital loans is fully advanced by the sponsor and the sponsor elects to convert the working capital loans into private placement units at $10.00 per unit, resulting in the sponsor receiving an additional 150,000 private placement units. </w:t>
      </w:r>
      <w:r>
        <w:rPr>
          <w:rFonts w:ascii="Times New Roman" w:hAnsi="Times New Roman"/>
          <w:b/>
          <w:sz w:val="20"/>
          <w:bdr w:val="single" w:sz="8" w:space="1" w:color="000000"/>
        </w:rPr>
        <w:t>See the sections titled</w:t>
      </w:r>
      <w:r>
        <w:rPr>
          <w:rFonts w:ascii="Times New Roman" w:hAnsi="Times New Roman"/>
          <w:sz w:val="20"/>
          <w:bdr w:val="single" w:sz="8" w:space="1" w:color="000000"/>
        </w:rPr>
        <w:t xml:space="preserve"> “</w:t>
      </w:r>
      <w:r>
        <w:rPr>
          <w:rFonts w:ascii="Times New Roman" w:hAnsi="Times New Roman"/>
          <w:b/>
          <w:i/>
          <w:sz w:val="20"/>
          <w:bdr w:val="single" w:sz="8" w:space="1" w:color="000000"/>
        </w:rPr>
        <w:t>Risk Factors</w:t>
      </w:r>
      <w:r>
        <w:rPr>
          <w:rFonts w:ascii="Times New Roman" w:hAnsi="Times New Roman"/>
          <w:sz w:val="20"/>
          <w:bdr w:val="single" w:sz="8" w:space="1" w:color="000000"/>
        </w:rPr>
        <w:t> — </w:t>
      </w:r>
      <w:r>
        <w:rPr>
          <w:rFonts w:ascii="Times New Roman" w:hAnsi="Times New Roman"/>
          <w:b/>
          <w:i/>
          <w:sz w:val="20"/>
          <w:bdr w:val="single" w:sz="8" w:space="1" w:color="000000"/>
        </w:rPr>
        <w:t>Risks Relating to our Securities</w:t>
      </w:r>
      <w:r>
        <w:rPr>
          <w:rFonts w:ascii="Times New Roman" w:hAnsi="Times New Roman"/>
          <w:sz w:val="20"/>
          <w:bdr w:val="single" w:sz="8" w:space="1" w:color="000000"/>
        </w:rPr>
        <w:t> — </w:t>
      </w:r>
      <w:r>
        <w:rPr>
          <w:rFonts w:ascii="Times New Roman" w:hAnsi="Times New Roman"/>
          <w:b/>
          <w:i/>
          <w:sz w:val="20"/>
          <w:bdr w:val="single" w:sz="8" w:space="1" w:color="000000"/>
        </w:rPr>
        <w:t>The nominal purchase price paid by our insiders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hAnsi="Times New Roman"/>
          <w:sz w:val="20"/>
          <w:bdr w:val="single" w:sz="8" w:space="1" w:color="000000"/>
        </w:rPr>
        <w:t xml:space="preserve"> </w:t>
      </w:r>
      <w:r>
        <w:rPr>
          <w:rFonts w:ascii="Times New Roman" w:hAnsi="Times New Roman"/>
          <w:b/>
          <w:sz w:val="20"/>
          <w:bdr w:val="single" w:sz="8" w:space="1" w:color="000000"/>
        </w:rPr>
        <w:t>and “</w:t>
      </w:r>
      <w:r>
        <w:rPr>
          <w:rFonts w:ascii="Times New Roman" w:hAnsi="Times New Roman"/>
          <w:b/>
          <w:i/>
          <w:sz w:val="20"/>
          <w:bdr w:val="single" w:sz="8" w:space="1" w:color="000000"/>
        </w:rPr>
        <w:t>Dilution</w:t>
      </w:r>
      <w:r>
        <w:rPr>
          <w:rFonts w:ascii="Times New Roman" w:hAnsi="Times New Roman"/>
          <w:b/>
          <w:sz w:val="20"/>
          <w:bdr w:val="single" w:sz="8" w:space="1" w:color="000000"/>
        </w:rPr>
        <w:t>.”</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founder shares and private investor shares will automatically convert into Class A ordinary shares concurrently with or immediately following the consummation of our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issued in this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 </w:t>
      </w:r>
      <w:r>
        <w:rPr>
          <w:rFonts w:ascii="Times New Roman" w:hAnsi="Times New Roman"/>
          <w:b/>
          <w:sz w:val="20"/>
          <w:bdr w:val="single" w:sz="8" w:space="1" w:color="000000"/>
        </w:rPr>
        <w:t>See the section titled “</w:t>
      </w:r>
      <w:r>
        <w:rPr>
          <w:rFonts w:ascii="Times New Roman" w:hAnsi="Times New Roman"/>
          <w:b/>
          <w:i/>
          <w:sz w:val="20"/>
          <w:bdr w:val="single" w:sz="8" w:space="1" w:color="000000"/>
        </w:rPr>
        <w:t>Summary</w:t>
      </w:r>
      <w:r>
        <w:rPr>
          <w:rFonts w:ascii="Times New Roman" w:hAnsi="Times New Roman"/>
          <w:sz w:val="20"/>
          <w:bdr w:val="single" w:sz="8" w:space="1" w:color="000000"/>
        </w:rPr>
        <w:t xml:space="preserve"> — </w:t>
      </w:r>
      <w:r>
        <w:rPr>
          <w:rFonts w:ascii="Times New Roman" w:hAnsi="Times New Roman"/>
          <w:b/>
          <w:i/>
          <w:sz w:val="20"/>
          <w:bdr w:val="single" w:sz="8" w:space="1" w:color="000000"/>
        </w:rPr>
        <w:t>The Offering —</w:t>
      </w:r>
      <w:r>
        <w:rPr>
          <w:rFonts w:ascii="Times New Roman" w:hAnsi="Times New Roman"/>
          <w:sz w:val="20"/>
          <w:bdr w:val="single" w:sz="8" w:space="1" w:color="000000"/>
        </w:rPr>
        <w:t> </w:t>
      </w:r>
      <w:r>
        <w:rPr>
          <w:rFonts w:ascii="Times New Roman" w:hAnsi="Times New Roman"/>
          <w:b/>
          <w:i/>
          <w:sz w:val="20"/>
          <w:bdr w:val="single" w:sz="8" w:space="1" w:color="000000"/>
        </w:rPr>
        <w:t>Conversion of founder shares and private investor shares and anti-dilution rights</w:t>
      </w:r>
      <w:r>
        <w:rPr>
          <w:rFonts w:ascii="Times New Roman" w:hAnsi="Times New Roman"/>
          <w:b/>
          <w:sz w:val="20"/>
          <w:bdr w:val="single" w:sz="8" w:space="1" w:color="000000"/>
        </w:rPr>
        <w:t>.”</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we raise additional funds through equity or convertible debt issuances, our public shareholders may suffer significant dilution. This dilution would increase to the extent that the anti-dilution provision of the founder shares and private investor shares result in the issuance of Class A ordinary shares on a greater than one-for-one basis upon conversion of the founder shares and private investor shares at the time of our initial 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a letter agreement entered into with us, each of our sponsor, directors and officers and Lynrock has agreed to restrictions on its ability to transfer, assign, or sell the founder shares and private placement units, as summarized in the table below. In addition, the non-managing investors have agreed to substantially the same certain transfer restrictions with respect to the private placement units and private investor shares held by them, as summarized in the table below.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481"/>
        <w:gridCol w:w="201"/>
        <w:gridCol w:w="2815"/>
        <w:gridCol w:w="201"/>
        <w:gridCol w:w="2874"/>
        <w:gridCol w:w="120"/>
        <w:gridCol w:w="2513"/>
      </w:tblGrid>
      <w:tr>
        <w:trPr/>
        <w:tc>
          <w:tcPr>
            <w:tcW w:w="1481"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201" w:type="dxa"/>
            <w:tcBorders/>
            <w:vAlign w:val="bottom"/>
          </w:tcPr>
          <w:p>
            <w:pPr>
              <w:pStyle w:val="TableContents"/>
              <w:bidi w:val="0"/>
              <w:spacing w:before="0" w:after="283"/>
              <w:jc w:val="left"/>
              <w:rPr/>
            </w:pPr>
            <w:r>
              <w:rPr/>
              <w:t>  </w:t>
            </w:r>
          </w:p>
        </w:tc>
        <w:tc>
          <w:tcPr>
            <w:tcW w:w="28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201" w:type="dxa"/>
            <w:tcBorders/>
            <w:vAlign w:val="bottom"/>
          </w:tcPr>
          <w:p>
            <w:pPr>
              <w:pStyle w:val="TableContents"/>
              <w:bidi w:val="0"/>
              <w:spacing w:before="0" w:after="283"/>
              <w:jc w:val="left"/>
              <w:rPr/>
            </w:pPr>
            <w:r>
              <w:rPr/>
              <w:t>  </w:t>
            </w:r>
          </w:p>
        </w:tc>
        <w:tc>
          <w:tcPr>
            <w:tcW w:w="28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0" w:type="dxa"/>
            <w:tcBorders/>
            <w:vAlign w:val="bottom"/>
          </w:tcPr>
          <w:p>
            <w:pPr>
              <w:pStyle w:val="TableContents"/>
              <w:bidi w:val="0"/>
              <w:spacing w:before="0" w:after="283"/>
              <w:jc w:val="left"/>
              <w:rPr/>
            </w:pPr>
            <w:r>
              <w:rPr/>
              <w:t>  </w:t>
            </w:r>
          </w:p>
        </w:tc>
        <w:tc>
          <w:tcPr>
            <w:tcW w:w="25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481" w:type="dxa"/>
            <w:tcBorders/>
          </w:tcPr>
          <w:p>
            <w:pPr>
              <w:pStyle w:val="TableContents"/>
              <w:bidi w:val="0"/>
              <w:spacing w:before="0" w:after="283"/>
              <w:jc w:val="left"/>
              <w:rPr/>
            </w:pPr>
            <w:r>
              <w:rPr/>
              <w:t>Founder shares</w:t>
            </w:r>
          </w:p>
        </w:tc>
        <w:tc>
          <w:tcPr>
            <w:tcW w:w="201" w:type="dxa"/>
            <w:tcBorders/>
            <w:vAlign w:val="bottom"/>
          </w:tcPr>
          <w:p>
            <w:pPr>
              <w:pStyle w:val="TableContents"/>
              <w:bidi w:val="0"/>
              <w:spacing w:before="0" w:after="283"/>
              <w:jc w:val="left"/>
              <w:rPr/>
            </w:pPr>
            <w:r>
              <w:rPr/>
              <w:t>  </w:t>
            </w:r>
          </w:p>
        </w:tc>
        <w:tc>
          <w:tcPr>
            <w:tcW w:w="2815" w:type="dxa"/>
            <w:tcBorders/>
          </w:tcPr>
          <w:p>
            <w:pPr>
              <w:pStyle w:val="TableContents"/>
              <w:bidi w:val="0"/>
              <w:spacing w:before="0" w:after="283"/>
              <w:jc w:val="left"/>
              <w:rPr/>
            </w:pPr>
            <w:r>
              <w:rPr/>
              <w:t>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tc>
        <w:tc>
          <w:tcPr>
            <w:tcW w:w="201" w:type="dxa"/>
            <w:tcBorders/>
            <w:vAlign w:val="bottom"/>
          </w:tcPr>
          <w:p>
            <w:pPr>
              <w:pStyle w:val="TableContents"/>
              <w:bidi w:val="0"/>
              <w:spacing w:before="0" w:after="283"/>
              <w:jc w:val="left"/>
              <w:rPr/>
            </w:pPr>
            <w:r>
              <w:rPr/>
              <w:t>  </w:t>
            </w:r>
          </w:p>
        </w:tc>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GigAcquisitions8 Corp.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Dr. Avi S. Katz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Dr. Raluca Dinu</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Christine M. Marshall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Admiral (Ret.) David Ben-Bashat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Rear Admiral (Ret.) Omri Dagul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Raanan I. Horowitz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Ambassador Adrian Zuckerman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Luis Machuca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Bryan Timm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James Greene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Lynrock</w:t>
            </w:r>
          </w:p>
        </w:tc>
        <w:tc>
          <w:tcPr>
            <w:tcW w:w="120" w:type="dxa"/>
            <w:tcBorders/>
            <w:vAlign w:val="bottom"/>
          </w:tcPr>
          <w:p>
            <w:pPr>
              <w:pStyle w:val="TableContents"/>
              <w:bidi w:val="0"/>
              <w:spacing w:before="0" w:after="283"/>
              <w:jc w:val="left"/>
              <w:rPr/>
            </w:pPr>
            <w:r>
              <w:rPr/>
              <w:t>  </w:t>
            </w:r>
          </w:p>
        </w:tc>
        <w:tc>
          <w:tcPr>
            <w:tcW w:w="2513" w:type="dxa"/>
            <w:tcBorders/>
          </w:tcPr>
          <w:p>
            <w:pPr>
              <w:pStyle w:val="TableContents"/>
              <w:bidi w:val="0"/>
              <w:spacing w:before="0" w:after="283"/>
              <w:jc w:val="left"/>
              <w:rPr/>
            </w:pPr>
            <w:r>
              <w:rPr/>
              <w:t>Transfers permitted (1) amongst such holders and their affiliates, to our executive officers or directors, or to any affiliate or family member of any of our executive officers or directors, (2) in the case of an entity, as a distribution to its partners, shareholders or members upon its 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 (iii) pursuant to a qualified domestic relations order, (4) by certain pledges to secure obligations incurred in connection with purchases of our company’s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84"/>
        <w:gridCol w:w="201"/>
        <w:gridCol w:w="2741"/>
        <w:gridCol w:w="201"/>
        <w:gridCol w:w="2884"/>
        <w:gridCol w:w="120"/>
        <w:gridCol w:w="2574"/>
      </w:tblGrid>
      <w:tr>
        <w:trPr/>
        <w:tc>
          <w:tcPr>
            <w:tcW w:w="1484"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r>
      <w:tr>
        <w:trPr/>
        <w:tc>
          <w:tcPr>
            <w:tcW w:w="14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201" w:type="dxa"/>
            <w:tcBorders/>
            <w:vAlign w:val="bottom"/>
          </w:tcPr>
          <w:p>
            <w:pPr>
              <w:pStyle w:val="TableContents"/>
              <w:bidi w:val="0"/>
              <w:spacing w:before="0" w:after="283"/>
              <w:jc w:val="left"/>
              <w:rPr/>
            </w:pPr>
            <w:r>
              <w:rPr/>
              <w:t>  </w:t>
            </w:r>
          </w:p>
        </w:tc>
        <w:tc>
          <w:tcPr>
            <w:tcW w:w="27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201" w:type="dxa"/>
            <w:tcBorders/>
            <w:vAlign w:val="bottom"/>
          </w:tcPr>
          <w:p>
            <w:pPr>
              <w:pStyle w:val="TableContents"/>
              <w:bidi w:val="0"/>
              <w:spacing w:before="0" w:after="283"/>
              <w:jc w:val="left"/>
              <w:rPr/>
            </w:pPr>
            <w:r>
              <w:rPr/>
              <w:t>  </w:t>
            </w:r>
          </w:p>
        </w:tc>
        <w:tc>
          <w:tcPr>
            <w:tcW w:w="28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0" w:type="dxa"/>
            <w:tcBorders/>
            <w:vAlign w:val="bottom"/>
          </w:tcPr>
          <w:p>
            <w:pPr>
              <w:pStyle w:val="TableContents"/>
              <w:bidi w:val="0"/>
              <w:spacing w:before="0" w:after="283"/>
              <w:jc w:val="left"/>
              <w:rPr/>
            </w:pPr>
            <w:r>
              <w:rPr/>
              <w:t>  </w:t>
            </w:r>
          </w:p>
        </w:tc>
        <w:tc>
          <w:tcPr>
            <w:tcW w:w="25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484"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2741"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288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74" w:type="dxa"/>
            <w:tcBorders/>
          </w:tcPr>
          <w:p>
            <w:pPr>
              <w:pStyle w:val="TableContents"/>
              <w:bidi w:val="0"/>
              <w:spacing w:before="0" w:after="283"/>
              <w:jc w:val="left"/>
              <w:rPr/>
            </w:pPr>
            <w:r>
              <w:rPr/>
              <w:t>securities, (5) through private sales or transfers made in connection with the consummation of our initial business combination at prices no greater than the price at which such securities were originally purchased, (6) to us for no value for cancellation in connection with the consummation of our initial business combination; provided that (except for clause (6)) these transferees (“permitted transferees”) entered into a written agreement with us agreeing to be bound by the transfer restrictions agreed to by the original holder in connection with the purchase of the securities being transferred. In addition, the sponsor, executive officers and directors may transfer, assign or sell any of the founder shares or private placement units ((including underlying securities) (i) in the event of our liquidation prior to the consummation of our initial business combination; (ii)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the sponsor that holds any such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81"/>
        <w:gridCol w:w="201"/>
        <w:gridCol w:w="2815"/>
        <w:gridCol w:w="201"/>
        <w:gridCol w:w="2874"/>
        <w:gridCol w:w="120"/>
        <w:gridCol w:w="2513"/>
      </w:tblGrid>
      <w:tr>
        <w:trPr/>
        <w:tc>
          <w:tcPr>
            <w:tcW w:w="1481"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201" w:type="dxa"/>
            <w:tcBorders/>
            <w:vAlign w:val="bottom"/>
          </w:tcPr>
          <w:p>
            <w:pPr>
              <w:pStyle w:val="TableContents"/>
              <w:bidi w:val="0"/>
              <w:spacing w:before="0" w:after="283"/>
              <w:jc w:val="left"/>
              <w:rPr/>
            </w:pPr>
            <w:r>
              <w:rPr/>
              <w:t>  </w:t>
            </w:r>
          </w:p>
        </w:tc>
        <w:tc>
          <w:tcPr>
            <w:tcW w:w="28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201" w:type="dxa"/>
            <w:tcBorders/>
            <w:vAlign w:val="bottom"/>
          </w:tcPr>
          <w:p>
            <w:pPr>
              <w:pStyle w:val="TableContents"/>
              <w:bidi w:val="0"/>
              <w:spacing w:before="0" w:after="283"/>
              <w:jc w:val="left"/>
              <w:rPr/>
            </w:pPr>
            <w:r>
              <w:rPr/>
              <w:t>  </w:t>
            </w:r>
          </w:p>
        </w:tc>
        <w:tc>
          <w:tcPr>
            <w:tcW w:w="28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0" w:type="dxa"/>
            <w:tcBorders/>
            <w:vAlign w:val="bottom"/>
          </w:tcPr>
          <w:p>
            <w:pPr>
              <w:pStyle w:val="TableContents"/>
              <w:bidi w:val="0"/>
              <w:spacing w:before="0" w:after="283"/>
              <w:jc w:val="left"/>
              <w:rPr/>
            </w:pPr>
            <w:r>
              <w:rPr/>
              <w:t>  </w:t>
            </w:r>
          </w:p>
        </w:tc>
        <w:tc>
          <w:tcPr>
            <w:tcW w:w="25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481"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2815"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287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13" w:type="dxa"/>
            <w:tcBorders/>
          </w:tcPr>
          <w:p>
            <w:pPr>
              <w:pStyle w:val="TableContents"/>
              <w:bidi w:val="0"/>
              <w:spacing w:before="0" w:after="283"/>
              <w:jc w:val="left"/>
              <w:rPr/>
            </w:pPr>
            <w:r>
              <w:rPr/>
              <w:t>securities, upon liquidation or dissolution of such subsidiary; or (iii) in the event of our completion of a liquidation, merger, share exchange, reorganization or other similar transaction which results in all of our shareholders having the right to exchange their ordinary shares for cash, securities or other property subsequent to the completion of our initial business combination.</w:t>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3016" w:type="dxa"/>
            <w:gridSpan w:val="2"/>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c>
          <w:tcPr>
            <w:tcW w:w="2633" w:type="dxa"/>
            <w:gridSpan w:val="2"/>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283"/>
              <w:jc w:val="left"/>
              <w:rPr/>
            </w:pPr>
            <w:r>
              <w:rPr/>
              <w:t>Private placement units (including underlying securities)</w:t>
            </w:r>
          </w:p>
        </w:tc>
        <w:tc>
          <w:tcPr>
            <w:tcW w:w="201" w:type="dxa"/>
            <w:tcBorders/>
            <w:vAlign w:val="bottom"/>
          </w:tcPr>
          <w:p>
            <w:pPr>
              <w:pStyle w:val="TableContents"/>
              <w:bidi w:val="0"/>
              <w:spacing w:before="0" w:after="283"/>
              <w:jc w:val="left"/>
              <w:rPr/>
            </w:pPr>
            <w:r>
              <w:rPr/>
              <w:t>  </w:t>
            </w:r>
          </w:p>
        </w:tc>
        <w:tc>
          <w:tcPr>
            <w:tcW w:w="2815" w:type="dxa"/>
            <w:tcBorders/>
          </w:tcPr>
          <w:p>
            <w:pPr>
              <w:pStyle w:val="TableContents"/>
              <w:bidi w:val="0"/>
              <w:spacing w:before="0" w:after="283"/>
              <w:jc w:val="left"/>
              <w:rPr/>
            </w:pPr>
            <w:r>
              <w:rPr/>
              <w:t>Thirty days after the completion of our initial business combination</w:t>
            </w:r>
          </w:p>
        </w:tc>
        <w:tc>
          <w:tcPr>
            <w:tcW w:w="201" w:type="dxa"/>
            <w:tcBorders/>
            <w:vAlign w:val="bottom"/>
          </w:tcPr>
          <w:p>
            <w:pPr>
              <w:pStyle w:val="TableContents"/>
              <w:bidi w:val="0"/>
              <w:spacing w:before="0" w:after="283"/>
              <w:jc w:val="left"/>
              <w:rPr/>
            </w:pPr>
            <w:r>
              <w:rPr/>
              <w:t>  </w:t>
            </w:r>
          </w:p>
        </w:tc>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GigAcquisitions8 Corp.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Dr. Avi S. Katz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Dr. Raluca Dinu</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Christine M. Marshall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Admiral (Ret.) David Ben-Bashat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Rear Admiral (Ret.) Omri Dagul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Raanan I. Horowitz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Ambassador Adrian Zuckerman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Luis Machuca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Bryan Timm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James Greene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Lynrock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Non-managing investors</w:t>
            </w:r>
          </w:p>
        </w:tc>
        <w:tc>
          <w:tcPr>
            <w:tcW w:w="120" w:type="dxa"/>
            <w:tcBorders/>
            <w:vAlign w:val="bottom"/>
          </w:tcPr>
          <w:p>
            <w:pPr>
              <w:pStyle w:val="TableContents"/>
              <w:bidi w:val="0"/>
              <w:spacing w:before="0" w:after="283"/>
              <w:jc w:val="left"/>
              <w:rPr/>
            </w:pPr>
            <w:r>
              <w:rPr/>
              <w:t>  </w:t>
            </w:r>
          </w:p>
        </w:tc>
        <w:tc>
          <w:tcPr>
            <w:tcW w:w="2513" w:type="dxa"/>
            <w:tcBorders/>
          </w:tcPr>
          <w:p>
            <w:pPr>
              <w:pStyle w:val="TableContents"/>
              <w:bidi w:val="0"/>
              <w:spacing w:before="0" w:after="283"/>
              <w:jc w:val="left"/>
              <w:rPr/>
            </w:pPr>
            <w:r>
              <w:rPr/>
              <w:t>Same as above.</w:t>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3016" w:type="dxa"/>
            <w:gridSpan w:val="2"/>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c>
          <w:tcPr>
            <w:tcW w:w="2633" w:type="dxa"/>
            <w:gridSpan w:val="2"/>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283"/>
              <w:jc w:val="left"/>
              <w:rPr/>
            </w:pPr>
            <w:r>
              <w:rPr/>
              <w:t>Private investor shares</w:t>
            </w:r>
          </w:p>
        </w:tc>
        <w:tc>
          <w:tcPr>
            <w:tcW w:w="201" w:type="dxa"/>
            <w:tcBorders/>
            <w:vAlign w:val="bottom"/>
          </w:tcPr>
          <w:p>
            <w:pPr>
              <w:pStyle w:val="TableContents"/>
              <w:bidi w:val="0"/>
              <w:spacing w:before="0" w:after="283"/>
              <w:jc w:val="left"/>
              <w:rPr/>
            </w:pPr>
            <w:r>
              <w:rPr/>
              <w:t>  </w:t>
            </w:r>
          </w:p>
        </w:tc>
        <w:tc>
          <w:tcPr>
            <w:tcW w:w="2815" w:type="dxa"/>
            <w:tcBorders/>
          </w:tcPr>
          <w:p>
            <w:pPr>
              <w:pStyle w:val="TableContents"/>
              <w:bidi w:val="0"/>
              <w:spacing w:before="0" w:after="283"/>
              <w:jc w:val="left"/>
              <w:rPr/>
            </w:pPr>
            <w:r>
              <w:rPr/>
              <w:t>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w:t>
            </w:r>
          </w:p>
        </w:tc>
        <w:tc>
          <w:tcPr>
            <w:tcW w:w="201" w:type="dxa"/>
            <w:tcBorders/>
            <w:vAlign w:val="bottom"/>
          </w:tcPr>
          <w:p>
            <w:pPr>
              <w:pStyle w:val="TableContents"/>
              <w:bidi w:val="0"/>
              <w:spacing w:before="0" w:after="283"/>
              <w:jc w:val="left"/>
              <w:rPr/>
            </w:pPr>
            <w:r>
              <w:rPr/>
              <w:t>  </w:t>
            </w:r>
          </w:p>
        </w:tc>
        <w:tc>
          <w:tcPr>
            <w:tcW w:w="2874" w:type="dxa"/>
            <w:tcBorders/>
          </w:tcPr>
          <w:p>
            <w:pPr>
              <w:pStyle w:val="TableContents"/>
              <w:bidi w:val="0"/>
              <w:spacing w:before="0" w:after="283"/>
              <w:jc w:val="left"/>
              <w:rPr/>
            </w:pPr>
            <w:r>
              <w:rPr/>
              <w:t>Non-managing investors</w:t>
            </w:r>
          </w:p>
        </w:tc>
        <w:tc>
          <w:tcPr>
            <w:tcW w:w="120" w:type="dxa"/>
            <w:tcBorders/>
            <w:vAlign w:val="bottom"/>
          </w:tcPr>
          <w:p>
            <w:pPr>
              <w:pStyle w:val="TableContents"/>
              <w:bidi w:val="0"/>
              <w:spacing w:before="0" w:after="283"/>
              <w:jc w:val="left"/>
              <w:rPr/>
            </w:pPr>
            <w:r>
              <w:rPr/>
              <w:t>  </w:t>
            </w:r>
          </w:p>
        </w:tc>
        <w:tc>
          <w:tcPr>
            <w:tcW w:w="2513" w:type="dxa"/>
            <w:tcBorders/>
          </w:tcPr>
          <w:p>
            <w:pPr>
              <w:pStyle w:val="TableContents"/>
              <w:bidi w:val="0"/>
              <w:spacing w:before="0" w:after="283"/>
              <w:jc w:val="left"/>
              <w:rPr/>
            </w:pPr>
            <w:r>
              <w:rPr/>
              <w:t>Same as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86"/>
        <w:gridCol w:w="201"/>
        <w:gridCol w:w="2841"/>
        <w:gridCol w:w="201"/>
        <w:gridCol w:w="2874"/>
        <w:gridCol w:w="120"/>
        <w:gridCol w:w="2482"/>
      </w:tblGrid>
      <w:tr>
        <w:trPr/>
        <w:tc>
          <w:tcPr>
            <w:tcW w:w="1486"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201" w:type="dxa"/>
            <w:tcBorders/>
            <w:vAlign w:val="bottom"/>
          </w:tcPr>
          <w:p>
            <w:pPr>
              <w:pStyle w:val="TableContents"/>
              <w:bidi w:val="0"/>
              <w:spacing w:before="0" w:after="283"/>
              <w:jc w:val="left"/>
              <w:rPr/>
            </w:pPr>
            <w:r>
              <w:rPr/>
              <w:t>  </w:t>
            </w:r>
          </w:p>
        </w:tc>
        <w:tc>
          <w:tcPr>
            <w:tcW w:w="28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201" w:type="dxa"/>
            <w:tcBorders/>
            <w:vAlign w:val="bottom"/>
          </w:tcPr>
          <w:p>
            <w:pPr>
              <w:pStyle w:val="TableContents"/>
              <w:bidi w:val="0"/>
              <w:spacing w:before="0" w:after="283"/>
              <w:jc w:val="left"/>
              <w:rPr/>
            </w:pPr>
            <w:r>
              <w:rPr/>
              <w:t>  </w:t>
            </w:r>
          </w:p>
        </w:tc>
        <w:tc>
          <w:tcPr>
            <w:tcW w:w="28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0" w:type="dxa"/>
            <w:tcBorders/>
            <w:vAlign w:val="bottom"/>
          </w:tcPr>
          <w:p>
            <w:pPr>
              <w:pStyle w:val="TableContents"/>
              <w:bidi w:val="0"/>
              <w:spacing w:before="0" w:after="283"/>
              <w:jc w:val="left"/>
              <w:rPr/>
            </w:pPr>
            <w:r>
              <w:rPr/>
              <w:t>  </w:t>
            </w:r>
          </w:p>
        </w:tc>
        <w:tc>
          <w:tcPr>
            <w:tcW w:w="24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486"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2841" w:type="dxa"/>
            <w:tcBorders/>
          </w:tcPr>
          <w:p>
            <w:pPr>
              <w:pStyle w:val="TableContents"/>
              <w:bidi w:val="0"/>
              <w:spacing w:before="0" w:after="283"/>
              <w:jc w:val="left"/>
              <w:rPr/>
            </w:pPr>
            <w:r>
              <w:rPr/>
              <w:t>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tc>
        <w:tc>
          <w:tcPr>
            <w:tcW w:w="201" w:type="dxa"/>
            <w:tcBorders/>
            <w:vAlign w:val="bottom"/>
          </w:tcPr>
          <w:p>
            <w:pPr>
              <w:pStyle w:val="TableContents"/>
              <w:bidi w:val="0"/>
              <w:spacing w:before="0" w:after="283"/>
              <w:jc w:val="left"/>
              <w:rPr/>
            </w:pPr>
            <w:r>
              <w:rPr/>
              <w:t>  </w:t>
            </w:r>
          </w:p>
        </w:tc>
        <w:tc>
          <w:tcPr>
            <w:tcW w:w="287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sz w:val="4"/>
                <w:szCs w:val="4"/>
              </w:rPr>
            </w:pPr>
            <w:r>
              <w:rPr>
                <w:sz w:val="4"/>
                <w:szCs w:val="4"/>
              </w:rPr>
            </w:r>
          </w:p>
        </w:tc>
      </w:tr>
      <w:tr>
        <w:trPr>
          <w:trHeight w:val="120" w:hRule="atLeast"/>
        </w:trPr>
        <w:tc>
          <w:tcPr>
            <w:tcW w:w="1486" w:type="dxa"/>
            <w:tcBorders/>
            <w:vAlign w:val="center"/>
          </w:tcPr>
          <w:p>
            <w:pPr>
              <w:pStyle w:val="TableContents"/>
              <w:bidi w:val="0"/>
              <w:spacing w:before="0" w:after="283"/>
              <w:jc w:val="left"/>
              <w:rPr>
                <w:sz w:val="4"/>
                <w:szCs w:val="4"/>
              </w:rPr>
            </w:pPr>
            <w:r>
              <w:rPr>
                <w:sz w:val="4"/>
                <w:szCs w:val="4"/>
              </w:rPr>
            </w:r>
          </w:p>
        </w:tc>
        <w:tc>
          <w:tcPr>
            <w:tcW w:w="3042" w:type="dxa"/>
            <w:gridSpan w:val="2"/>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c>
          <w:tcPr>
            <w:tcW w:w="2602" w:type="dxa"/>
            <w:gridSpan w:val="2"/>
            <w:tcBorders/>
            <w:vAlign w:val="center"/>
          </w:tcPr>
          <w:p>
            <w:pPr>
              <w:pStyle w:val="TableContents"/>
              <w:bidi w:val="0"/>
              <w:spacing w:before="0" w:after="283"/>
              <w:jc w:val="left"/>
              <w:rPr>
                <w:sz w:val="4"/>
                <w:szCs w:val="4"/>
              </w:rPr>
            </w:pPr>
            <w:r>
              <w:rPr>
                <w:sz w:val="4"/>
                <w:szCs w:val="4"/>
              </w:rPr>
            </w:r>
          </w:p>
        </w:tc>
      </w:tr>
      <w:tr>
        <w:trPr/>
        <w:tc>
          <w:tcPr>
            <w:tcW w:w="1486" w:type="dxa"/>
            <w:tcBorders/>
          </w:tcPr>
          <w:p>
            <w:pPr>
              <w:pStyle w:val="TableContents"/>
              <w:bidi w:val="0"/>
              <w:spacing w:before="0" w:after="283"/>
              <w:jc w:val="left"/>
              <w:rPr/>
            </w:pPr>
            <w:r>
              <w:rPr/>
              <w:t>Any units, share rights, ordinary shares or any other securities convertible into, or exercisable or exchangeable for, any units, ordinary shares, founder shares or rights</w:t>
            </w:r>
          </w:p>
        </w:tc>
        <w:tc>
          <w:tcPr>
            <w:tcW w:w="201" w:type="dxa"/>
            <w:tcBorders/>
            <w:vAlign w:val="bottom"/>
          </w:tcPr>
          <w:p>
            <w:pPr>
              <w:pStyle w:val="TableContents"/>
              <w:bidi w:val="0"/>
              <w:spacing w:before="0" w:after="283"/>
              <w:jc w:val="left"/>
              <w:rPr/>
            </w:pPr>
            <w:r>
              <w:rPr/>
              <w:t>  </w:t>
            </w:r>
          </w:p>
        </w:tc>
        <w:tc>
          <w:tcPr>
            <w:tcW w:w="2841" w:type="dxa"/>
            <w:tcBorders/>
          </w:tcPr>
          <w:p>
            <w:pPr>
              <w:pStyle w:val="TableContents"/>
              <w:bidi w:val="0"/>
              <w:spacing w:before="0" w:after="283"/>
              <w:jc w:val="left"/>
              <w:rPr/>
            </w:pPr>
            <w:r>
              <w:rPr/>
              <w:t>180 days from the date of this prospectus</w:t>
            </w:r>
          </w:p>
        </w:tc>
        <w:tc>
          <w:tcPr>
            <w:tcW w:w="201" w:type="dxa"/>
            <w:tcBorders/>
            <w:vAlign w:val="bottom"/>
          </w:tcPr>
          <w:p>
            <w:pPr>
              <w:pStyle w:val="TableContents"/>
              <w:bidi w:val="0"/>
              <w:spacing w:before="0" w:after="283"/>
              <w:jc w:val="left"/>
              <w:rPr/>
            </w:pPr>
            <w:r>
              <w:rPr/>
              <w:t>  </w:t>
            </w:r>
          </w:p>
        </w:tc>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GigAcquisitions8 Corp.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Dr. Avi S. Katz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Dr. Raluca Dinu</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Christine M. Marshall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Admiral (Ret.) David Ben-Bashat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Rear Admiral (Ret.) Omri Dagul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Raanan I. Horowitz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Ambassador Adrian Zuckerman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Luis Machuca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Bryan Timm</w:t>
            </w:r>
          </w:p>
          <w:p>
            <w:pPr>
              <w:pStyle w:val="TableContents"/>
              <w:bidi w:val="0"/>
              <w:spacing w:before="0" w:after="0"/>
              <w:jc w:val="left"/>
              <w:rPr>
                <w:rFonts w:ascii="Times New Roman" w:hAnsi="Times New Roman"/>
                <w:sz w:val="20"/>
              </w:rPr>
            </w:pPr>
            <w:r>
              <w:rPr>
                <w:rFonts w:ascii="Times New Roman" w:hAnsi="Times New Roman"/>
                <w:sz w:val="20"/>
              </w:rPr>
              <w:t>James Greene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Lynrock</w:t>
            </w:r>
          </w:p>
        </w:tc>
        <w:tc>
          <w:tcPr>
            <w:tcW w:w="120"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0"/>
              <w:jc w:val="left"/>
              <w:rPr>
                <w:rFonts w:ascii="Times New Roman" w:hAnsi="Times New Roman"/>
                <w:sz w:val="20"/>
              </w:rPr>
            </w:pPr>
            <w:r>
              <w:rPr>
                <w:rFonts w:ascii="Times New Roman" w:hAnsi="Times New Roman"/>
                <w:sz w:val="20"/>
              </w:rPr>
              <w:t>We, our sponsor and our officers and directors have agreed that, for a period of 180 days from the date of this prospectus, we and they will not, without the prior written consent of the representative of the underwriters, offer, sell, contract to sell, pledge or otherwise dispose of, directly or indirectly, any units, share rights, shares or any other securities convertible into, or exercisable, or exchangeable for, shares, subject to certain exceptions.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representative in its sole discretion may release any of the securities subject to these lock-up agreements at any time without notice, other than in the case of the officers and directors, which shall be with notice. Our sponsor, officers and directors are also subject 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90"/>
        <w:gridCol w:w="203"/>
        <w:gridCol w:w="2767"/>
        <w:gridCol w:w="203"/>
        <w:gridCol w:w="2900"/>
        <w:gridCol w:w="121"/>
        <w:gridCol w:w="2521"/>
      </w:tblGrid>
      <w:tr>
        <w:trPr/>
        <w:tc>
          <w:tcPr>
            <w:tcW w:w="149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203" w:type="dxa"/>
            <w:tcBorders/>
            <w:vAlign w:val="bottom"/>
          </w:tcPr>
          <w:p>
            <w:pPr>
              <w:pStyle w:val="TableContents"/>
              <w:bidi w:val="0"/>
              <w:spacing w:before="0" w:after="283"/>
              <w:jc w:val="left"/>
              <w:rPr/>
            </w:pPr>
            <w:r>
              <w:rPr/>
              <w:t>  </w:t>
            </w:r>
          </w:p>
        </w:tc>
        <w:tc>
          <w:tcPr>
            <w:tcW w:w="27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203" w:type="dxa"/>
            <w:tcBorders/>
            <w:vAlign w:val="bottom"/>
          </w:tcPr>
          <w:p>
            <w:pPr>
              <w:pStyle w:val="TableContents"/>
              <w:bidi w:val="0"/>
              <w:spacing w:before="0" w:after="283"/>
              <w:jc w:val="left"/>
              <w:rPr/>
            </w:pPr>
            <w:r>
              <w:rPr/>
              <w:t>  </w:t>
            </w:r>
          </w:p>
        </w:tc>
        <w:tc>
          <w:tcPr>
            <w:tcW w:w="29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1" w:type="dxa"/>
            <w:tcBorders/>
            <w:vAlign w:val="bottom"/>
          </w:tcPr>
          <w:p>
            <w:pPr>
              <w:pStyle w:val="TableContents"/>
              <w:bidi w:val="0"/>
              <w:spacing w:before="0" w:after="283"/>
              <w:jc w:val="left"/>
              <w:rPr/>
            </w:pPr>
            <w:r>
              <w:rPr/>
              <w:t>  </w:t>
            </w:r>
          </w:p>
        </w:tc>
        <w:tc>
          <w:tcPr>
            <w:tcW w:w="25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49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7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0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521" w:type="dxa"/>
            <w:tcBorders/>
          </w:tcPr>
          <w:p>
            <w:pPr>
              <w:pStyle w:val="TableContents"/>
              <w:bidi w:val="0"/>
              <w:spacing w:before="0" w:after="283"/>
              <w:jc w:val="left"/>
              <w:rPr/>
            </w:pPr>
            <w:r>
              <w:rPr/>
              <w:t>separate transfer restrictions on their founder shares and private placement units pursuant to the letter agreement described in the immediately preceding paragraphs.</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 to 1,023,943 of the founder shares and up to 386,681 of the private investor shares will be surrendered for no consideration depending on the extent to which the underwriters’ over-allotment option is exercised. In addition, in order to facilitate our initial business combination as determined by our sponsor in its sole discretion, 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We may also issue Class A ordinary shares upon conversion of the Class B ordinary shares at a ratio greater than one-to-one at the time of our initial business combination as a result of the anti-dilution provisions as set forth therein.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letter agreement may be amended without shareholder approval. Such transfer restrictions have been amended in connection with business combinations for certain other special purpose acquisition companies.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non-managing investors have agreed in their subscription agreements to the transfer restrictions with respect to the private investor shares and private placement units. Since such subscription agreements are bilateral contractual obligations of the company and such non-managing investors, the transfer restrictions may be amended without any vote of the public shareholders. However, the non-managing sponsor investors will not be subject to transfer restrictions or a lock-up agreement on any public units, public shares or public rights that they may purchase in this offering or thereafter. </w:t>
      </w:r>
      <w:r>
        <w:rPr>
          <w:rFonts w:ascii="Times New Roman" w:hAnsi="Times New Roman"/>
          <w:b/>
          <w:sz w:val="20"/>
          <w:bdr w:val="single" w:sz="8" w:space="1" w:color="000000"/>
        </w:rPr>
        <w:t>See “</w:t>
      </w:r>
      <w:r>
        <w:rPr>
          <w:rFonts w:ascii="Times New Roman" w:hAnsi="Times New Roman"/>
          <w:b/>
          <w:i/>
          <w:sz w:val="20"/>
          <w:bdr w:val="single" w:sz="8" w:space="1" w:color="000000"/>
        </w:rPr>
        <w:t>Summary</w:t>
      </w:r>
      <w:r>
        <w:rPr>
          <w:rFonts w:ascii="Times New Roman" w:hAnsi="Times New Roman"/>
          <w:sz w:val="20"/>
          <w:bdr w:val="single" w:sz="8" w:space="1" w:color="000000"/>
        </w:rPr>
        <w:t> — </w:t>
      </w:r>
      <w:r>
        <w:rPr>
          <w:rFonts w:ascii="Times New Roman" w:hAnsi="Times New Roman"/>
          <w:b/>
          <w:i/>
          <w:sz w:val="20"/>
          <w:bdr w:val="single" w:sz="8" w:space="1" w:color="000000"/>
        </w:rPr>
        <w:t>The Offering —</w:t>
      </w:r>
      <w:r>
        <w:rPr>
          <w:rFonts w:ascii="Times New Roman" w:hAnsi="Times New Roman"/>
          <w:sz w:val="20"/>
          <w:bdr w:val="single" w:sz="8" w:space="1" w:color="000000"/>
        </w:rPr>
        <w:t xml:space="preserve"> </w:t>
      </w:r>
      <w:r>
        <w:rPr>
          <w:rFonts w:ascii="Times New Roman" w:hAnsi="Times New Roman"/>
          <w:b/>
          <w:i/>
          <w:sz w:val="20"/>
          <w:bdr w:val="single" w:sz="8" w:space="1" w:color="000000"/>
        </w:rPr>
        <w:t>Transfer restrictions applicable to founder shares, private investor shares, private placement shares and private placement rights (and shares into which the rights convert).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Initial 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including interest (which interest shall be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if any), in each case subject to the limitations described herein. The decision as to whether we will seek shareholder approval of our proposed business combination or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Unlike other blank check companies which require shareholder votes and conduct proxy solicitations in conjunction with their initial business combinations and related conversions of public shares for cash upon consummation of such initial business combinations even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when a vote is not required by law, we will have the flexibility to avoid such shareholder vote and allow our shareholders to sell their shares pursuant to the tender offer rules of the SEC. In that case, we will file tender offer documents with the SEC, which will contain substantially the same financial and other information about the initial business combination as is required under the SEC’s proxy rules.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have until 24 months from the closing of this offering to consummate an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While we do not currently intend to seek such shareholder approval, we may elect to do so in the future. There is no limit on the number of extensions that we may seek; however, we do not expect to extend the completion window beyond 36 months from the closing of this offering.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our insiders’ investment in our founder shares and our private placement units, including the component securities thereof, will be worthless. If we are unable to consummate an initial business combination within the completion window, we will, as promptly as reasonably possible but not more than 10 business days thereafter, redeem 100% of the outstanding public shares, at a per-share price, payable in cash, equal to the aggregate amount then on deposit in the trust account, including any interest earned on the funds held in the trust account and net of interest that may be used by us to pay permitted withdrawals, and less up to $100,000 of interest to pay dissolution expenses, divided by the number of then outstanding public shares, which redemption will completely extinguish the public shareholders’ rights as shareholders (including the right to receive further liquidation distributions, if any), subject to applicable law and as further described herein, and then seek to dissolve and liquidate. We expect the pro rata redemption price to be approximately $10.00 per public share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shareholders.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initial business combination must occur with one or more target businesses that together have a fair market value of at least 80% of the assets held in the trust account (excluding permitted withdrawals) at the time of the agreement to enter into the initial business combination. Such initial business combination must be approved by a majority of the company’s independent directors. The fair market value of the acquisition target(s) will be determined by our board of directors based upon one or more standards generally accepted by the financial community (such as actual and potential sales, earnings, cash flow, valuation of the specific market segment of the target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our board of directors in evaluating the fair market value of the acquisition target(s). The proxy solicitation materials or tender offer documents used by us in connection with any proposed transaction will provide public shareholders with our analysis of the fair market value of the acquisition target, as well as the basis for our determinations. If our board of directors is not able independently to determine the fair market value of the target business(es), we may, in our sole discretion, obtain an opinion from an independent investment banking firm, or another independent entity that commonly renders valuation opinions on the type of target business we are seeking to acquire, with respect to the satisfaction of such criteria. However, unless we consummate our initial business combination with an affiliated entity, our board of directors is not required to obtain an opinion from an independent investment banking firm or another independent entity that the price we are paying is fair to our shareholders from a financial point of 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As described below adjacent to the caption “</w:t>
      </w:r>
      <w:r>
        <w:rPr>
          <w:rFonts w:ascii="Times New Roman" w:hAnsi="Times New Roman"/>
          <w:i/>
          <w:sz w:val="20"/>
          <w:bdr w:val="single" w:sz="8" w:space="1" w:color="000000"/>
        </w:rPr>
        <w:t>Summary</w:t>
      </w:r>
      <w:r>
        <w:rPr>
          <w:rFonts w:ascii="Times New Roman" w:hAnsi="Times New Roman"/>
          <w:sz w:val="20"/>
          <w:bdr w:val="single" w:sz="8" w:space="1" w:color="000000"/>
        </w:rPr>
        <w:t xml:space="preserve"> — </w:t>
      </w:r>
      <w:r>
        <w:rPr>
          <w:rFonts w:ascii="Times New Roman" w:hAnsi="Times New Roman"/>
          <w:i/>
          <w:sz w:val="20"/>
          <w:bdr w:val="single" w:sz="8" w:space="1" w:color="000000"/>
        </w:rPr>
        <w:t>The Offering — Offering proceeds to be held in the trust account</w:t>
      </w:r>
      <w:r>
        <w:rPr>
          <w:rFonts w:ascii="Times New Roman" w:hAnsi="Times New Roman"/>
          <w:sz w:val="20"/>
          <w:bdr w:val="single" w:sz="8" w:space="1" w:color="000000"/>
        </w:rPr>
        <w:t xml:space="preserve">” the Nasdaq rules provide that at least 90% of the gross proceeds from this offering and the sale of the public units be deposited in a trust account. Of the $220,000,000 gross proceeds we will receive from this offering and the sale of the private investor shares and private placement units (or $253,000,000 if the over-allotment option is exercised in full), an aggregate of $220,000,000 (or $10.00 per unit), or $253,000,000 (or $10.00 per unit) if the over-allotment option is exercised in full, will be placed in a segregated trust account located in the United States maintained by Continental Stock Transfer &amp; Trust Company acting as trustee pursuant to an agreement to be signed on the date of this prospectus. The funds in the trust account will be invested only in specified U.S. government treasury bills or in specified money market funds.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anticipate structuring a business combination to acquire 100% of the equity interests or assets of the acquisition target(s). We may, however, structure our initial business combination where we merge directly with the acquisition target or where we acquire less than 100% of such interests or assets of the acquisition target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acquisition target sufficient for it not to be required to register as an investment company under the Investment Company Act. Even if the post-transaction company owns or acquires 50% or more of the voting securities of the acquisition target, our shareholders prior to the business combination may collectively own a minority interest in the post-transaction company, depending on valuations ascribed to the acquisition target and us in the business combination transaction. For example, we could pursue a transaction in which we issue a substantial number of new shares in exchange for all of the outstanding capital stock of a target. In this case, we could acquire a 100% controlling interest in the acquisition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an acquisition target(s) are owned or acquired by the post-transaction company, the portion of such business or businesses that is owned or acquired is what will be valued for purposes of the 80% fair market value test, as described above.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As more fully discussed in “</w:t>
      </w:r>
      <w:r>
        <w:rPr>
          <w:rFonts w:ascii="Times New Roman" w:hAnsi="Times New Roman"/>
          <w:i/>
          <w:sz w:val="20"/>
          <w:bdr w:val="single" w:sz="8" w:space="1" w:color="000000"/>
        </w:rPr>
        <w:t>Management—Conflicts of Interest</w:t>
      </w:r>
      <w:r>
        <w:rPr>
          <w:rFonts w:ascii="Times New Roman" w:hAnsi="Times New Roman"/>
          <w:sz w:val="20"/>
          <w:bdr w:val="single" w:sz="8" w:space="1" w:color="000000"/>
        </w:rPr>
        <w:t xml:space="preserve">” if any of our officers or directors becomes aware of a business combination opportunity that falls within the line of business of any entity to which he or she has fiduciary or contractual obligations, including, among other things, UpHealth, Inc., QT Imaging Holdings, Inc. and GIG7, he or she may be required to present such business combination opportunity to such entities prior to presenting such business combination opportunity to us. Certain of our directors currently have, and any of our officers or directors may in the future have, certain relevant fiduciary duties or contractual obligations.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Further, there is a significant overlap among the directors and officers of UpHealth, Inc., QT Imaging Holdings, Inc., GIG7 and our company. Dr. Katz, our Chief Executive Officer and Chairman, serves as the Chairman of UpHealth, Inc. and QT Imaging Holdings, Inc. and the Chief Executive Officer and Chairman of GIG7. Dr. Dinu, our director, is also the Chief Executive Officer and a member of the board of directors of QT Imaging Holdings, Inc., as well as a member of the board of directors of each of UpHealth, Inc. and GIG7. Our directors, Raanan Horowitz and Ambassador Adrian Zuckerman, are also board members of GIG7. Our directors, James Greene and Luis Machuca, serve on the board of directors of UpHealth, Inc., and Mr. Greene is also a board member of QT Imaging Holdings, Inc. Christine Marshall, our Chief Financial Officer, serves in the same position at GIG7. Any of such companies may present additional conflicts of interest in pursuing an acquisition target. However, we do not believe that any potential conflicts would materially affect our ability to complete our initial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combination, particularly as we are planning to focus the target search of our company in different industries, such as A&amp;D services, cybersecurity and secured communications and quantum-based command and control systems, and AI and ML verticals.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Emerging Growth Company Status and Other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earlier of (1) the last day of the fiscal year (a) following the fifth anniversary of the completion of this offering, (b) in which we have total annual gross revenue of at least $1.235 billion, or (c) in which we are deemed to be a large accelerated filer, which means the market value of our ordinary shares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$220 million as of the prior June 30th, and (2) our annual revenues exceeded $100 million during such completed fiscal year and the market value of our ordinary shares held by non-affiliates exceeds $700 million as of the prior June 30.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Our executive offices are located at 1731 Embarcadero Rd., Suite 200, Palo Alto, CA 94303, and our telephone number is (650) 276-7040.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9" w:type="dxa"/>
            <w:tcBorders/>
          </w:tcPr>
          <w:p>
            <w:pPr>
              <w:pStyle w:val="TableContents"/>
              <w:bidi w:val="0"/>
              <w:spacing w:before="0" w:after="283"/>
              <w:jc w:val="left"/>
              <w:rPr/>
            </w:pPr>
            <w:r>
              <w:rPr/>
              <w:t xml:space="preserve">22,000,000 public units (or 25,300,000 public units if the underwriters’ over-allotment option is exercised in full), at $10.00 per unit, each public unit consisting of one Class A ordinary share and one right to receive one-fifth (1/5) of one Class A ordinary share upon consummation of our initial business combination, subject to the conditions described in this prospectus. Every five rights entitle the holder to receive one ordinary share upon consummation of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of our securities and proposed symbols </w:t>
            </w:r>
          </w:p>
        </w:tc>
        <w:tc>
          <w:tcPr>
            <w:tcW w:w="6328" w:type="dxa"/>
            <w:tcBorders/>
          </w:tcPr>
          <w:p>
            <w:pPr>
              <w:pStyle w:val="TableContents"/>
              <w:bidi w:val="0"/>
              <w:spacing w:before="0" w:after="283"/>
              <w:jc w:val="left"/>
              <w:rPr/>
            </w:pPr>
            <w:r>
              <w:rPr/>
              <w:t xml:space="preserve">We anticipate that the public units, as well as the public shares and public rights underlying the public units (once they begin separate trading), will be listed on Nasdaq under the symbols “GIWWU,” “GIW,” and “GIWWR,” respectively.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Each of the public units, public shares and public rights may trade separately on the 52nd day after the date of this prospectus unless the underwriters determine that an earlier date is acceptable. In no event will the underwriters allow separate trading of our public shares and public rights until we file a Current Report on Form 8-K with the SEC with an audited balance sheet reflecting our receipt of the gross proceeds at the closing of this offering. Once our public shares and public rights commence separate trading, the holders thereof will have the option to continue to hold units or separate their units into the component securities. Holders will need to have their brokers contact our transfer agent in order to separate the public units into public shares and public rights. No fractional rights will be issued upon separation of the public units and only whole rights will trade.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will file a Current Report on Form 8-K with the SEC, including an audited balance sheet reflecting our receipt of the gross proceeds at the closing of this offering, promptly upon the closing of this offering, which is anticipated to take place two business days from the date the public units commence trading. If the underwriters’ over-allotment option is exercised following the initial filing of such Current Report on Form 8-K, a second or amended Current Report on Form 8-K will be filed to provide updated financial information to reflect the exercise of the over- allotment option. We will also include in the initial Current Report on Form 8-K, or any amendment thereto or subsequent filing, as applicable, information indicating if the underwriters have allowed separate trading of the public shares and public rights prior to the 52nd day after the date of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Units: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Issued and outstanding before this offering: </w:t>
            </w:r>
          </w:p>
        </w:tc>
        <w:tc>
          <w:tcPr>
            <w:tcW w:w="6327" w:type="dxa"/>
            <w:tcBorders/>
          </w:tcPr>
          <w:p>
            <w:pPr>
              <w:pStyle w:val="TableContents"/>
              <w:bidi w:val="0"/>
              <w:spacing w:before="0" w:after="283"/>
              <w:jc w:val="left"/>
              <w:rPr/>
            </w:pPr>
            <w:r>
              <w:rPr/>
              <w:t xml:space="preserve">0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Issued and outstanding after this offering and the concurrent private placement: </w:t>
            </w:r>
          </w:p>
        </w:tc>
        <w:tc>
          <w:tcPr>
            <w:tcW w:w="6327" w:type="dxa"/>
            <w:tcBorders/>
          </w:tcPr>
          <w:p>
            <w:pPr>
              <w:pStyle w:val="TableContents"/>
              <w:bidi w:val="0"/>
              <w:spacing w:before="0" w:after="283"/>
              <w:jc w:val="left"/>
              <w:rPr/>
            </w:pPr>
            <w:r>
              <w:rPr/>
              <w:t>22,337,675 units(1)</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Ordinary shares: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Issued and outstanding before this offering: </w:t>
            </w:r>
          </w:p>
        </w:tc>
        <w:tc>
          <w:tcPr>
            <w:tcW w:w="6328" w:type="dxa"/>
            <w:tcBorders/>
          </w:tcPr>
          <w:p>
            <w:pPr>
              <w:pStyle w:val="TableContents"/>
              <w:bidi w:val="0"/>
              <w:spacing w:before="0" w:after="283"/>
              <w:jc w:val="left"/>
              <w:rPr/>
            </w:pPr>
            <w:r>
              <w:rPr/>
              <w:t>7,850,229 shares(2)</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Issued and outstanding after this offering and the concurrent private placement: </w:t>
            </w:r>
          </w:p>
        </w:tc>
        <w:tc>
          <w:tcPr>
            <w:tcW w:w="6327" w:type="dxa"/>
            <w:tcBorders/>
          </w:tcPr>
          <w:p>
            <w:pPr>
              <w:pStyle w:val="TableContents"/>
              <w:bidi w:val="0"/>
              <w:spacing w:before="0" w:after="283"/>
              <w:jc w:val="left"/>
              <w:rPr/>
            </w:pPr>
            <w:r>
              <w:rPr/>
              <w:t>31,741,483 shares(3)</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Rights: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Outstanding before this offering </w:t>
            </w:r>
          </w:p>
        </w:tc>
        <w:tc>
          <w:tcPr>
            <w:tcW w:w="6329" w:type="dxa"/>
            <w:tcBorders/>
          </w:tcPr>
          <w:p>
            <w:pPr>
              <w:pStyle w:val="TableContents"/>
              <w:bidi w:val="0"/>
              <w:spacing w:before="0" w:after="283"/>
              <w:jc w:val="left"/>
              <w:rPr/>
            </w:pPr>
            <w:r>
              <w:rPr/>
              <w:t xml:space="preserve">0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Outstanding after this offering and the concurrent private placement </w:t>
            </w:r>
          </w:p>
        </w:tc>
        <w:tc>
          <w:tcPr>
            <w:tcW w:w="6326" w:type="dxa"/>
            <w:tcBorders/>
          </w:tcPr>
          <w:p>
            <w:pPr>
              <w:pStyle w:val="TableContents"/>
              <w:bidi w:val="0"/>
              <w:spacing w:before="0" w:after="283"/>
              <w:jc w:val="left"/>
              <w:rPr/>
            </w:pPr>
            <w:r>
              <w:rPr/>
              <w:t>22,337,675(4)</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 of Rights </w:t>
            </w:r>
          </w:p>
        </w:tc>
        <w:tc>
          <w:tcPr>
            <w:tcW w:w="6328" w:type="dxa"/>
            <w:tcBorders/>
          </w:tcPr>
          <w:p>
            <w:pPr>
              <w:pStyle w:val="TableContents"/>
              <w:bidi w:val="0"/>
              <w:spacing w:before="0" w:after="283"/>
              <w:jc w:val="left"/>
              <w:rPr/>
            </w:pPr>
            <w:r>
              <w:rPr/>
              <w:t xml:space="preserve">Except in cases where we are not the surviving company in an initial business combination, each holder of a right will automatically receive one-fifth (1/5) of one Class A ordinary share upon consummation of our initial business combination. In the event we will not be the surviving company upon completion of our initial business combination, each holder of a right will be required to affirmatively convert his, her or its rights in order to receive the one-fifth (1/5) of a Class A ordinary share of the new entity underlying each right upon consummation of the initial business combination. We will not issue fractional shares in connection with an exchange of rights. Fractional shares will either be rounded down to the nearest whole share or otherwise determined by the board of directors as provided by Cayman Islands laws. As a result, you must hold rights in multiples of five in order to receive shares for all of your rights upon closing of an initial business combination. If we are unable to complete an initial business combination within the required time period and we redeem the public shares for the funds held in the trust account, holders of rights will not receive any of such funds for their rights and the rights will expire worthless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underwriters’ over-allotment option, and includes, accordingly, (i) an aggregate of 22,000,000 public units and (ii) 337,675 private placement units purchased by our sponsor and non-managing investors.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Includes up to 1,023,943 founder shares issued to the initial shareholders that are subject to forfeiture if the over-allotment option is not exercised. Founder shares are currently classified as Class B ordinary shares, which shares will automatically convert into Class A ordinary shares at the time of our initial business combination or earlier at the option of a holder on a one-for-one basis, subject to adjustment as described below adjacent to the caption “</w:t>
            </w:r>
            <w:r>
              <w:rPr>
                <w:rFonts w:ascii="Times New Roman" w:hAnsi="Times New Roman"/>
                <w:i/>
                <w:sz w:val="20"/>
              </w:rPr>
              <w:t>Conversion of founder shares and private investor shares and anti-dilution rights</w:t>
            </w:r>
            <w:r>
              <w:rPr>
                <w:rFonts w:ascii="Times New Roman" w:hAnsi="Times New Roman"/>
                <w:sz w:val="20"/>
              </w:rPr>
              <w:t xml:space="preserve">” and in our amended and restated memorandum and articles of association.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underwriters’ over-allotment option, and includes, accordingly, (i) an aggregate of 22,000,000 public shares, (ii) an aggregate of 9,403,808 Class B ordinary shares purchased by our sponsor and non-managing investors, and (iii) 337,675 private placement shares included in the private placement units purchased by our sponsor and non-managing investors.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22,000,000 public rights and 337,675 private placement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Founder shares, private investor shares and private placement units </w:t>
            </w:r>
          </w:p>
        </w:tc>
        <w:tc>
          <w:tcPr>
            <w:tcW w:w="6328" w:type="dxa"/>
            <w:tcBorders/>
          </w:tcPr>
          <w:p>
            <w:pPr>
              <w:pStyle w:val="TableContents"/>
              <w:bidi w:val="0"/>
              <w:spacing w:before="0" w:after="283"/>
              <w:jc w:val="left"/>
              <w:rPr/>
            </w:pPr>
            <w:r>
              <w:rPr/>
              <w:t xml:space="preserve">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Prior to the making of this offering, the sponsor transferred 5,000 founder shares to Christine Marshall, our Chief Financial Officer, solely in consideration of future services to us. The 5,000 founder shares granted to Ms. Marshall are subject to forfeiture back to the sponsor in the event she resigns or is removed for cause from her position with us prior to consummation of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Our sponsor intends at the time of the consummation of this offering to sell 375,397 founder shares in the aggregate to Messrs. Greene, Machuca, Timm and Horowitz at an aggregate price of $9,244, or $0.02462 per share and 1,416,665 founder shares to Lynrock at an aggregate price of $13,130, or $0.00927 per share. Following this sale of shares, the sponsor will hold 6,053,167 founder shares, and the price paid by our sponsor for the 6,053,167 founder shares which it is retaining will be reduced to $2,626, or $0.000434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Our sponsor which is owned by two of our directors, Dr. Avi S. Katz and Dr. Raluca Dinu (or non-affiliated investors to which our sponsor assigns this subscription as described below) together with four of our other directors, James Greene, Luis Machuca, Bryan Timm and Raanan Horowitz, and Lynrock will subscribe pursuant to the Unit Purchase Agreement to purchase an aggregate of 95,200 private placement units (including if the underwriters’ over-allotment option is exercised in full), at a price of $9.7374 per private placement unit, for an aggregate purchase price of $927,000 in a private placement that will close simultaneously with the closing of this offering. Each private placement unit sold in this private placement consists of one Class A ordinary share and one right to receive one-fifth of one Class A ordinary share upon the consummation of an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non-managing investors, which are eight groups of institutional accredited investors (none of which are affiliated with any member of our management, our sponsor or any other investor), have committed to purchase an aggregate of (a) 2,964,203 Class B ordinary shares (of which up to 386,681 Class B ordinary shares remain subject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forfeiture depending on the extent to which the underwriters’ over-allotment option is exercised during this offering) as the private investor shares at a purchase price per Class B ordinary share of $0.023254, and (b) an aggregate of 242,475 private placement units (or up to 262,425 private placement units if the underwriters’ over-allotment option is exercised in full) at a price of $9.7374 per private placement unit, for an aggregate purchase price of $2,430,006 (or $2,624,266 if the underwriters’ over-allotment option is exercised in full) in a private placement that will close simultaneously with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number of founder shares and private investor shares, and the forfeiture mechanism underlying the founder shares and private investor shares, has been determined in order to ensure that the founder shares and private investor shares will collectively represent 30% of the outstanding ordinary shares upon completion of this offering and the exercise of the underwriters’ over-allotment option, if any (not including the private placement shares). If we increase or decrease the size of this offering pursuant to Rule 462(b) under the Securities Act, we will effect a share dividend or a share contribution back to capital, as applicable, immediately prior to the consummation of the offering, in such amount so that the founder shares and private investor shares will continue collectively representing 30% of the issued and outstanding ordinary shares (not including the private placement shares) upon completion of this offering. Prior to the investment in the company of an aggregate of $25,000 by our sponsor (before giving effect to the sales of shares to the other insiders), we had no assets, tangible or intangible.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 portion of the purchase price of the private placement units and private investor shares will be added to the proceeds of this offering to be held in the trust account. If we do not complete our initial business combination within 24 months from the closing of this offering, the proceeds from the sale of the private placement units and private investor shares held in the trust account will be used to fund the redemption of our public shares (subject to the requirements of applicable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founder shares, private investor shares, private placement shares and shares issued upon conversion of the private placement rights upon the consummation of our initial business combination are identical to the public shares being sold in this offering, except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holders of the founder shares and private investor shares have the right to vote on the appointment of directors prior to the completion of our initial business combination (by a majority of votes cast by the holders of the founder shares and private investor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founder shares, private investor and private placement units (including underlying securities) are subject to certain transfer restrictions, as described in more detail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as described below adjacent to the caption “</w:t>
            </w:r>
            <w:r>
              <w:rPr>
                <w:rFonts w:ascii="Times New Roman" w:hAnsi="Times New Roman"/>
                <w:i/>
                <w:sz w:val="20"/>
              </w:rPr>
              <w:t>Voting arrangements with our sponsor, non-managing investors and related parties</w:t>
            </w:r>
            <w:r>
              <w:rPr>
                <w:rFonts w:ascii="Times New Roman" w:hAnsi="Times New Roman"/>
                <w:sz w:val="20"/>
              </w:rPr>
              <w:t xml:space="preserve">,” our sponsor, officers and directors have entered into a letter agreement with us, pursuant to which they will agree: (1) to waive their redemption rights with respect to their founder shares and private placement shares in connection with the consummation of our initial business combination or a tender offer conducted prior to a business combination or in connection with it; (2) to waive their rights to liquidating distributions from the trust account with respect to their founder shares and private placement shares if we fail to complete our initial business combination within 24 months from the closing of this offering; and (3) to waive their redemption rights with respect to their founder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 The non-managing investors have entered into written agreements, pursuant to which they have agreed: (1) to waive their redemption rights with respect to their private investor shares and private placement shares held by them in connection with the consummation of our initial business combination or a tender offer conducted prior to a business combination or in connection with it; (2) to waive their rights to liquidating distributions from the trust account with respect to their private investor shares and private placement shares if we fail to complete our initial business combination within 24 months from the closing of this offering; and (3) to waive their redemption rights with respect to their private investor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 Notwithstanding the foregoing, our initial shareholders will be entitled to liquidating distributions from the trust account with respect to any public shares purchased in this offering or on the open market after the completion of this offering if we fail to complete our initial business combination within the prescribed time frame;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non-managing investors are not granted any shareholder or other rights in addition to those afforded to our other public shareholders, and will only be issued the private investor shares and private placement units of our company. The non-managing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385"/>
        <w:gridCol w:w="5820"/>
      </w:tblGrid>
      <w:tr>
        <w:trPr/>
        <w:tc>
          <w:tcPr>
            <w:tcW w:w="4385" w:type="dxa"/>
            <w:tcBorders/>
            <w:vAlign w:val="center"/>
          </w:tcPr>
          <w:p>
            <w:pPr>
              <w:pStyle w:val="TableContents"/>
              <w:bidi w:val="0"/>
              <w:spacing w:before="0" w:after="283"/>
              <w:jc w:val="left"/>
              <w:rPr/>
            </w:pPr>
            <w:r>
              <w:rPr/>
              <w:t> </w:t>
            </w:r>
          </w:p>
        </w:tc>
        <w:tc>
          <w:tcPr>
            <w:tcW w:w="58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the founder shares and private investor shares will automatically convert into our Class A ordinary shares at the time of our initial business combination or earlier at the option of the holder on a one-for-one basis, subject to adjustment pursuant to certain anti-dilution rights, as described below adjacent to the caption “</w:t>
            </w:r>
            <w:r>
              <w:rPr>
                <w:rFonts w:ascii="Times New Roman" w:hAnsi="Times New Roman"/>
                <w:i/>
                <w:sz w:val="20"/>
              </w:rPr>
              <w:t>Conversion of founder shares and private investor shares and</w:t>
            </w:r>
            <w:r>
              <w:rPr>
                <w:rFonts w:ascii="Times New Roman" w:hAnsi="Times New Roman"/>
                <w:sz w:val="20"/>
              </w:rPr>
              <w:t> </w:t>
            </w:r>
            <w:r>
              <w:rPr>
                <w:rFonts w:ascii="Times New Roman" w:hAnsi="Times New Roman"/>
                <w:i/>
                <w:sz w:val="20"/>
              </w:rPr>
              <w:t>anti-dilution rights</w:t>
            </w:r>
            <w:r>
              <w:rPr>
                <w:rFonts w:ascii="Times New Roman" w:hAnsi="Times New Roman"/>
                <w:sz w:val="20"/>
              </w:rPr>
              <w:t xml:space="preserve">” and in our amended and restated memorandum and articles of association;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founder shares, private investor shares, private placement shares and any shares issued upon conversion of the private placement rights are entitled to registration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Sponsor’s Securities and Compensation </w:t>
            </w:r>
          </w:p>
        </w:tc>
        <w:tc>
          <w:tcPr>
            <w:tcW w:w="6327" w:type="dxa"/>
            <w:tcBorders/>
          </w:tcPr>
          <w:p>
            <w:pPr>
              <w:pStyle w:val="TableContents"/>
              <w:bidi w:val="0"/>
              <w:spacing w:before="0" w:after="283"/>
              <w:jc w:val="left"/>
              <w:rPr/>
            </w:pPr>
            <w:r>
              <w:rPr/>
              <w:t xml:space="preserve">The following table sets forth the payments to be received by our sponsor and its affiliates from us prior to or in connection with the completion of our initial business combination and the securities issued and to be issued by us to our sponsor or its affiliates: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980"/>
        <w:gridCol w:w="203"/>
        <w:gridCol w:w="3062"/>
        <w:gridCol w:w="204"/>
        <w:gridCol w:w="2756"/>
      </w:tblGrid>
      <w:tr>
        <w:trPr/>
        <w:tc>
          <w:tcPr>
            <w:tcW w:w="398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0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Description</w:t>
            </w:r>
          </w:p>
        </w:tc>
        <w:tc>
          <w:tcPr>
            <w:tcW w:w="204" w:type="dxa"/>
            <w:tcBorders/>
            <w:vAlign w:val="bottom"/>
          </w:tcPr>
          <w:p>
            <w:pPr>
              <w:pStyle w:val="TableContents"/>
              <w:bidi w:val="0"/>
              <w:spacing w:before="0" w:after="283"/>
              <w:jc w:val="left"/>
              <w:rPr/>
            </w:pPr>
            <w:r>
              <w:rPr/>
              <w:t>  </w:t>
            </w:r>
          </w:p>
        </w:tc>
        <w:tc>
          <w:tcPr>
            <w:tcW w:w="2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Price Paid or Payable</w:t>
            </w:r>
          </w:p>
        </w:tc>
      </w:tr>
      <w:tr>
        <w:trPr/>
        <w:tc>
          <w:tcPr>
            <w:tcW w:w="3980" w:type="dxa"/>
            <w:tcBorders/>
          </w:tcPr>
          <w:p>
            <w:pPr>
              <w:pStyle w:val="TableContents"/>
              <w:bidi w:val="0"/>
              <w:spacing w:before="0" w:after="283"/>
              <w:jc w:val="left"/>
              <w:rPr>
                <w:b/>
              </w:rPr>
            </w:pPr>
            <w:r>
              <w:rPr>
                <w:b/>
              </w:rPr>
              <w:t>Number of founder shares</w:t>
            </w:r>
          </w:p>
        </w:tc>
        <w:tc>
          <w:tcPr>
            <w:tcW w:w="203"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7,850,229 Class B ordinary shares, of which 1,023,943 Class B ordinary shares remain subject to forfeiture depending on the extent to which the underwriters’ over-allotment option is exercised during this offering. Our sponsor intends at the time of the consummation of this offering to sell 375,397 founder shares in the aggregate to Messrs. Greene, Machuca, Timm and Horowitz at</w:t>
            </w:r>
          </w:p>
        </w:tc>
        <w:tc>
          <w:tcPr>
            <w:tcW w:w="204"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283"/>
              <w:jc w:val="left"/>
              <w:rPr/>
            </w:pPr>
            <w:r>
              <w:rPr/>
              <w:t>$25,000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980"/>
        <w:gridCol w:w="204"/>
        <w:gridCol w:w="3062"/>
        <w:gridCol w:w="204"/>
        <w:gridCol w:w="2755"/>
      </w:tblGrid>
      <w:tr>
        <w:trPr/>
        <w:tc>
          <w:tcPr>
            <w:tcW w:w="398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0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Description</w:t>
            </w:r>
          </w:p>
        </w:tc>
        <w:tc>
          <w:tcPr>
            <w:tcW w:w="204" w:type="dxa"/>
            <w:tcBorders/>
            <w:vAlign w:val="bottom"/>
          </w:tcPr>
          <w:p>
            <w:pPr>
              <w:pStyle w:val="TableContents"/>
              <w:bidi w:val="0"/>
              <w:spacing w:before="0" w:after="283"/>
              <w:jc w:val="left"/>
              <w:rPr/>
            </w:pPr>
            <w:r>
              <w:rPr/>
              <w:t>  </w:t>
            </w:r>
          </w:p>
        </w:tc>
        <w:tc>
          <w:tcPr>
            <w:tcW w:w="27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Price Paid or Payable</w:t>
            </w:r>
          </w:p>
        </w:tc>
      </w:tr>
      <w:tr>
        <w:trPr/>
        <w:tc>
          <w:tcPr>
            <w:tcW w:w="398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an aggregate price of $9,244, and 1,416,665 founder shares to Lynrock at an aggregate price of $13,130, and prior to the making of this offering transferred 5,000 founder shares to Christine Marshall, our Chief Financial Officer, solely in consideration of future services to us, thus reducing its holding to 6,053,167 founder shares</w:t>
            </w:r>
          </w:p>
        </w:tc>
        <w:tc>
          <w:tcPr>
            <w:tcW w:w="204"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83"/>
              <w:jc w:val="left"/>
              <w:rPr>
                <w:sz w:val="4"/>
                <w:szCs w:val="4"/>
              </w:rPr>
            </w:pPr>
            <w:r>
              <w:rPr>
                <w:sz w:val="4"/>
                <w:szCs w:val="4"/>
              </w:rPr>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b/>
              </w:rPr>
            </w:pPr>
            <w:r>
              <w:rPr>
                <w:b/>
              </w:rPr>
              <w:t>Number of private placement units</w:t>
            </w:r>
          </w:p>
        </w:tc>
        <w:tc>
          <w:tcPr>
            <w:tcW w:w="204"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95,200 private placement units to be purchased pursuant to the Unit Purchase Agreement simultaneously with the closing of this offering (including if the underwriters’ over-allotment option is exercised in full)</w:t>
            </w:r>
          </w:p>
        </w:tc>
        <w:tc>
          <w:tcPr>
            <w:tcW w:w="204"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83"/>
              <w:jc w:val="left"/>
              <w:rPr/>
            </w:pPr>
            <w:r>
              <w:rPr/>
              <w:t>$927,000</w:t>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b/>
              </w:rPr>
            </w:pPr>
            <w:r>
              <w:rPr>
                <w:b/>
              </w:rPr>
              <w:t>Office space and general and administrative services</w:t>
            </w:r>
          </w:p>
        </w:tc>
        <w:tc>
          <w:tcPr>
            <w:tcW w:w="204"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0"/>
              <w:jc w:val="left"/>
              <w:rPr>
                <w:rFonts w:ascii="Times New Roman" w:hAnsi="Times New Roman"/>
                <w:sz w:val="19"/>
              </w:rPr>
            </w:pPr>
            <w:r>
              <w:rPr>
                <w:rFonts w:ascii="Times New Roman" w:hAnsi="Times New Roman"/>
                <w:sz w:val="19"/>
              </w:rPr>
              <w:t>Office space, administrative and shared personnel support services</w:t>
            </w:r>
          </w:p>
        </w:tc>
        <w:tc>
          <w:tcPr>
            <w:tcW w:w="204"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0"/>
              <w:jc w:val="left"/>
              <w:rPr>
                <w:rFonts w:ascii="Times New Roman" w:hAnsi="Times New Roman"/>
                <w:sz w:val="19"/>
              </w:rPr>
            </w:pPr>
            <w:r>
              <w:rPr>
                <w:rFonts w:ascii="Times New Roman" w:hAnsi="Times New Roman"/>
                <w:sz w:val="19"/>
              </w:rPr>
              <w:t>$30,000 per month</w:t>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b/>
              </w:rPr>
            </w:pPr>
            <w:r>
              <w:rPr>
                <w:b/>
              </w:rPr>
              <w:t>Compensation to Chief Financial Officer</w:t>
            </w:r>
          </w:p>
        </w:tc>
        <w:tc>
          <w:tcPr>
            <w:tcW w:w="204"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0"/>
              <w:jc w:val="left"/>
              <w:rPr>
                <w:rFonts w:ascii="Times New Roman" w:hAnsi="Times New Roman"/>
                <w:sz w:val="19"/>
              </w:rPr>
            </w:pPr>
            <w:r>
              <w:rPr>
                <w:rFonts w:ascii="Times New Roman" w:hAnsi="Times New Roman"/>
                <w:sz w:val="19"/>
              </w:rPr>
              <w:t>Up to $15,000 per month</w:t>
            </w:r>
          </w:p>
        </w:tc>
        <w:tc>
          <w:tcPr>
            <w:tcW w:w="204"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0"/>
              <w:jc w:val="left"/>
              <w:rPr>
                <w:rFonts w:ascii="Times New Roman" w:hAnsi="Times New Roman"/>
                <w:sz w:val="19"/>
              </w:rPr>
            </w:pPr>
            <w:r>
              <w:rPr>
                <w:rFonts w:ascii="Times New Roman" w:hAnsi="Times New Roman"/>
                <w:sz w:val="19"/>
              </w:rPr>
              <w:t>Monthly payments to Chief Financial Officer</w:t>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5,000 founder shares, subject to forfeiture to the sponsor if Ms. Marshall resigns or is removed for cause from her position with the Company prior to consummation of our initial business combination</w:t>
            </w:r>
          </w:p>
        </w:tc>
        <w:tc>
          <w:tcPr>
            <w:tcW w:w="204"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83"/>
              <w:jc w:val="left"/>
              <w:rPr/>
            </w:pPr>
            <w:r>
              <w:rPr/>
              <w:t>Future services as Chief Financial Officer</w:t>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b/>
              </w:rPr>
            </w:pPr>
            <w:r>
              <w:rPr>
                <w:b/>
              </w:rPr>
              <w:t>Promissory Note</w:t>
            </w:r>
          </w:p>
        </w:tc>
        <w:tc>
          <w:tcPr>
            <w:tcW w:w="204"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Up to $100,000 in loans</w:t>
            </w:r>
          </w:p>
        </w:tc>
        <w:tc>
          <w:tcPr>
            <w:tcW w:w="204"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83"/>
              <w:jc w:val="left"/>
              <w:rPr/>
            </w:pPr>
            <w:r>
              <w:rPr/>
              <w:t>Repayment of loans made to us to cover offering related and organizational expenses</w:t>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b/>
              </w:rPr>
            </w:pPr>
            <w:r>
              <w:rPr>
                <w:b/>
              </w:rPr>
              <w:t>Working Capital Loans</w:t>
            </w:r>
          </w:p>
        </w:tc>
        <w:tc>
          <w:tcPr>
            <w:tcW w:w="204"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Up to $1,500,000 in working capital loans, which loans may be convertible into private placement units at a price of $10.00 per unit at the option of the lender(1)</w:t>
            </w:r>
          </w:p>
        </w:tc>
        <w:tc>
          <w:tcPr>
            <w:tcW w:w="204"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83"/>
              <w:jc w:val="left"/>
              <w:rPr/>
            </w:pPr>
            <w:r>
              <w:rPr/>
              <w:t>Working capital loans to finance transaction costs in connection with an initial business combination</w:t>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b/>
              </w:rPr>
            </w:pPr>
            <w:r>
              <w:rPr>
                <w:b/>
              </w:rPr>
              <w:t>Expense reimbursement</w:t>
            </w:r>
          </w:p>
        </w:tc>
        <w:tc>
          <w:tcPr>
            <w:tcW w:w="204"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left"/>
              <w:rPr/>
            </w:pPr>
            <w:r>
              <w:rPr/>
              <w:t>Services in connection with identifying, investigating and completing an initial business combination</w:t>
            </w:r>
          </w:p>
        </w:tc>
        <w:tc>
          <w:tcPr>
            <w:tcW w:w="204"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83"/>
              <w:jc w:val="left"/>
              <w:rPr/>
            </w:pPr>
            <w:r>
              <w:rPr/>
              <w:t>Reimbursement for any out-of-pocket expenses related to identifying, investigating and completing an initial business combination</w:t>
            </w:r>
          </w:p>
        </w:tc>
      </w:tr>
      <w:tr>
        <w:trPr>
          <w:trHeight w:val="120" w:hRule="atLeast"/>
        </w:trPr>
        <w:tc>
          <w:tcPr>
            <w:tcW w:w="3980" w:type="dxa"/>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2959" w:type="dxa"/>
            <w:gridSpan w:val="2"/>
            <w:tcBorders/>
            <w:vAlign w:val="center"/>
          </w:tcPr>
          <w:p>
            <w:pPr>
              <w:pStyle w:val="TableContents"/>
              <w:bidi w:val="0"/>
              <w:spacing w:before="0" w:after="283"/>
              <w:jc w:val="left"/>
              <w:rPr>
                <w:sz w:val="4"/>
                <w:szCs w:val="4"/>
              </w:rPr>
            </w:pPr>
            <w:r>
              <w:rPr>
                <w:sz w:val="4"/>
                <w:szCs w:val="4"/>
              </w:rPr>
            </w:r>
          </w:p>
        </w:tc>
      </w:tr>
      <w:tr>
        <w:trPr/>
        <w:tc>
          <w:tcPr>
            <w:tcW w:w="3980" w:type="dxa"/>
            <w:tcBorders/>
          </w:tcPr>
          <w:p>
            <w:pPr>
              <w:pStyle w:val="TableContents"/>
              <w:bidi w:val="0"/>
              <w:spacing w:before="0" w:after="283"/>
              <w:jc w:val="left"/>
              <w:rPr>
                <w:b/>
              </w:rPr>
            </w:pPr>
            <w:r>
              <w:rPr>
                <w:b/>
              </w:rPr>
              <w:t>Anti-dilution protection upon conversion of Class B ordinary shares</w:t>
            </w:r>
          </w:p>
        </w:tc>
        <w:tc>
          <w:tcPr>
            <w:tcW w:w="204"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0"/>
              <w:jc w:val="left"/>
              <w:rPr>
                <w:rFonts w:ascii="Times New Roman" w:hAnsi="Times New Roman"/>
                <w:sz w:val="20"/>
              </w:rPr>
            </w:pPr>
            <w:r>
              <w:rPr>
                <w:rFonts w:ascii="Times New Roman" w:hAnsi="Times New Roman"/>
                <w:sz w:val="20"/>
              </w:rPr>
              <w:t>Anti-dilution protection upon conversion into Class A ordinary shares at a greater than one-to-one ratio</w:t>
            </w:r>
          </w:p>
        </w:tc>
        <w:tc>
          <w:tcPr>
            <w:tcW w:w="204"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0"/>
              <w:jc w:val="left"/>
              <w:rPr>
                <w:rFonts w:ascii="Times New Roman" w:hAnsi="Times New Roman"/>
                <w:sz w:val="20"/>
              </w:rPr>
            </w:pPr>
            <w:r>
              <w:rPr>
                <w:rFonts w:ascii="Times New Roman" w:hAnsi="Times New Roman"/>
                <w:sz w:val="20"/>
              </w:rPr>
              <w:t>Issuance of the Class A ordinary shares issuable in connection with the conversion of the founder shares on a greater than one-to-one basis upon conversion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completion of this offering, our board of directors may approve working capital loans for the purpose of funding working capital, which loans may be converted into our private placement units. </w:t>
            </w:r>
            <w:r>
              <w:rPr>
                <w:rFonts w:ascii="Times New Roman" w:hAnsi="Times New Roman"/>
                <w:b/>
                <w:sz w:val="20"/>
              </w:rPr>
              <w:t xml:space="preserve">See </w:t>
            </w:r>
            <w:r>
              <w:rPr>
                <w:rFonts w:ascii="Times New Roman" w:hAnsi="Times New Roman"/>
                <w:sz w:val="20"/>
              </w:rPr>
              <w:t>“</w:t>
            </w:r>
            <w:r>
              <w:rPr>
                <w:rFonts w:ascii="Times New Roman" w:hAnsi="Times New Roman"/>
                <w:b/>
                <w:i/>
                <w:sz w:val="20"/>
              </w:rPr>
              <w:t>Risk Factors —</w:t>
            </w:r>
            <w:r>
              <w:rPr>
                <w:rFonts w:ascii="Times New Roman" w:hAnsi="Times New Roman"/>
                <w:sz w:val="20"/>
              </w:rPr>
              <w:t xml:space="preserve"> </w:t>
            </w:r>
            <w:r>
              <w:rPr>
                <w:rFonts w:ascii="Times New Roman" w:hAnsi="Times New Roman"/>
                <w:b/>
                <w:i/>
                <w:sz w:val="20"/>
              </w:rPr>
              <w:t>Risks Relating to our Search for, and Consummation of or Inability to Consummate, a</w:t>
            </w:r>
            <w:r>
              <w:rPr>
                <w:rFonts w:ascii="Times New Roman" w:hAnsi="Times New Roman"/>
                <w:sz w:val="20"/>
              </w:rPr>
              <w:t xml:space="preserve"> </w:t>
            </w:r>
            <w:r>
              <w:rPr>
                <w:rFonts w:ascii="Times New Roman" w:hAnsi="Times New Roman"/>
                <w:b/>
                <w:i/>
                <w:sz w:val="20"/>
              </w:rPr>
              <w:t>Business Combination</w:t>
            </w:r>
            <w:r>
              <w:rPr>
                <w:rFonts w:ascii="Times New Roman" w:hAnsi="Times New Roman"/>
                <w:sz w:val="20"/>
              </w:rPr>
              <w:t xml:space="preserve"> — </w:t>
            </w:r>
            <w:r>
              <w:rPr>
                <w:rFonts w:ascii="Times New Roman" w:hAnsi="Times New Roman"/>
                <w:b/>
                <w:i/>
                <w:sz w:val="20"/>
              </w:rPr>
              <w:t xml:space="preserve">We may issue additional ordinary or preferred shares to complete our initial business combination or under an employee incentive plan upon or after consummation of our initial business combination, which would dilute the interest of our shareholders and likely present other risks. </w:t>
            </w:r>
            <w:r>
              <w:rPr>
                <w:rFonts w:ascii="Times New Roman" w:hAnsi="Times New Roman"/>
                <w:sz w:val="20"/>
              </w:rPr>
              <w:t xml:space="preserve">” </w:t>
            </w:r>
            <w:r>
              <w:rPr>
                <w:rFonts w:ascii="Times New Roman" w:hAnsi="Times New Roman"/>
                <w:b/>
                <w:sz w:val="20"/>
              </w:rPr>
              <w:t xml:space="preserve">and </w:t>
            </w:r>
            <w:r>
              <w:rPr>
                <w:rFonts w:ascii="Times New Roman" w:hAnsi="Times New Roman"/>
                <w:sz w:val="20"/>
              </w:rPr>
              <w:t>“</w:t>
            </w:r>
            <w:r>
              <w:rPr>
                <w:rFonts w:ascii="Times New Roman" w:hAnsi="Times New Roman"/>
                <w:b/>
                <w:i/>
                <w:sz w:val="20"/>
              </w:rPr>
              <w:t>Risks Relating to our Securities — Unlike some other similarly structured blank check companies, our sponsor will receive additional Class</w:t>
            </w:r>
            <w:r>
              <w:rPr>
                <w:rFonts w:ascii="Times New Roman" w:hAnsi="Times New Roman"/>
                <w:sz w:val="20"/>
              </w:rPr>
              <w:t> </w:t>
            </w:r>
            <w:r>
              <w:rPr>
                <w:rFonts w:ascii="Times New Roman" w:hAnsi="Times New Roman"/>
                <w:b/>
                <w:i/>
                <w:sz w:val="20"/>
              </w:rPr>
              <w:t>A ordinary shares if we issue shares to consummate an initial business combination.</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As described below adjacent to the caption “</w:t>
            </w:r>
            <w:r>
              <w:rPr>
                <w:i/>
              </w:rPr>
              <w:t>Conversion of founder shares and private investor shares and anti-dilution rights</w:t>
            </w:r>
            <w:r>
              <w:rPr/>
              <w:t>” the founder shares and Class A ordinary shares issuable in connection with the conversion of the founder shares may result in material dilution to our public shareholders due to the nominal price of $0.000434 per founder share at which our sponsor purchased the founder shares (or $0.02462 per founder share paid by four of our directors for the founder shares, $0.00927 per founder share payable by Lynrock or $0.023254 per private investor share payable by non-managing investors) and/or the anti-dilution rights of our founder shares and private placement shares that may result in an issuance of Class A ordinary shares on a greater than one-to-one basis upon conversion. Our sponsor or its affiliates may receive additional compensation and/or may be issued additional securities in connection with an initial business combination, including securities that may result in material dilution to public shareholders. For more information also see below adjacent to the caption “</w:t>
            </w:r>
            <w:r>
              <w:rPr>
                <w:i/>
              </w:rPr>
              <w:t>Limited payments to insiders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Transfer restrictions applicable to founder shares, private placement units, private investor shares, private placement shares and private placement rights (and shares into which the rights convert) </w:t>
            </w:r>
          </w:p>
        </w:tc>
        <w:tc>
          <w:tcPr>
            <w:tcW w:w="6327" w:type="dxa"/>
            <w:tcBorders/>
          </w:tcPr>
          <w:p>
            <w:pPr>
              <w:pStyle w:val="TableContents"/>
              <w:bidi w:val="0"/>
              <w:spacing w:before="0" w:after="283"/>
              <w:jc w:val="left"/>
              <w:rPr/>
            </w:pPr>
            <w:r>
              <w:rPr/>
              <w:t>Except with respect to permitted transferees as described herein under “</w:t>
            </w:r>
            <w:r>
              <w:rPr>
                <w:i/>
              </w:rPr>
              <w:t>Principal Shareholders</w:t>
            </w:r>
            <w:r>
              <w:rPr/>
              <w:t xml:space="preserve">,” our initial shareholders have agreed not to transfer, assign or sell any of their respective founder shares and private investor shares until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and their private placement units, private placement shares, private placement rights and shares issued upon conversion of the private placement rights until thirty days after the consummation of the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the lock-up period of the non-managing investors shall not be longer than the sponsor’s lock-up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period; provided that if upon consummation of an initial business combination, any securityholder holding more than three percent (3.0%) of the capital stock of the surviving company is not subject to a lock-up agreement or is subject to a lock-up agreement for a shorter period of time than the non-managing investors, unless required to comply with the Nasdaq listing conditions, the non-managing investors’ lock-up period shall be reduced to the shortest lock-up period or terminated, as the case may be. Further, if any such securityholder is released from the lock-up period subsequent to the consummation of an initial business combination, the company shall release the private investor shares, private placement shares and shares issued upon conversion of the private placement rights held by the non-managing investors from the lock-up provisions.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Any permitted transferees would be subject to the same restrictions and other agreements of our initial shareholders with respect to any founder shares, private investor shares, private placement units, private placement shares, private placement rights and shares issued upon conversion of the private placement rights. We refer to such transfer restrictions throughout this prospectus as the “lock-up.”</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Conversion of founder shares and private investor shares and anti-dilution rights </w:t>
            </w:r>
          </w:p>
        </w:tc>
        <w:tc>
          <w:tcPr>
            <w:tcW w:w="6327" w:type="dxa"/>
            <w:tcBorders/>
          </w:tcPr>
          <w:p>
            <w:pPr>
              <w:pStyle w:val="TableContents"/>
              <w:bidi w:val="0"/>
              <w:spacing w:before="0" w:after="283"/>
              <w:jc w:val="left"/>
              <w:rPr/>
            </w:pPr>
            <w:r>
              <w:rPr/>
              <w:t>Subject to adjustment for share sub-divisions, share capitalizations, reorganizations, recapitalizations and the like, and subject to further adjustment as provided herein, the founder shares and private investor shares, which are designated as Class B ordinary shares, will be convertible at the option of the holder on a one-for-one basis or will automatically convert into Class A ordinary shares concurrently with or immediately following the consummation of our initial business combination at a ratio such that the number of Class A ordinary shares issuable upon conversion of all founder shares and private investor shares will equal, in the aggregate, on an as-converted basis,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Any conversion of Class B ordinary shares described herein will take effect as a compulsory redemption of Class B ordinary shares and an issuance of Class A ordinary shares as a matter of Cayman Islands law. In no event will the Class B ordinary shares convert into Class A ordinary shares at a rate of less than one-to-one.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Voting arrangements with our sponsor, non-managing investors and related parties </w:t>
            </w:r>
          </w:p>
        </w:tc>
        <w:tc>
          <w:tcPr>
            <w:tcW w:w="6327" w:type="dxa"/>
            <w:tcBorders/>
          </w:tcPr>
          <w:p>
            <w:pPr>
              <w:pStyle w:val="TableContents"/>
              <w:bidi w:val="0"/>
              <w:spacing w:before="0" w:after="283"/>
              <w:jc w:val="left"/>
              <w:rPr/>
            </w:pPr>
            <w:r>
              <w:rPr/>
              <w:t xml:space="preserve">Our sponsor, officers and directors have entered into a letter agreement with us, pursuant to which they will agree: (1) to waive their redemption rights with respect to their founder shares and private placement shares in connection with the consummation of our initial business combination or a tender offer conducted prior to a business combination or in connection with it; (2) to waive their rights to liquidating distributions from the trust account with respect to their founder shares and private placement shares if we fail to complete our initial business combination within 24 months from the closing of this offering; and (3) to waive their redemption rights with respect to their founder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initial business combination or with respect to any other provision relating to shareholders’ rights or pre-business combination activity. The non-managing investors have entered into written subscription agreements, pursuant to which they have agreed: (1) to waive their redemption rights with respect to their private investor shares and private placement shares held by them in connection with the consummation of our initial business combination or a tender offer conducted prior to a business combination or in connection with it; (2) to waive their rights to liquidating distributions from the trust account with respect to their private investor shares and private placement shares if we fail to complete our initial business combination within 24 months from the closing of this offering; and (3) to waive their redemption rights with respect to their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initial business combination or with respect to any other provision relating to shareholders’ rights or pre-business combination activity. Notwithstanding the foregoing, our initial shareholders will be entitled to liquidating distributions from the trust account with respect to any public shares purchased in this offering or on the open market after the completion of this offering if we fail to complete our initial business combination within the prescribed time frame.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Any permitted transferees would be subject to the same restrictions and other agreements as the transferor.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we submit an initial business combination to our shareholders for a vote, we will complete our initial business combination only if a majority of the ordinary shares, represented in person or by proxy and entitled to vote thereon, voted at a shareholder meeting, are voted in favor of the business combination. Our initial shareholders have agreed to vote their founder shares, private investor shares and private placement shares in favor of such initial business combination. However, our sponsor, officers and directors have also agreed to vote any public shares they may hold in favor of such initial business combination. As a result, in addition to the founder shares, private investor shares and private placement shares that our insiders and the non-managing investors have committed to purchase (as described above), we would need approximately 6,129,258 public shares, or approximately 27.9% of the 22,000,000 public shares sold in this offering, to be voted in favor of a transaction (assuming all issued and outstanding shares are voted, the over-allotment option is not exercised and 1,023,943 founder shares and 386,681 private investor shares have been forfeited) in order to have such initial business combination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Assuming that only the holders of one-third of our issued and outstanding ordinary shares, representing a quorum under our amended and restated memorandum and articles of association, vote their shares, we will not need any public shares in addition to our founder shares held by our insiders to be voted in favor of an initial business combination in order to approve such initial business combination. In addition, if the non-managing investors purchase any public units, and assuming none of them will trade such public units after this offering, depending upon the amount of public units purchased by the non-managing investors, we may be able to have our initial shareholders approve our initial business combination without vote of the other public shareholders.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Expression of Interest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Nasdaq listing eligibility requirements.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profitable for other public shareholders. For more information on different interests between the non-managing investors and public shareholders, </w:t>
            </w:r>
            <w:r>
              <w:rPr>
                <w:rFonts w:ascii="Times New Roman" w:hAnsi="Times New Roman"/>
                <w:b/>
                <w:sz w:val="20"/>
              </w:rPr>
              <w:t>please see</w:t>
            </w:r>
            <w:r>
              <w:rPr>
                <w:rFonts w:ascii="Times New Roman" w:hAnsi="Times New Roman"/>
                <w:sz w:val="20"/>
              </w:rPr>
              <w:t xml:space="preserve"> “</w:t>
            </w:r>
            <w:r>
              <w:rPr>
                <w:rFonts w:ascii="Times New Roman" w:hAnsi="Times New Roman"/>
                <w:b/>
                <w:i/>
                <w:sz w:val="20"/>
              </w:rPr>
              <w:t>Risk Factors — Risks Relating to Our Search for, and Consummation of or Inability to</w:t>
            </w:r>
            <w:r>
              <w:rPr>
                <w:rFonts w:ascii="Times New Roman" w:hAnsi="Times New Roman"/>
                <w:sz w:val="20"/>
              </w:rPr>
              <w:t xml:space="preserve"> </w:t>
            </w:r>
            <w:r>
              <w:rPr>
                <w:rFonts w:ascii="Times New Roman" w:hAnsi="Times New Roman"/>
                <w:b/>
                <w:i/>
                <w:sz w:val="20"/>
              </w:rPr>
              <w:t>Consummate, a Business Combination</w:t>
            </w:r>
            <w:r>
              <w:rPr>
                <w:rFonts w:ascii="Times New Roman" w:hAnsi="Times New Roman"/>
                <w:sz w:val="20"/>
              </w:rPr>
              <w:t xml:space="preserve"> — </w:t>
            </w:r>
            <w:r>
              <w:rPr>
                <w:rFonts w:ascii="Times New Roman" w:hAnsi="Times New Roman"/>
                <w:b/>
                <w:i/>
                <w:sz w:val="20"/>
              </w:rPr>
              <w:t>Our management team,</w:t>
            </w:r>
            <w:r>
              <w:rPr>
                <w:rFonts w:ascii="Times New Roman" w:hAnsi="Times New Roman"/>
                <w:sz w:val="20"/>
              </w:rPr>
              <w:t xml:space="preserve"> </w:t>
            </w:r>
            <w:r>
              <w:rPr>
                <w:rFonts w:ascii="Times New Roman" w:hAnsi="Times New Roman"/>
                <w:b/>
                <w:i/>
                <w:sz w:val="20"/>
              </w:rPr>
              <w:t>the 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non-managing investors are not granted any shareholder or other rights in addition to those afforded to our other public shareholders, and will only be issued the private investor shares and private placement units of our company. 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For more information on additional financing we may raise in connection with our initial business combination and risks related thereto, see “</w:t>
            </w:r>
            <w:r>
              <w:rPr>
                <w:b/>
                <w:i/>
              </w:rPr>
              <w:t xml:space="preserve">Risk Factors — Risks Relating to Our Search for, and Consummation of or Inability to Consummate, a Business Combination </w:t>
            </w:r>
            <w:r>
              <w:rPr/>
              <w:t xml:space="preserve">— </w:t>
            </w:r>
            <w:r>
              <w:rPr>
                <w:b/>
                <w:i/>
              </w:rPr>
              <w:t>We may issue additional ordinary or preferred shares to complete our initial business combination or under an employee incentive plan upon or after consummation of our initial</w:t>
            </w:r>
            <w:r>
              <w:rPr/>
              <w:t xml:space="preserve"> </w:t>
            </w:r>
            <w:r>
              <w:rPr>
                <w:b/>
                <w:i/>
              </w:rPr>
              <w:t>business combination, which would dilute the interest of our shareholders and likely present other risks.”</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proceeds to be held in the trust account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rules provide that at least 90% of the gross proceeds from this offering and the sale of the public units be deposited in a trust account. Of the $220,000,000 gross proceeds we will receive from this offering and the sale of the private investor shares and private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placement units (or $253,000,000 if the over-allotment option is exercised in full), an aggregate of $220,000,000 (or $10.00 per unit), or $253,000,000 (or $10.00 per unit) if the over-allotment option is exercised in full, will be placed in a segregated trust account located in the United States maintained by Continental Stock Transfer &amp; Trust Company acting as trustee pursuant to an agreement to be signed on the date of this prospectus. The funds in the trust account will be invested only in specified U.S. government treasury bills or in specified money market funds.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Except as set forth below, the proceeds held in the trust account will not be released until the earlier of: (1) the completion of our initial business combination within the required time period; (2) our redemption of 100% of the outstanding public shares if we have not completed an initial business combination in the required time period; or (3) our redemption of our public shares in connection with the approval of any amendment to the provisions of our amended and restated memorandum and articles of association governing our pre-initial business combination activity and related shareholders’ rights.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 The proceeds deposited in the trust account could become subject to the claims of our creditors, if any, which could have priority over the claims of our public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Unless and until we complete our initial business combination, no proceeds held in the trust account will be available for our use, except for permitted withdrawals. Based upon current interest rates, we expect the trust account to generate approximately $9,108,000 of interest annually (or $10,474,200 if the over-allotment option is exercised in full) (assuming an interest rate of 4.14% per year). Unless and until we complete our initial business combination, we may pay our expenses only from: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2"/>
        <w:gridCol w:w="101"/>
        <w:gridCol w:w="5819"/>
      </w:tblGrid>
      <w:tr>
        <w:trPr/>
        <w:tc>
          <w:tcPr>
            <w:tcW w:w="408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portion of the net proceeds of this offering not held in the trust account and cash held outside the trust account before the offering, which will be approximately $1,400,000 in working capital (or, if the underwriters exercise the over-allotment option in full, $1,507,000 in working capital) after the payment of approximately $1,957,006 in net offering expenses (or, if the underwriters exercise the over-allotment option in full, approximately $2,044,266 in net offering expenses), relating to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loans or additional investments from our sponsor, members of our management team or any of their affiliates or other third parties, although they are under no obligation to loan funds or invest in us and provided that any such loans will not have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387"/>
        <w:gridCol w:w="5818"/>
      </w:tblGrid>
      <w:tr>
        <w:trPr/>
        <w:tc>
          <w:tcPr>
            <w:tcW w:w="4387" w:type="dxa"/>
            <w:tcBorders/>
            <w:vAlign w:val="center"/>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 on the proceeds held in the trust account unless such proceeds are released to us upon completion of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Limited payments to insiders </w:t>
            </w:r>
          </w:p>
        </w:tc>
        <w:tc>
          <w:tcPr>
            <w:tcW w:w="6330" w:type="dxa"/>
            <w:tcBorders/>
          </w:tcPr>
          <w:p>
            <w:pPr>
              <w:pStyle w:val="TableContents"/>
              <w:bidi w:val="0"/>
              <w:spacing w:before="0" w:after="283"/>
              <w:jc w:val="left"/>
              <w:rPr/>
            </w:pPr>
            <w:r>
              <w:rPr/>
              <w:t xml:space="preserve">There will be no fees, reimbursements or other cash payments paid to our sponsor, officers and directors, or their affiliates prior to, or for any services they render in order to effectuate, the consummation of our initial business combination (regardless of the type of transaction that it is) other than the following payments, none of which will be made from that portion of the proceeds of this offering prior to the consummation of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2"/>
        <w:gridCol w:w="101"/>
        <w:gridCol w:w="5819"/>
      </w:tblGrid>
      <w:tr>
        <w:trPr/>
        <w:tc>
          <w:tcPr>
            <w:tcW w:w="408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to an affiliate of our sponsor, GigManagement, LLC, of a monthly fee of $30,000 for office space and administrative and support services until the consummation of an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to the company’s Chief Financial Officer of up to $15,000 per month for her services to the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2"/>
        <w:gridCol w:w="101"/>
        <w:gridCol w:w="5819"/>
      </w:tblGrid>
      <w:tr>
        <w:trPr/>
        <w:tc>
          <w:tcPr>
            <w:tcW w:w="408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reimbursement of out-of-pocket expenses incurred by our executive officers and directors and advisory fees to directors in connection with certain activities on our behalf, such as identifying and investigating possible business targets and business combinations as well as advisory fees to directors pertaining to board committee service and extraordinary administrative and analytical services;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for analyst and consultant services as approved by our board of directors;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2"/>
        <w:gridCol w:w="101"/>
        <w:gridCol w:w="5819"/>
      </w:tblGrid>
      <w:tr>
        <w:trPr/>
        <w:tc>
          <w:tcPr>
            <w:tcW w:w="408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upon consummation of our initial business combination of any loans which may be made by our sponsor, executive officers and directors, or their affiliates, to finance transaction costs in connection with an intended initial business combination. The terms of any such loans have not been determined nor have any written agreements been executed with respect thereto.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These payments may be funded using that portion of the net proceeds of this offering not held in the trust account, upon completion of the initial business combination, from any amounts remaining from the proceeds of the trust account released to us in connection therewith.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Our audit committee will review on a quarterly basis all payments that were made to our sponsor, executive officers or directors, or our or any of their affiliates. </w:t>
            </w:r>
          </w:p>
        </w:tc>
      </w:tr>
    </w:tbl>
    <w:p>
      <w:pPr>
        <w:pStyle w:val="TextBody"/>
        <w:bidi w:val="0"/>
        <w:jc w:val="left"/>
        <w:rPr>
          <w:rFonts w:ascii="Times New Roman" w:hAnsi="Times New Roman"/>
          <w:sz w:val="20"/>
          <w:bdr w:val="single" w:sz="8" w:space="1" w:color="000000"/>
        </w:rPr>
      </w:pPr>
      <w:r>
        <w:rPr>
          <w:rFonts w:ascii="Times New Roman" w:hAnsi="Times New Roman"/>
          <w:sz w:val="20"/>
          <w:bdr w:val="single" w:sz="8" w:space="1" w:color="000000"/>
        </w:rPr>
        <w:t xml:space="preserve">Our sponsor, officers and directors, or their affiliates, may have interests that differ from you in connection with the business combination, including the fact that they will receive payments for services rendered prior to, or in order to effectuate, the consummation of an initial business combination and accordingly, may have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conflict of interest in determining whether a particular target business is an appropriate business with which to effectuate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Audit Committee </w:t>
            </w:r>
          </w:p>
        </w:tc>
        <w:tc>
          <w:tcPr>
            <w:tcW w:w="6329" w:type="dxa"/>
            <w:tcBorders/>
          </w:tcPr>
          <w:p>
            <w:pPr>
              <w:pStyle w:val="TableContents"/>
              <w:bidi w:val="0"/>
              <w:spacing w:before="0" w:after="283"/>
              <w:jc w:val="left"/>
              <w:rPr/>
            </w:pPr>
            <w:r>
              <w:rPr/>
              <w:t>Prior to the effectiveness of this registration statement, we will have established and will maintain an audit committee (which will be composed entirely of independent directors) to, among other things, monitor compliance with the terms described above and the other terms relating to this offering. If any noncompliance is identified, then the audit committee will be charged with the responsibility to immediately take all action necessary to rectify such noncompliance or otherwise to cause compliance with the terms of this offering. For more information, see “</w:t>
            </w:r>
            <w:r>
              <w:rPr>
                <w:i/>
              </w:rPr>
              <w:t>Management—Committees of the Board of Directors—Audit Committee</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Election of directors; Voting rights </w:t>
            </w:r>
          </w:p>
        </w:tc>
        <w:tc>
          <w:tcPr>
            <w:tcW w:w="6330" w:type="dxa"/>
            <w:tcBorders/>
          </w:tcPr>
          <w:p>
            <w:pPr>
              <w:pStyle w:val="TableContents"/>
              <w:bidi w:val="0"/>
              <w:spacing w:before="0" w:after="283"/>
              <w:jc w:val="left"/>
              <w:rPr/>
            </w:pPr>
            <w:r>
              <w:rPr/>
              <w:t xml:space="preserve">Prior to the completion of our initial business combination, only holders of our founder shares and private investor shares will have the right to vote on the appointment of directors (by a majority of votes cast by the holders of the founder shares, private investor shares and private placement shares). Holders of our public shares will not be entitled to vote on the election of directors during such time. These provisions of our amended and restated memorandum and articles of association may only be amended by a special resolution passed by a majority of at least 90% (or, where such amendment is proposed in respect of the consummation of our initial business combination, two-thirds) of our ordinary shares voting at the applicable general meeting.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With respect to any other matter submitted to a vote of our shareholders, including any vote in connection with our initial business combination, except as required by law or the applicable rules of Nasdaq then in effect, holders of our founder shares, private investor shares and private placement shares and holders of our public shares will vote together as a single class, with each share entitling the holder to one vote.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Conditions to completing our initial business combination </w:t>
            </w:r>
          </w:p>
        </w:tc>
        <w:tc>
          <w:tcPr>
            <w:tcW w:w="6327" w:type="dxa"/>
            <w:tcBorders/>
          </w:tcPr>
          <w:p>
            <w:pPr>
              <w:pStyle w:val="TableContents"/>
              <w:bidi w:val="0"/>
              <w:spacing w:before="0" w:after="283"/>
              <w:jc w:val="left"/>
              <w:rPr/>
            </w:pPr>
            <w:r>
              <w:rPr/>
              <w:t xml:space="preserve">There is no limitation on our ability to raise funds privately or through loans in connection with our initial business combination. The Nasdaq rules require that our initial business combination must be with one or more operating businesses or assets with a fair market value equal to at least 80% of the net assets held in trust (less permitted withdrawals) at the time of our signing a definitive agreement in connection with our initial business combination. Such initial business combination must be approved by a majority of the company’s independent directors. We do not currently intend to purchase multiple businesses in unrelated industries in conjunction with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board of directors is not able to independently determine the fair market value of the acquisition target(s), we may obtain an opinion, in our sole discretion, from an independent investment banking firm that is a member of FINRA, or from another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independent entity. However, unless we consummate our initial business combination with an affiliated entity, our board of directors is not required to obtain an opinion from an independent investment banking firm or another independent entity that the price we are paying is fair to our shareholders from a financial point of view. We will complete our initial business combination only if the post-transaction company in which our public shareholders own shares will own or acquire 50% or more of the issued and outstanding voting securities of the acquisition target or otherwise acquire a controlling interest in the acquisition target sufficient for it not to be required to register as an investment company under the Investment Company Act. Even if the post-transaction company owns or acquires 50% or more of the voting securities of the acquisition target, our shareholders prior to our initial business combination may collectively own a minority interest in the post-transaction company, depending on valuations ascribed to the acquisition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of net assets test; provided that in the event that our initial business combination involves more than one target business, the 80% of net assets test will be based on the aggregate value of all of the acquisition targets.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Permitted purchases of public shares by our affiliates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If we seek shareholder approval of our initial business combination and we do not conduct redemptions in connection with our initial business combination pursuant to the tender offer rules, our sponsor, directors, executive officers, or any of their affiliates may purchase shares of our public shares in privately negotiated transactions or on the open market either prior to or following the completion of our initial business combination. Please see “</w:t>
            </w:r>
            <w:r>
              <w:rPr>
                <w:rFonts w:ascii="Times New Roman" w:hAnsi="Times New Roman"/>
                <w:i/>
                <w:sz w:val="20"/>
              </w:rPr>
              <w:t>Proposed Business—Initial Business</w:t>
            </w:r>
            <w:r>
              <w:rPr>
                <w:rFonts w:ascii="Times New Roman" w:hAnsi="Times New Roman"/>
                <w:sz w:val="20"/>
              </w:rPr>
              <w:t xml:space="preserve"> </w:t>
            </w:r>
            <w:r>
              <w:rPr>
                <w:rFonts w:ascii="Times New Roman" w:hAnsi="Times New Roman"/>
                <w:i/>
                <w:sz w:val="20"/>
              </w:rPr>
              <w:t>Combination</w:t>
            </w:r>
            <w:r>
              <w:rPr>
                <w:rFonts w:ascii="Times New Roman" w:hAnsi="Times New Roman"/>
                <w:sz w:val="20"/>
              </w:rPr>
              <w:t xml:space="preserve">” for a description of how such persons will determine from which shareholders to seek to acquire shares. There is no limit on the number of shares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sponsor, directors, executive officers,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in such transactions. If any of our sponsor, directors, executive officers, or any of their affiliates engages in such transactions, they will not make any such purchases when they are in possession of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material non-public information not disclosed to the seller or if such purchases are prohibited by Regulation M under the Securities Exchange Act of 1934, as amended (the “Exchange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Subsequent to the consummation of this offering, we will adopt an insider trading policy which will require insiders (hereinafter in this paragraph, as defined in the Exchange Act) to (1) refrain from purchasing securities during certain blackout periods and when they are in possession of any material non-public information and (2) clear all trades with our legal counsel prior to execution. We cannot currently determine whether any of our insiders will make such purchases pursuant to a Rule 10b5-1 plan, as that would be dependent upon several factors, including but not limited to, the timing and size of any such purchase. Depending on the circumstances, any of our insiders may decide to make purchases of our public shares pursuant to a Rule 10b5-1 plan or may determine that acting pursuant to such a plan is not required under the Exchange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do not currently anticipate that purchases of our public shares by any of our sponsor, directors, executive officers or any of their affiliates,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None of our sponsor, directors, officers or any of their affiliates will purchase public shares if such purchases would violate Section 9(a)(2) or Rule 10b-5 of the Exchange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 rights for public shareholders upon completion of our initial business combination </w:t>
            </w:r>
          </w:p>
        </w:tc>
        <w:tc>
          <w:tcPr>
            <w:tcW w:w="6327" w:type="dxa"/>
            <w:tcBorders/>
          </w:tcPr>
          <w:p>
            <w:pPr>
              <w:pStyle w:val="TableContents"/>
              <w:bidi w:val="0"/>
              <w:spacing w:before="0" w:after="283"/>
              <w:jc w:val="left"/>
              <w:rPr/>
            </w:pPr>
            <w:r>
              <w:rPr/>
              <w:t xml:space="preserve">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(which interest shall be net of permitted withdrawals), divided by the number of then issued and outstanding public shares, subject to the limitations described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amount in the trust account is initially anticipated to be $10.00 per public share. Our initial shareholders have entered into agreements with us, pursuant to which they agree to waive their redemption rights with respect to their founder shares, private investor shares and any Class A ordinary shares issuable upon conversion thereof in connection with the consummation of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non-managing investors are not granted any shareholder or other rights in addition to those afforded to our other public shareholders, and will only be issued the private investor shares and private placement units of our company. The non-managing investors are not required to (i) hold any public units, public shares or public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Manner of conducting redemptions </w:t>
            </w:r>
          </w:p>
        </w:tc>
        <w:tc>
          <w:tcPr>
            <w:tcW w:w="6328" w:type="dxa"/>
            <w:tcBorders/>
          </w:tcPr>
          <w:p>
            <w:pPr>
              <w:pStyle w:val="TableContents"/>
              <w:bidi w:val="0"/>
              <w:spacing w:before="0" w:after="283"/>
              <w:jc w:val="left"/>
              <w:rPr/>
            </w:pPr>
            <w:r>
              <w:rPr/>
              <w:t xml:space="preserve">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rule or we choose to conduct redemptions pursuant to the tender offer rules of the SEC for business or other reasons.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If a shareholder vote is not required and we do not decide to hold a shareholder vote for business or other reasons, we will, pursuant to our amended and restated memorandum and articles of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2"/>
        <w:gridCol w:w="101"/>
        <w:gridCol w:w="5820"/>
      </w:tblGrid>
      <w:tr>
        <w:trPr/>
        <w:tc>
          <w:tcPr>
            <w:tcW w:w="4082"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the redemptions pursuant to Rule 13e-4 and Regulation 14E of the Exchange Act, which regulate issuer tender offers;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Upon the public announcement of our initial business combination, if we elect to conduct redemptions pursuant to the tender offer rules, we and our sponsor, directors and executive officers will terminate any plan established in accordance with Rule 10b5-1 under the Exchange Act to purchase public shares on the open market, in order to comply with Rule 14e-5 under the Exchange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however, shareholder approval of the transaction is required by applicable law or stock exchange listing requirement, or we decide to obtain shareholder approval for business or other reasons, we will: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2"/>
        <w:gridCol w:w="101"/>
        <w:gridCol w:w="5820"/>
      </w:tblGrid>
      <w:tr>
        <w:trPr/>
        <w:tc>
          <w:tcPr>
            <w:tcW w:w="4082"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the redemptions in conjunction with a proxy solicitation pursuant to Regulation 14A of the Exchange Act, which regulates the solicitation of proxies, and not pursuant to the tender offer rules;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1"/>
        <w:gridCol w:w="204"/>
        <w:gridCol w:w="102"/>
        <w:gridCol w:w="5818"/>
      </w:tblGrid>
      <w:tr>
        <w:trPr/>
        <w:tc>
          <w:tcPr>
            <w:tcW w:w="408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proxy materials with the SEC.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expect that a final proxy statement would be mailed to public shareholders at least 20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listings or Exchange Act registration.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seek shareholder approval, we will complete our initial business combination only if a majority of the ordinary shares, represented in person or by proxy and entitled to vote thereon, voted at a shareholder meeting are voted in favor of the business combination. In such case, pursuant to the terms of agreements entered into with us, our initial shareholders will agree (and any of their permitted transferees will agree) to vote their founder shares, private investor shares and private placement shares held by them in favor of our initial business combination, but not any public shares that the non-managing investors may buy in this offering or after this offering on the open market. As a result, in addition to the founder shares, private investor shares and private placement shares that our insiders and the non-managing investors have purchased or committed to purchase (as described above), we would need approximately 6,129,258 public shares, or approximately 27.9% of the 22,000,000 public shares sold in this offering, to be voted in favor of a transaction (assuming all issued and outstanding shares are voted, the over-allotment option is not exercised and 1,023,943 founder shares and 386,681 private investor shares have been forfeited) in order to have such initial business combination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Assuming that only the holders of one-third of our issued and outstanding ordinary shares, representing a quorum under our amended and restated memorandum and articles of association, vote their shares, we will not need any public shares in addition to our founder shares held by our sponsor to be voted in favor of an initial business combination in order to approve an initial business combination. These voting thresholds, and the voting agreements of our initial shareholders may make it more likely that we will consummate our initial business combination. Each public shareholder may elect to redeem their public shares without voting, and if they do vote, irrespective of whether they vote for or against the proposed transaction. Our amended and restated memorandum and articles of association will require that at least five clear days’ notice will be given of any such shareholder meeting.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Redemptions of our public shares may also be subject to a cash requirement pursuant to an agreement relating to our initial business combination. For example, the proposed business combination may require: (1) cash consideration to be paid to the acquisition target or its owners; (2) cash to be transferred to the acquisition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would not complete the business combination or redeem any public shares, and all public shares submitted for redemption would be returned to the holders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Tendering share certificates in connection with a tender offer or redemption rights </w:t>
            </w:r>
          </w:p>
        </w:tc>
        <w:tc>
          <w:tcPr>
            <w:tcW w:w="6328" w:type="dxa"/>
            <w:tcBorders/>
          </w:tcPr>
          <w:p>
            <w:pPr>
              <w:pStyle w:val="TableContents"/>
              <w:bidi w:val="0"/>
              <w:spacing w:before="0" w:after="283"/>
              <w:jc w:val="left"/>
              <w:rPr/>
            </w:pPr>
            <w:r>
              <w:rPr/>
              <w:t xml:space="preserve">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(2)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Limitation on redemption rights of shareholders holding more than 15% of the public shares sold in this offering if we hold a shareholder vote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redemption rights, if we seek shareholder approval of our initial business combination and we do not conduct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public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 rights in connection with proposed amendments to our charter documents </w:t>
            </w:r>
          </w:p>
        </w:tc>
        <w:tc>
          <w:tcPr>
            <w:tcW w:w="6328" w:type="dxa"/>
            <w:tcBorders/>
          </w:tcPr>
          <w:p>
            <w:pPr>
              <w:pStyle w:val="TableContents"/>
              <w:bidi w:val="0"/>
              <w:spacing w:before="0" w:after="283"/>
              <w:jc w:val="left"/>
              <w:rPr/>
            </w:pPr>
            <w:r>
              <w:rPr/>
              <w:t xml:space="preserve">Our amended and restated memorandum and articles of association will provide that amendments to any its provisions relating to our pre-initial business combination activity and related shareholder rights, as well as any other provision of the amended and restated memorandum and articles of association, may be amended if approved by holders of a majority of our issued and outstanding ordinary shares, which attend and vote at a shareholder meeting of the company, subject to applicable stock exchange rules. If an amendment to any such provision is approved by the requisite shareholder vote, then the corresponding provisions of the trust agreement governing the release of funds from our trust account may be amended.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After the completion of this offering, and prior to the consummation of our initial business combination, we may not issue any additional shares that would entitle the holders thereof to receive funds from the trust account or vote on an initial business combination, on any pre-business combination activity or on any amendment to the provisions of our amended and restated memorandum and articles of association relating to our pre-initial business combination activity and related shareholders’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sponsor, executive officers and directors (and any of their permitted transferees), who will beneficially own approximately 17.8%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 our outstanding ordinary shares upon the closing of this offering (assuming they do not purchase public units in this offering and that the underwriters do not exercise their over-allotment option), may participate in any vote to amend our amended and restated memorandum and articles of association and will have the discretion to vote in any manner they choose; </w:t>
            </w:r>
            <w:r>
              <w:rPr>
                <w:rFonts w:ascii="Times New Roman" w:hAnsi="Times New Roman"/>
                <w:i/>
                <w:sz w:val="20"/>
              </w:rPr>
              <w:t>provided, that</w:t>
            </w:r>
            <w:r>
              <w:rPr>
                <w:rFonts w:ascii="Times New Roman" w:hAnsi="Times New Roman"/>
                <w:sz w:val="20"/>
              </w:rPr>
              <w:t xml:space="preserve">, each of them has agreed (and their permitted transferees will agree), pursuant to a written 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Our initial shareholders have entered into agreements with us pursuant to which they will agree to waive their redemption rights with respect to their founder shares, private placement shares and any Class A ordinary shares issuable upon conversion thereof in connection with any amendment to the provisions of our amended and restated memorandum and articles of association relating to our pre-initial business combination activity and related shareholders’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Release of funds in trust account on closing of our initial business combination </w:t>
            </w:r>
          </w:p>
        </w:tc>
        <w:tc>
          <w:tcPr>
            <w:tcW w:w="6328" w:type="dxa"/>
            <w:tcBorders/>
          </w:tcPr>
          <w:p>
            <w:pPr>
              <w:pStyle w:val="TableContents"/>
              <w:bidi w:val="0"/>
              <w:spacing w:before="0" w:after="283"/>
              <w:jc w:val="left"/>
              <w:rPr/>
            </w:pPr>
            <w:r>
              <w:rPr/>
              <w:t>On the completion of our initial business combination, the funds held in the trust account will be used to pay amounts due to any public shareholders who exercise their redemption rights as described above under “</w:t>
            </w:r>
            <w:r>
              <w:rPr>
                <w:i/>
              </w:rPr>
              <w:t>Redemption rights for public shareholders upon completion of our initial business combination</w:t>
            </w:r>
            <w:r>
              <w:rPr/>
              <w:t xml:space="preserve">,” to pay all or a portion of the consideration payable to the acquisition target or owners of the acquisition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 of public shares and distribution and liquidation if no initial business combination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only 24 months from the closing of this offering to complete our initial business combination. If we anticipate that we may be unable to consummate our initial business combination within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24-month period, we may seek shareholder approval to amend our amended and restated memorandum and articles of association to extend the date by which we must consummate our initial business combination. While we do not currently intend to seek such shareholder approval, we may elect to do so in the future. There is no limit on the number of extensions that we may seek; however, we do not expect to extend the completion window beyond 36 months from the closing of this offering.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our insiders’ investment in our founder shares and our private placement units, including the component securities thereof, will be worthless. If we are unable to complete our initial business combination within the completion window,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minimum cash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Our initial shareholders have entered into agreements with us, pursuant to which they have waived their rights to liquidating distributions from the trust account with respect to their founder shares, private investor shares and private placement shares if we fail to complete our initial business combination within 24 months from the closing of this offering. However, if our initial shareholders or management team acquire public shares in or after this offering, they will be entitled to liquidating distributions from the trust account with respect to such public shares if we fail to complete our initial business combination within the 24-month time frame.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Conflicts of Interest </w:t>
            </w:r>
          </w:p>
        </w:tc>
        <w:tc>
          <w:tcPr>
            <w:tcW w:w="6328" w:type="dxa"/>
            <w:tcBorders/>
          </w:tcPr>
          <w:p>
            <w:pPr>
              <w:pStyle w:val="TableContents"/>
              <w:bidi w:val="0"/>
              <w:spacing w:before="0" w:after="283"/>
              <w:jc w:val="left"/>
              <w:rPr/>
            </w:pPr>
            <w:r>
              <w:rPr/>
              <w:t xml:space="preserve">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to the fullest extent permitted by law: (i) no individual serving as a director or an officer, among other persons,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(a) may be a corporate opportunity for any director or officer, on the one hand, and us, on the other or (b) the presentation of which would breach an existing legal obligation of a director or officer to any other entity. We do not believe, however, that the fiduciary duties or contractual obligations of our officers or directors will materially affect our ability to complete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sponsor, officers or directors may sponsor or form other special purpose acquisition companies similar to ours or may pursue other business or investment ventures during the period in which we are seeking an initial business combination. As a result, our sponsor, officers and directors could have conflicts of interest in determining whether to present business combination opportunities to us or to any other special purpose acquisition company with which they may become involved. Any such companies, businesses or investments may present additional conflicts of interest in pursuing an initial business combination target. As the number of special purpose acquisition companies increases, the competition for available targets with attractive business models and strong financial presence intensifies, which could cause targets companies to demand improved acquisition terms. This could affect our ability to find and consummate an initial business combination or negotiate favorable to us provisions. </w:t>
            </w:r>
            <w:r>
              <w:rPr>
                <w:rFonts w:ascii="Times New Roman" w:hAnsi="Times New Roman"/>
                <w:b/>
                <w:sz w:val="20"/>
              </w:rPr>
              <w:t>See “</w:t>
            </w:r>
            <w:r>
              <w:rPr>
                <w:rFonts w:ascii="Times New Roman" w:hAnsi="Times New Roman"/>
                <w:b/>
                <w:i/>
                <w:sz w:val="20"/>
              </w:rPr>
              <w:t>Risk Factors — We may engage in our initial business combination with one or more target businesses that have</w:t>
            </w:r>
            <w:r>
              <w:rPr>
                <w:rFonts w:ascii="Times New Roman" w:hAnsi="Times New Roman"/>
                <w:sz w:val="20"/>
              </w:rPr>
              <w:t xml:space="preserve"> </w:t>
            </w:r>
            <w:r>
              <w:rPr>
                <w:rFonts w:ascii="Times New Roman" w:hAnsi="Times New Roman"/>
                <w:b/>
                <w:i/>
                <w:sz w:val="20"/>
              </w:rPr>
              <w:t>relationships with entities that may be affiliated with our sponsor, executive officers or directors, which may raise potential conflicts of interest.</w:t>
            </w:r>
            <w:r>
              <w:rPr>
                <w:rFonts w:ascii="Times New Roman" w:hAnsi="Times New Roman"/>
                <w:sz w:val="20"/>
              </w:rPr>
              <w:t xml:space="preserve">” </w:t>
            </w:r>
            <w:r>
              <w:rPr>
                <w:rFonts w:ascii="Times New Roman" w:hAnsi="Times New Roman"/>
                <w:b/>
                <w:sz w:val="20"/>
              </w:rPr>
              <w:t xml:space="preserve">and “— </w:t>
            </w:r>
            <w:r>
              <w:rPr>
                <w:rFonts w:ascii="Times New Roman" w:hAnsi="Times New Roman"/>
                <w:b/>
                <w:i/>
                <w:sz w:val="20"/>
              </w:rPr>
              <w:t>As the number of special purpose acquisition companies evaluating targets increases, and other issued SPAC entities may come to market with superior terms for the acquisition</w:t>
            </w:r>
            <w:r>
              <w:rPr>
                <w:rFonts w:ascii="Times New Roman" w:hAnsi="Times New Roman"/>
                <w:sz w:val="20"/>
              </w:rPr>
              <w:t xml:space="preserve"> </w:t>
            </w:r>
            <w:r>
              <w:rPr>
                <w:rFonts w:ascii="Times New Roman" w:hAnsi="Times New Roman"/>
                <w:b/>
                <w:i/>
                <w:sz w:val="20"/>
              </w:rPr>
              <w:t>targets,</w:t>
            </w:r>
            <w:r>
              <w:rPr>
                <w:rFonts w:ascii="Times New Roman" w:hAnsi="Times New Roman"/>
                <w:sz w:val="20"/>
              </w:rPr>
              <w:t xml:space="preserve"> </w:t>
            </w:r>
            <w:r>
              <w:rPr>
                <w:rFonts w:ascii="Times New Roman" w:hAnsi="Times New Roman"/>
                <w:b/>
                <w:i/>
                <w:sz w:val="20"/>
              </w:rPr>
              <w:t>attractive targets may become scarcer and there may be more</w:t>
            </w:r>
            <w:r>
              <w:rPr>
                <w:rFonts w:ascii="Times New Roman" w:hAnsi="Times New Roman"/>
                <w:sz w:val="20"/>
              </w:rPr>
              <w:t xml:space="preserve"> </w:t>
            </w:r>
            <w:r>
              <w:rPr>
                <w:rFonts w:ascii="Times New Roman" w:hAnsi="Times New Roman"/>
                <w:b/>
                <w:i/>
                <w:sz w:val="20"/>
              </w:rPr>
              <w:t>competition for attractive targets. This could increase the cost of our</w:t>
            </w:r>
            <w:r>
              <w:rPr>
                <w:rFonts w:ascii="Times New Roman" w:hAnsi="Times New Roman"/>
                <w:sz w:val="20"/>
              </w:rPr>
              <w:t xml:space="preserve"> </w:t>
            </w:r>
            <w:r>
              <w:rPr>
                <w:rFonts w:ascii="Times New Roman" w:hAnsi="Times New Roman"/>
                <w:b/>
                <w:i/>
                <w:sz w:val="20"/>
              </w:rPr>
              <w:t>initial business combination and could even result in our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b/>
                <w:i/>
                <w:sz w:val="20"/>
              </w:rPr>
              <w:t>inability to</w:t>
            </w:r>
            <w:r>
              <w:rPr>
                <w:rFonts w:ascii="Times New Roman" w:hAnsi="Times New Roman"/>
                <w:sz w:val="20"/>
              </w:rPr>
              <w:t xml:space="preserve"> </w:t>
            </w:r>
            <w:r>
              <w:rPr>
                <w:rFonts w:ascii="Times New Roman" w:hAnsi="Times New Roman"/>
                <w:b/>
                <w:i/>
                <w:sz w:val="20"/>
              </w:rPr>
              <w:t>find a target or to consummate an initial business combination.”</w:t>
            </w:r>
            <w:r>
              <w:rPr>
                <w:rFonts w:ascii="Times New Roman" w:hAnsi="Times New Roman"/>
                <w:sz w:val="20"/>
              </w:rPr>
              <w:t xml:space="preserve"> However, we do not believe that any such potential conflicts would materially affect our ability to complete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Our executive officers and our directors may have interests that differ from you in connection with the business combination, including the fact that they may lose their entire investment in us if our initial business combination is not completed, except to the extent they receive liquidating distributions from assets outside the trust account, and accordingly, may have a conflict of interest in determining whether a particular target business is an appropriate business with which to effectuate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sponsor, which is owned by two of our directors, Dr. Raluca Dinu and Dr. Avi S. Katz, and four of our other directors, James Greene, Luis Machuca, Bryan Timm, and Raanan Horowitz, will directly or indirectly own our securities following this offering, and accordingly, they may have a conflict of interest in determining whether a particular target business is an appropriate business with which to effectuate our initial business combination, including the fact that they may lose their entire investment in us if our initial business combination is not completed, except to the extent they receive liquidating distributions from assets outside the trust account or are entitled to receive liquidating distributions from the trust account in the event they choose to purchase public shares. Upon the closing of this offering, assuming the underwriters’ over-allotment option is not exercised, our sponsor and the four directors will have invested in us an aggregate of $452,000.48, comprised of $2,626 paid by the sponsor for 6,058,167 founder shares (after giving effect to the sales of shares to the four directors and Lynrock) (or $0.000434 per share), $9,244 paid by the four directors for the aggregate of 375,397 founder shares (or $0.02462 per share) and the $440,130.48 purchase price for the private placement units (or $9.7374 per unit). In addition, prior to the making of this offering, the sponsor transferred 5,000 founder shares to Christine Marshall, our Chief Financial Officer, solely in consideration of future services to us. The 5,000 founder shares granted to Ms. Marshall are subject to forfeiture back to the sponsor in the event she resigns or is removed for cause from her position with us prior to consummation of our initial business combination. Following this transfer and sale of shares, the sponsor will hold 6,053,167 founder shares. Accordingly, our management team may be more willing to pursue a business combination with a riskier or less-established target business than would be the case if our insiders had paid the same per share price for the founder shares as our public shareholders paid for their public shares in this offering, as our sponsor and members of our management team would likely not receive any financial benefit unless we consummated such business combination. These interests of our sponsor, executive officers and directors may affect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consideration paid, terms, conditions and timing relating to a business combination in a way that conflicts with the interests of our public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Additionally, the personal and financial interests of our directors and executive officers may influence their motivation in timely identifying and pursuing an initial business combination or completing our initial business combination. In the event we do not consummate a business combination within the completion window, and unless the time for us to consummate a business combination has been extended, the founder shares, private investor shares and the private placement units will expire worthless, which could create an incentive to our officers and directors to complete a transaction even if the company selects an acquisition target that subsequently declines in value and is unprofitable for public investors. The different timelines of competing business combinations could cause our directors and executive officers to prioritize a different business combination over finding a suitable acquisition target for our business combination. Consequently, our directors’ and executive officers’ discretion in identifying and selecting a suitable target business may result in a conflict of interest when determining whether the terms, conditions and timing of a particular business combination are appropriate and in our shareholders’ best interest, which could negatively impact the timing for a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In addition to the above, our officers and directors are not required to commit any specified amount of time to our affairs, and, accordingly, may have conflicts of interest in allocating management time among various business activities, including selecting a business combination target and monitoring the related due diligence. </w:t>
            </w:r>
            <w:r>
              <w:rPr>
                <w:b/>
              </w:rPr>
              <w:t>See “</w:t>
            </w:r>
            <w:r>
              <w:rPr>
                <w:b/>
                <w:i/>
              </w:rPr>
              <w:t>Risk Factors —</w:t>
            </w:r>
            <w:r>
              <w:rPr/>
              <w:t xml:space="preserve"> </w:t>
            </w:r>
            <w:r>
              <w:rPr>
                <w:b/>
                <w:i/>
              </w:rPr>
              <w:t>Our officers and directors will allocate their time to other</w:t>
            </w:r>
            <w:r>
              <w:rPr/>
              <w:t xml:space="preserve"> </w:t>
            </w:r>
            <w:r>
              <w:rPr>
                <w:b/>
                <w:i/>
              </w:rPr>
              <w:t>businesses thereby causing conflicts of interest in their determination as to how much time to devote to our affairs. This conflict of interest could have a negative impact on our ability to</w:t>
            </w:r>
            <w:r>
              <w:rPr/>
              <w:t xml:space="preserve"> </w:t>
            </w:r>
            <w:r>
              <w:rPr>
                <w:b/>
                <w:i/>
              </w:rPr>
              <w:t>complete our initial business combination.</w:t>
            </w:r>
            <w:r>
              <w:rPr/>
              <w:t xml:space="preserve">” </w:t>
            </w:r>
          </w:p>
        </w:tc>
      </w:tr>
    </w:tbl>
    <w:p>
      <w:pPr>
        <w:pStyle w:val="TextBody"/>
        <w:bidi w:val="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our sponsor and executive officers and directors have agreed to waive their redemption rights with respect to any founder shares, private placement units and any public shares held by them in connection with the consummation of our initial business combination. Further, our sponsor and executive officers and directors have agreed to waive their redemption rights with respect to any founder shares and private placement units held by them if we are unable to complete our initial business combination within 24 months from the closing of this offering or by such earlier liquidation date as our board of directors may approve. If we do not complete our initial business combination within the completion window, the proceeds of the sale of the private placement units held in the trust account will be used to fund the redemption of our public shares, and the rights may expire worthless.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certain limited exceptions, the founder shares will not be transferable, assignable or salable by our sponsor or its permitted transferees until The earlier of (A) six months after the date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With certain limited exceptions, the private placement units (including the securities comprising such units) will not be transferable, assignable or salable by our sponsor or its permitted transferees until 30 days after the completion of our initial business combination. Since our sponsor and executive officers and directors may directly or indirectly own ordinary shares and rights following this offering, our executive officers and directors may have a conflict of interest in determining whether a particular target business is an appropriate business with which to effectuate our initial business combination because of their financial interest in completing an initial business combination within the completion window or by such earlier liquidation date as our board of directors may approve.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Our insiders, officers, advisors and directors, or any of their respective affiliates, will be reimbursed for any out-of-pocket expenses incurred in connection with activities on our behalf such as identifying and investigation potential target businesses, performing business due diligence on suitable target businesses and business combinations. There is no limit on the amount of out-of-pocket expenses reimbursable by us provided, however, to the extent such expenses exceed the available proceeds not deposited in the trust account, such expenses would not be reimbursed by us unless we consummate an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In the event our sponsor or members of our management team provide loans to us to finance transaction costs in connection with an initial business combination, such persons may have a conflict of interest in determining whether a particular target business is an appropriate business with which to effectuate our initial business combination as such loans may not be repaid unless we consummate such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Similarly, if we agree to pay our sponsor or a member of our management team a finder’s fee, advisory fee, consulting fee or success fee in order to effectuate the completion of our initial business combination, such persons may have a conflict of interest in determining whether a particular target business is an appropriate business with which to effectuate our initial business combination as any such fee may not be paid unless we consummate such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not prohibited from pursuing an initial business combination with a company that is affiliated with our sponsor, officers or directors, or completing the business combination through a joint venture or other form of shared ownership with our sponsor, officers or directors; accordingly, such affiliated person(s) may have a conflict of interest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determining whether a particular target business is an appropriate business with which to effectuate our initial business combination as such affiliated person(s) would have interests different from our public shareholders and would likely not receive any financial benefit unless we consummated such business combination. In the event we seek to complete our initial business combination with a target business that is affiliated (as defined in our amended and restated memorandum and articles of association) with our sponsor (including its members), officers or directors, we, or a committee of independent directors, will obtain an opinion from an independent investment banking firm or another independent entity that commonly renders valuation opinions, stating that the consideration to be paid by us in such an initial business combination is fair to our company from a financial point of view. We are not required to obtain such an opinion in any other context.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For more information, see the section entitled “Management—Conflicts of Interest.”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Indemnity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sponsor has agreed that it will be liable to us, if and to the extent any claims by any third party for services rendered or products sold to us, or a prospective target business with which we have entered into an acquisition agreement, reduce the amounts in the trust account to below $10.00 per share (whether or not the underwriter’s over-allotment option is exercised in full), except as to any claims by a third party who executed a waiver of any and all rights to seek access to the trust account and except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 We have not independently verified whether our sponsor has sufficient funds to satisfy their indemnity obligations. We believe, however, the likelihood of our sponsor having to indemnify the trust account is limited because we will endeavor to have all third-party vendors and prospective target businesses as well as other entities execute agreements with us waiving any right, title, interest or claim of any kind in or to monies held in the trust account.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929696_2"/>
      <w:bookmarkEnd w:id="4"/>
      <w:r>
        <w:rPr>
          <w:rFonts w:ascii="Times New Roman" w:hAnsi="Times New Roman"/>
          <w:b/>
          <w:sz w:val="20"/>
          <w:bdr w:val="single" w:sz="8" w:space="1" w:color="000000"/>
        </w:rPr>
        <w:t xml:space="preserve">SUMMARY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summarizes the relevant financial data for our business and should be read with our financial statements, which are included in this prospectus. We have not had any significant operations to date, so only balance sheet data is presented.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4077"/>
        <w:gridCol w:w="383"/>
        <w:gridCol w:w="150"/>
        <w:gridCol w:w="873"/>
        <w:gridCol w:w="60"/>
        <w:gridCol w:w="383"/>
        <w:gridCol w:w="150"/>
        <w:gridCol w:w="1324"/>
        <w:gridCol w:w="355"/>
      </w:tblGrid>
      <w:tr>
        <w:trPr/>
        <w:tc>
          <w:tcPr>
            <w:tcW w:w="4077"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077"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9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21, 2025</w:t>
            </w:r>
          </w:p>
        </w:tc>
        <w:tc>
          <w:tcPr>
            <w:tcW w:w="355" w:type="dxa"/>
            <w:tcBorders/>
            <w:vAlign w:val="bottom"/>
          </w:tcPr>
          <w:p>
            <w:pPr>
              <w:pStyle w:val="TableContents"/>
              <w:bidi w:val="0"/>
              <w:spacing w:before="0" w:after="283"/>
              <w:jc w:val="left"/>
              <w:rPr/>
            </w:pPr>
            <w:r>
              <w:rPr/>
              <w:t> </w:t>
            </w:r>
          </w:p>
        </w:tc>
      </w:tr>
      <w:tr>
        <w:trPr/>
        <w:tc>
          <w:tcPr>
            <w:tcW w:w="4077"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355" w:type="dxa"/>
            <w:tcBorders/>
            <w:vAlign w:val="bottom"/>
          </w:tcPr>
          <w:p>
            <w:pPr>
              <w:pStyle w:val="TableContents"/>
              <w:bidi w:val="0"/>
              <w:spacing w:before="0" w:after="283"/>
              <w:jc w:val="left"/>
              <w:rPr/>
            </w:pPr>
            <w:r>
              <w:rPr/>
              <w:t>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Sheet Data:</w:t>
            </w:r>
          </w:p>
        </w:tc>
        <w:tc>
          <w:tcPr>
            <w:tcW w:w="38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w:t>
            </w:r>
          </w:p>
        </w:tc>
        <w:tc>
          <w:tcPr>
            <w:tcW w:w="38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873" w:type="dxa"/>
            <w:tcBorders/>
            <w:vAlign w:val="bottom"/>
          </w:tcPr>
          <w:p>
            <w:pPr>
              <w:pStyle w:val="TableContents"/>
              <w:bidi w:val="0"/>
              <w:spacing w:before="0" w:after="283"/>
              <w:jc w:val="right"/>
              <w:rPr/>
            </w:pPr>
            <w:r>
              <w:rPr/>
              <w:t>5,668</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1,066,468</w:t>
            </w:r>
          </w:p>
        </w:tc>
        <w:tc>
          <w:tcPr>
            <w:tcW w:w="355" w:type="dxa"/>
            <w:tcBorders/>
            <w:vAlign w:val="bottom"/>
          </w:tcPr>
          <w:p>
            <w:pPr>
              <w:pStyle w:val="TableContents"/>
              <w:bidi w:val="0"/>
              <w:spacing w:before="0" w:after="283"/>
              <w:jc w:val="left"/>
              <w:rPr/>
            </w:pPr>
            <w:r>
              <w:rPr/>
              <w:t>(1)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125,000</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221,525,000</w:t>
            </w:r>
          </w:p>
        </w:tc>
        <w:tc>
          <w:tcPr>
            <w:tcW w:w="355" w:type="dxa"/>
            <w:tcBorders/>
            <w:shd w:fill="CCEEFF" w:val="clear"/>
            <w:vAlign w:val="bottom"/>
          </w:tcPr>
          <w:p>
            <w:pPr>
              <w:pStyle w:val="TableContents"/>
              <w:bidi w:val="0"/>
              <w:spacing w:before="0" w:after="283"/>
              <w:jc w:val="left"/>
              <w:rPr/>
            </w:pPr>
            <w:r>
              <w:rPr/>
              <w:t>(2) </w:t>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873" w:type="dxa"/>
            <w:tcBorders/>
            <w:vAlign w:val="bottom"/>
          </w:tcPr>
          <w:p>
            <w:pPr>
              <w:pStyle w:val="TableContents"/>
              <w:bidi w:val="0"/>
              <w:spacing w:before="0" w:after="283"/>
              <w:jc w:val="right"/>
              <w:rPr/>
            </w:pPr>
            <w:r>
              <w:rPr/>
              <w:t>119,332</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458,532</w:t>
            </w:r>
          </w:p>
        </w:tc>
        <w:tc>
          <w:tcPr>
            <w:tcW w:w="355" w:type="dxa"/>
            <w:tcBorders/>
            <w:vAlign w:val="bottom"/>
          </w:tcPr>
          <w:p>
            <w:pPr>
              <w:pStyle w:val="TableContents"/>
              <w:bidi w:val="0"/>
              <w:spacing w:before="0" w:after="283"/>
              <w:jc w:val="left"/>
              <w:rPr/>
            </w:pPr>
            <w:r>
              <w:rPr/>
              <w:t>(3) </w:t>
            </w:r>
          </w:p>
        </w:tc>
      </w:tr>
      <w:tr>
        <w:trPr/>
        <w:tc>
          <w:tcPr>
            <w:tcW w:w="4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Value of Class A ordinary shares subject to redemption</w:t>
            </w:r>
          </w:p>
        </w:tc>
        <w:tc>
          <w:tcPr>
            <w:tcW w:w="38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220,000,000</w:t>
            </w:r>
          </w:p>
        </w:tc>
        <w:tc>
          <w:tcPr>
            <w:tcW w:w="355" w:type="dxa"/>
            <w:tcBorders/>
            <w:shd w:fill="CCEEFF" w:val="clear"/>
            <w:vAlign w:val="bottom"/>
          </w:tcPr>
          <w:p>
            <w:pPr>
              <w:pStyle w:val="TableContents"/>
              <w:bidi w:val="0"/>
              <w:spacing w:before="0" w:after="283"/>
              <w:jc w:val="left"/>
              <w:rPr/>
            </w:pPr>
            <w:r>
              <w:rPr/>
              <w:t>(4) </w:t>
            </w:r>
          </w:p>
        </w:tc>
      </w:tr>
      <w:tr>
        <w:trPr/>
        <w:tc>
          <w:tcPr>
            <w:tcW w:w="4077"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38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873" w:type="dxa"/>
            <w:tcBorders/>
            <w:vAlign w:val="bottom"/>
          </w:tcPr>
          <w:p>
            <w:pPr>
              <w:pStyle w:val="TableContents"/>
              <w:bidi w:val="0"/>
              <w:spacing w:before="0" w:after="283"/>
              <w:jc w:val="right"/>
              <w:rPr/>
            </w:pPr>
            <w:r>
              <w:rPr/>
              <w:t>5,668</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1,066,468</w:t>
            </w:r>
          </w:p>
        </w:tc>
        <w:tc>
          <w:tcPr>
            <w:tcW w:w="355" w:type="dxa"/>
            <w:tcBorders/>
            <w:vAlign w:val="bottom"/>
          </w:tcPr>
          <w:p>
            <w:pPr>
              <w:pStyle w:val="TableContents"/>
              <w:bidi w:val="0"/>
              <w:spacing w:before="0" w:after="283"/>
              <w:jc w:val="left"/>
              <w:rPr/>
            </w:pPr>
            <w:r>
              <w:rPr/>
              <w:t>(5)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 adjusted” calculation equals the actual working capital of $5,668, plus $1,400,000 held outside the trust account less $339,200 for the overallotment liability.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 adjusted” calculation equals the actual total assets of $125,000 plus $220,000,000 cash held in trust from the proceeds of this offering and the sale of the private investor shares and the private placement units, plus the $1,400,000 held outside the trust account.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 adjusted” calculation equals the “as adjusted” total liabilities, plus $339,200 for the overallotment liability. The $339,200 over-allotment liability represents the value of the 45-day over-allotment option granted to the underwriters and non-managing investors to purchase up to 3,300,000 and 19,950 units, respectively, at the initial offering price, less the underwriting commissions. This over-allotment option is considered a freestanding financial instrument, indexed on the contingently redeemable shares, and is accounted for as a liability in accordance with Accounting Standards Codification 480, Distinguishing Liabilities from Equity.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Equals 22,000,000 public shares at $10 per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22,000,000 public shares purchased in the public market which are subject to conversion in connection with our initial business combination. The “as adjusted” calculation equals the “as adjusted” total assets, less the “as adjusted” total liabilities, less the “as adjusted” value of Class A ordinary shares which may be redeemed in connection with our initial business combination ($10.00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929696_3"/>
      <w:bookmarkEnd w:id="5"/>
      <w:r>
        <w:rPr>
          <w:rFonts w:ascii="Times New Roman" w:hAnsi="Times New Roman"/>
          <w:b/>
          <w:sz w:val="20"/>
          <w:bdr w:val="single" w:sz="8" w:space="1" w:color="000000"/>
        </w:rPr>
        <w:t xml:space="preserve">CAUTIONARY NOTE REGARDING FORWARD-LOOKING STATEMENTS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complete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retaining or recruiting, or changes required in, our officers, key employees or directors following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executive officers and directors allocating their time to other businesses and potentially having conflicts of interest with our business or in approving our initial business combination, as a result of which they would then receive expense reimbursements;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ability to obtain the required funds to complete our offering and working capital expenses;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ability to obtain additional financing to complete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pool of prospective target businesses, including their industry and geographic location;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executive officers and directors to generate a number of potential investment opportunities;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list or delisting of our securities from Nasdaq or an inability to have our securities listed on Nasdaq following a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public securities’ potential liquidity and trading;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 market for our securities;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following this offering.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statements that contain “we believe” and similar statements reflect our beliefs and opinions on the relevant subject. These statements are based on information available to us as of the date of this prospectus. Although we believe that this information provides a reasonable basis for these statements, this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929696_4"/>
      <w:bookmarkEnd w:id="6"/>
      <w:r>
        <w:rPr>
          <w:rFonts w:ascii="Times New Roman" w:hAnsi="Times New Roman"/>
          <w:b/>
          <w:sz w:val="20"/>
          <w:bdr w:val="single" w:sz="8" w:space="1" w:color="000000"/>
        </w:rPr>
        <w:t xml:space="preserve">RISKS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are a recently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Please see “</w:t>
      </w:r>
      <w:r>
        <w:rPr>
          <w:rFonts w:ascii="Times New Roman" w:hAnsi="Times New Roman"/>
          <w:i/>
          <w:sz w:val="20"/>
          <w:bdr w:val="single" w:sz="8" w:space="1" w:color="000000"/>
        </w:rPr>
        <w:t>Proposed Business — Comparison of This Offering to Those of Blank Check Companies Subject to Rule 419</w:t>
      </w:r>
      <w:r>
        <w:rPr>
          <w:rFonts w:ascii="Times New Roman" w:hAnsi="Times New Roman"/>
          <w:sz w:val="20"/>
          <w:bdr w:val="single" w:sz="8" w:space="1" w:color="000000"/>
        </w:rPr>
        <w:t xml:space="preserve">” for additional information concerning how Rule 419 blank check offerings differ from this offering. You should carefully consider these and the other risks set forth in the section entitled “Risk Factors”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blank check company with no operating history and no revenues, and you have no basis on which to evaluate our ability to achieve our business objective.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public shareholders may not be afforded an opportunity to vote on our proposed business combination, and even if we hold a vote, our initial shareholders will participate in such vote, which means we may consummate our initial business combination even though a majority of our public shareholders do not support such a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seek shareholder approval of our initial business combination, our initial shareholders have agreed to vote their Class B ordinary shares and private placement shares, which constitutes approximately 30.7% of the issued and outstanding ordinary shares following this offering (assuming no exercise of the underwriters’ over-allotment option), in favor of such initial business combination, regardless of how our public shareholders vote.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only opportunity to effect your investment decision regarding a potential business combination may be limited to the exercise of your right to redeem your shares from us for cash.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we complete our initial business combination within 24 months from the closing of this offering may give potential target businesses leverage over us in negotiating our initial business combination which could undermine our ability to consummate our initial business combination on terms that would produce value for our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consummate our initial business combination within the required time period, in which case we would cease all operations except for the purpose of winding up and we would redeem our public shares and liquidate.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the number of SPACs evaluating targets increases, and other issued SPAC entities may come to market with superior terms for the acquisition targets, attractive targets may become scarcer and there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more competition for attractive targets. potentially increasing the cost of, or impairing our ability to consummate,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of our limited resources and the significant competition for business combination opportunities, it may be more difficult for us to complete our initial business combination. If we are unable to complete our initial business combination, our public shareholders may only receive approximately $10.00 per share, or less in certain circumstances, on our redemption of their shares, and our rights will expire worthless.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non-managing investors have expressed an interest to purchase public units in this offering, but if they do so, although it may not affect our ability to meet Nasdaq listing requirements or maintain such listing, it may reduce the trading volume, volatility and liquidity for our public shares, if the non-managing investors choose post offering not to trade any public shares that they acquire in the offering or otherwise, and it may adversely affect the trading price of our public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net proceeds of this offering and the sale of the private investor shares and private placement units not being held in the trust account are insufficient to allow us to operate for at least the next 24 months from the closing of this offering, we may be unable to complete our initial business combination, and we will depend on loans from our sponsor or management team to fund our search and to complete our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third parties bring claims against the company, the proceeds held in trust could be reduced and the per-share redemption price received by shareholders may be less than $10.00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of registration rights to our initial shareholders, including the non-managing investors, may make it more difficult to complete our initial business combination, and the future exercise of such rights may adversely affect the market price of our public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we are not limited to any particular business or specific geographic location or any specific target businesses with which to pursue our initial business combination, you will be unable to ascertain the merits or risks of any particular target business’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seek acquisition opportunities outside the A&amp;D, cybersecurity, encryption and quantum technologies, satellite and drone technologies for commercial and defense applications, and semiconductor “system on a chip” (SOC) industry, which may be outside of our management’s areas of expertise.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only be able to complete one business combination with the proceeds of this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initial shareholders will control a substantial interest in us and thus may influence certain actions requiring a shareholder vote.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Redeeming shareholders may be unable to sell their securities when they wish to in the event that the proposed business combination is not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likely to be treated as a passive foreign investment company (“PFIC”), which could result in adverse U.S. federal income tax consequences to U.S. investors.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consummate our initial business combination within 24 months from the closing of this offering, our public shareholders may be forced to wait beyond such period before redemption from our trust account.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investment in our securities, and certain subsequent transactions with respect to our securities, may result in uncertain or adverse U.S. federal income tax consequences for an investor.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 connection with or in anticipation of our initial business combination and our structure thereafter may not be tax-efficient to our shareholders and rights holders. As a result of our initial business combination, our tax obligations may be more complex, burdensome and uncertain.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risks and uncertainties discussed in “Risk Factors” and elsewhere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929696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securities involves a high degree of risk. You should consider carefully all of the risks described below, together with the other information contained in this prospectus, before making a decision to invest in our public units. If any of the following events occur, our business, financial condition and operating results may be materially adversely affected. In that event, the trading price of our securities could decline, and you could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Search for, and Consummation of or Inability to Consummate, a Business Combination </w:t>
      </w:r>
    </w:p>
    <w:p>
      <w:pPr>
        <w:pStyle w:val="TextBody"/>
        <w:bidi w:val="0"/>
        <w:spacing w:before="120" w:after="0"/>
        <w:jc w:val="left"/>
        <w:rPr>
          <w:rFonts w:ascii="Times New Roman" w:hAnsi="Times New Roman"/>
          <w:i/>
          <w:sz w:val="20"/>
        </w:rPr>
      </w:pPr>
      <w:r>
        <w:rPr>
          <w:rFonts w:ascii="Times New Roman" w:hAnsi="Times New Roman"/>
          <w:i/>
          <w:sz w:val="20"/>
        </w:rPr>
        <w:t xml:space="preserve">Our public shareholders may not be afforded an opportunity to vote on our proposed business combination, and even if we hold a vote, holders of our founder shares, private investor shares and private placement shares will participate in such vote, which means we may consummate our initial business combination even though a majority of our public shareholders do not support such a combination. </w:t>
      </w:r>
    </w:p>
    <w:p>
      <w:pPr>
        <w:pStyle w:val="TextBody"/>
        <w:bidi w:val="0"/>
        <w:spacing w:before="120" w:after="0"/>
        <w:jc w:val="left"/>
        <w:rPr>
          <w:rFonts w:ascii="Times New Roman" w:hAnsi="Times New Roman"/>
          <w:sz w:val="20"/>
        </w:rPr>
      </w:pPr>
      <w:r>
        <w:rPr>
          <w:rFonts w:ascii="Times New Roman" w:hAnsi="Times New Roman"/>
          <w:sz w:val="20"/>
        </w:rPr>
        <w:t>We may choose not hold a shareholder vote to approve our initial business combination unless the business combination would require shareholder approval under applicable law or stock exchange rules or if we decide to hold a shareholder vote for business or other reasons. For instance, the Nasdaq rules currently allow us to engage in a tender offer in lieu of a shareholder meeting, but would still require us to obtain shareholder approval if we were seeking to issue more than 20% of our issued and outstanding shares to a target business as consideration in any business combination. Therefore, if we were structuring a business combination that required us to issue more than 20% of our issued and outstanding shares, we would seek shareholder approval of such business combination. However, except as required by applicable law or stock exchange rules,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consummate our initial business combination even if holders of a majority of the issued and outstanding ordinary shares do not approve of the business combination we consummate. Please see the section entitled “</w:t>
      </w:r>
      <w:r>
        <w:rPr>
          <w:rFonts w:ascii="Times New Roman" w:hAnsi="Times New Roman"/>
          <w:i/>
          <w:sz w:val="20"/>
        </w:rPr>
        <w:t>Proposed Business</w:t>
      </w:r>
      <w:r>
        <w:rPr>
          <w:rFonts w:ascii="Times New Roman" w:hAnsi="Times New Roman"/>
          <w:sz w:val="20"/>
        </w:rPr>
        <w:t>—</w:t>
      </w:r>
      <w:r>
        <w:rPr>
          <w:rFonts w:ascii="Times New Roman" w:hAnsi="Times New Roman"/>
          <w:i/>
          <w:sz w:val="20"/>
        </w:rPr>
        <w:t>Initial Business Combination—Shareholders may not have the ability to approve our initial business combination</w:t>
      </w:r>
      <w:r>
        <w:rPr>
          <w:rFonts w:ascii="Times New Roman" w:hAnsi="Times New Roman"/>
          <w:sz w:val="20"/>
        </w:rPr>
        <w:t xml:space="preserve">” for additional information. Our sponsor controls a substantial interest in us and thus may exert a substantial influence on actions requiring a shareholder vote, potentially in a manner that you do not support. </w:t>
      </w:r>
    </w:p>
    <w:p>
      <w:pPr>
        <w:pStyle w:val="TextBody"/>
        <w:bidi w:val="0"/>
        <w:spacing w:before="240" w:after="0"/>
        <w:jc w:val="left"/>
        <w:rPr>
          <w:rFonts w:ascii="Times New Roman" w:hAnsi="Times New Roman"/>
          <w:i/>
          <w:sz w:val="20"/>
        </w:rPr>
      </w:pPr>
      <w:r>
        <w:rPr>
          <w:rFonts w:ascii="Times New Roman" w:hAnsi="Times New Roman"/>
          <w:i/>
          <w:sz w:val="20"/>
        </w:rPr>
        <w:t xml:space="preserve">If we seek shareholder approval of our initial business combination, our initial shareholders have agreed to vote their Class B ordinary shares and private placement shares, which constitutes approximately 30.7% of the issued and outstanding ordinary shares following this offering (assuming no exercise of the underwriters’ over-allotment option), in favor of such initial business combination, regardless of how our public shareholders vote.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initial shareholders and their permitted transferees, will beneficially own approximately 30.7% of the issued and outstanding ordinary shares at the time of any such shareholder vote (assuming none of the initial shareholders purchases any public units in this offering). Our initial shareholders and management team also may from time to time purchase public units or public shares prior to our initial business combination. If the non-managing investors purchase public units in this offering and assuming none of them will trade such public units after the closing, or they subsequently acquire public units in open-market trades, the initial shareholders will beneficially own more than 30.7% of the issued and outstanding ordinary shares at the time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shareholder vote (assuming no exercise of the over-allotment option by the underwriters). Our amended and restated memorandum and articles of association provides that, if we seek shareholder approval of an initial business combination, such initial business combination will be approved if we receive an ordinary resolution under Cayman Islands law and our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Our initial shareholders (and their permitted transferees) will agree, pursuant to the terms of the agreements entered into with us, to vote their founder shares, private investor shares and private placement shares in favor of our initial business combination, but not any public shares that the non-managing investors may purchase in this offering or after the closing on the open market. As a result, in addition to the Class B ordinary shares and private placement shares held by our initial shareholders, we would need approximately 11,419,506 public shares, or approximately 51.91% of the 22,000,000 public shares sold in this offering to be voted in favor of a transaction (assuming all issued and outstanding shares are voted, the over-allotment option is not exercised and 1,410,624 Class B ordinary shares are forfeited) in order to have such initial business combination approved. </w:t>
      </w:r>
    </w:p>
    <w:p>
      <w:pPr>
        <w:pStyle w:val="TextBody"/>
        <w:bidi w:val="0"/>
        <w:spacing w:before="240" w:after="0"/>
        <w:jc w:val="left"/>
        <w:rPr>
          <w:rFonts w:ascii="Times New Roman" w:hAnsi="Times New Roman"/>
          <w:sz w:val="20"/>
        </w:rPr>
      </w:pPr>
      <w:r>
        <w:rPr>
          <w:rFonts w:ascii="Times New Roman" w:hAnsi="Times New Roman"/>
          <w:sz w:val="20"/>
        </w:rPr>
        <w:t xml:space="preserve">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Nasdaq listing eligibility requirements.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 For more information on different interests between the non-managing investors and public shareholders, please see “— </w:t>
      </w:r>
      <w:r>
        <w:rPr>
          <w:rFonts w:ascii="Times New Roman" w:hAnsi="Times New Roman"/>
          <w:i/>
          <w:sz w:val="20"/>
        </w:rPr>
        <w:t>Our management team, the 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pStyle w:val="TextBody"/>
        <w:bidi w:val="0"/>
        <w:spacing w:before="240" w:after="0"/>
        <w:jc w:val="left"/>
        <w:rPr>
          <w:rFonts w:ascii="Times New Roman" w:hAnsi="Times New Roman"/>
          <w:sz w:val="20"/>
        </w:rPr>
      </w:pPr>
      <w:r>
        <w:rPr>
          <w:rFonts w:ascii="Times New Roman" w:hAnsi="Times New Roman"/>
          <w:sz w:val="20"/>
        </w:rPr>
        <w:t xml:space="preserve">Assuming that only the holders of one-third of our issued and outstanding ordinary shares, representing a quorum under our amended and restated memorandum and articles of association, vote their ordinary shares at a general meeting of the company, we will not need any public shares in addition to our founder shares to be voted in favor of an initial business combination in order to approve an initial business combination. However, if our initial business combination is structured as a statutory merger or consolidation with another company under Cayman Islands law, the approval of our initial business combination will require a special resolution, which requires the affirmative vote of at least two-thirds of the votes cast by such shareholders as, being entitled to do so, vote in person or, where proxies are allowed, by proxy at the applicable general meeting of the company. Accordingly, if we seek shareholder approval of our initial business combination, the agreement by our initial shareholders to vote their founder shares, private investor shares and private placement shares in favor of our initial business combination will increase the likelihood that an ordinary resolution will be passed, being the requisite shareholder approval for such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Your only opportunity to affect the investment decision regarding a potential business combination may be limited to the exercise of your right to redeem your shares from us for cash. </w:t>
      </w:r>
    </w:p>
    <w:p>
      <w:pPr>
        <w:pStyle w:val="TextBody"/>
        <w:bidi w:val="0"/>
        <w:spacing w:before="240" w:after="0"/>
        <w:jc w:val="left"/>
        <w:rPr>
          <w:rFonts w:ascii="Times New Roman" w:hAnsi="Times New Roman"/>
          <w:sz w:val="20"/>
        </w:rPr>
      </w:pPr>
      <w:r>
        <w:rPr>
          <w:rFonts w:ascii="Times New Roman" w:hAnsi="Times New Roman"/>
          <w:sz w:val="20"/>
        </w:rPr>
        <w:t xml:space="preserve">At the time of your investment in us, you will not be provided with an opportunity to evaluate the specific merits or risks of one or more target businesses. Because our board of directors may consummate our initial business combination without seeking shareholder approval, public shareholders may not have the right or opportunity to vote on the business combination, unless we seek such shareholder vote.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The ability of our public shareholders to redeem their shares for cash may make our financial condition unattractive to potential business combination targets, which may make it difficult for us to enter into our initial business combination with a target.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a transaction agreement with a prospective target that requires as a closing condition that we have a minimum net worth or a certain amount of cash. If too many public shareholders exercise their redemption rights, we may not be able to meet such closing condition, and as a result, would not be able to proceed with such business combination. Our amended and restated memorandum and articles of association will require us to provide all of our public shareholders with an opportunity to redeem all of their shares in connection with the consummation of any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The effect of this dilution will be greater for shareholders who do not redeem. We may not be able to generate sufficient value from the completion of our initial business combination in order to overcome the dilutive impact of these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factors, and, accordingly, you may incur a net loss on your investment. Please see “ — </w:t>
      </w:r>
      <w:r>
        <w:rPr>
          <w:rFonts w:ascii="Times New Roman" w:hAnsi="Times New Roman"/>
          <w:i/>
          <w:sz w:val="20"/>
        </w:rPr>
        <w:t>The nominal</w:t>
      </w:r>
      <w:r>
        <w:rPr>
          <w:rFonts w:ascii="Times New Roman" w:hAnsi="Times New Roman"/>
          <w:sz w:val="20"/>
        </w:rPr>
        <w:t xml:space="preserve"> </w:t>
      </w:r>
      <w:r>
        <w:rPr>
          <w:rFonts w:ascii="Times New Roman" w:hAnsi="Times New Roman"/>
          <w:i/>
          <w:sz w:val="20"/>
        </w:rPr>
        <w:t>purchase price paid by our insiders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hAnsi="Times New Roman"/>
          <w:sz w:val="20"/>
        </w:rPr>
        <w:t xml:space="preserve">.” The above considerations may limit our ability to complete the most desirable business combination available to us or optimize our capital structure. </w:t>
      </w:r>
    </w:p>
    <w:p>
      <w:pPr>
        <w:pStyle w:val="TextBody"/>
        <w:bidi w:val="0"/>
        <w:spacing w:before="240" w:after="0"/>
        <w:jc w:val="left"/>
        <w:rPr>
          <w:rFonts w:ascii="Times New Roman" w:hAnsi="Times New Roman"/>
          <w:i/>
          <w:sz w:val="20"/>
        </w:rPr>
      </w:pPr>
      <w:r>
        <w:rPr>
          <w:rFonts w:ascii="Times New Roman" w:hAnsi="Times New Roman"/>
          <w:i/>
          <w:sz w:val="20"/>
        </w:rPr>
        <w:t xml:space="preserve">The requirement that we maintain a minimum net worth or retain a certain amount of cash could increase the probability that our business combination would be unsuccessful and that you would have to wait for liquidation in order to redeem your shares. </w:t>
      </w:r>
    </w:p>
    <w:p>
      <w:pPr>
        <w:pStyle w:val="TextBody"/>
        <w:bidi w:val="0"/>
        <w:spacing w:before="240" w:after="0"/>
        <w:jc w:val="left"/>
        <w:rPr>
          <w:rFonts w:ascii="Times New Roman" w:hAnsi="Times New Roman"/>
          <w:sz w:val="20"/>
        </w:rPr>
      </w:pPr>
      <w:r>
        <w:rPr>
          <w:rFonts w:ascii="Times New Roman" w:hAnsi="Times New Roman"/>
          <w:sz w:val="20"/>
        </w:rPr>
        <w:t xml:space="preserve">If, pursuant to the terms of our proposed business combination, we are required to maintain a minimum net worth or retain a certain amount of cash in trust in order to consummate the business combination and regardless of whether we proceed with redemptions under the tender or proxy rules, the probability that our business combination would be unsuccessful is increased. If our business combination is unsuccessful, you would not receive your pro rata portion of the trust account until we liquidate. If you are in need of immediate liquidity, you could attempt to sell your shares on the open market; however, at such time our shares may trade at a discount to the pro rata amount per share in our trust account. In either situation, you may suffer a material loss on your investment or lose the benefit of funds expected in connection with our redemption until we liquidate or you are able to sell your shares on the open market. </w:t>
      </w:r>
    </w:p>
    <w:p>
      <w:pPr>
        <w:pStyle w:val="TextBody"/>
        <w:bidi w:val="0"/>
        <w:spacing w:before="240" w:after="0"/>
        <w:jc w:val="left"/>
        <w:rPr>
          <w:rFonts w:ascii="Times New Roman" w:hAnsi="Times New Roman"/>
          <w:i/>
          <w:sz w:val="20"/>
        </w:rPr>
      </w:pPr>
      <w:r>
        <w:rPr>
          <w:rFonts w:ascii="Times New Roman" w:hAnsi="Times New Roman"/>
          <w:i/>
          <w:sz w:val="20"/>
        </w:rPr>
        <w:t xml:space="preserve">The requirement that we complete our initial business combination within 24 months from the closing of this offering may give potential target businesses leverage over us in negotiating our initial business combination and may limit the amount of time we have to conduct due diligence on potential business combination targets as we approach our dissolution deadline, which could undermine our ability to consummate our initial business combination on terms that would produce value for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Any potential target business with which we enter into negotiations concerning our initial business combination will be aware that we must consummate our initial business combination within 24 months from the closing of this offering. Consequently, such target businesses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 The length of time it may take us to complete our diligence and negotiate a business combination may reduce the amount of time available for us to ultimately complete an initial business combination should such diligence or negotiations not lead to a consummated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We may not be able to consummate our initial business combination within the required time period, in which case we would cease all operations except for the purpose of winding up and we would redeem our public shares and liquidate. </w:t>
      </w:r>
    </w:p>
    <w:p>
      <w:pPr>
        <w:pStyle w:val="TextBody"/>
        <w:bidi w:val="0"/>
        <w:spacing w:before="240" w:after="0"/>
        <w:jc w:val="left"/>
        <w:rPr>
          <w:rFonts w:ascii="Times New Roman" w:hAnsi="Times New Roman"/>
          <w:sz w:val="20"/>
        </w:rPr>
      </w:pPr>
      <w:r>
        <w:rPr>
          <w:rFonts w:ascii="Times New Roman" w:hAnsi="Times New Roman"/>
          <w:sz w:val="20"/>
        </w:rPr>
        <w:t xml:space="preserve">We must complete our initial business combination within 24 months from the closing of this offering. We may not be able to find a suitable target business and consummate our initial business combination within such time period. Our ability to complete our initial business combination may be negatively impacted by general market conditions, political considerations, volatility in the capital and debt markets, other social and geopolitical events, and the other risks described herein, including, but not limited to, the war between Russia and Ukraine and the Israel-Hamas conflict. Additionally, the outbreak of unforeseen occurrence of natural disasters, such as the recent COVID-19 pandemic, may negatively impact businesses we may seek to acquire and may make it harder for us to find a suitable target business and consummate our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are unable to consummate our initial business combination within the required time period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w:t>
      </w:r>
      <w:r>
        <w:rPr>
          <w:rFonts w:ascii="Times New Roman" w:hAnsi="Times New Roman"/>
          <w:b/>
          <w:sz w:val="20"/>
        </w:rPr>
        <w:t xml:space="preserve">See </w:t>
      </w:r>
      <w:r>
        <w:rPr>
          <w:rFonts w:ascii="Times New Roman" w:hAnsi="Times New Roman"/>
          <w:sz w:val="20"/>
        </w:rPr>
        <w:t>“</w:t>
      </w:r>
      <w:r>
        <w:rPr>
          <w:rFonts w:ascii="Times New Roman" w:hAnsi="Times New Roman"/>
          <w:b/>
          <w:i/>
          <w:sz w:val="20"/>
        </w:rPr>
        <w:t>Risk Factors — Risks Relating to our Search for, and Consummation of or Inability to Consummate, a Business Combination</w:t>
      </w:r>
      <w:r>
        <w:rPr>
          <w:rFonts w:ascii="Times New Roman" w:hAnsi="Times New Roman"/>
          <w:sz w:val="20"/>
        </w:rPr>
        <w:t>—</w:t>
      </w:r>
      <w:r>
        <w:rPr>
          <w:rFonts w:ascii="Times New Roman" w:hAnsi="Times New Roman"/>
          <w:b/>
          <w:i/>
          <w:sz w:val="20"/>
        </w:rPr>
        <w:t>If third parties bring claims against the company, the proceeds held in trust could be reduced and the per-share redemption price received by shareholders may be less than $10.00 per share</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Our search for a business combination, and any target business with which we ultimately consummate a business combination, may be materially adversely affected by the recent and ongoing military action between Russia and Ukraine. </w:t>
      </w:r>
    </w:p>
    <w:p>
      <w:pPr>
        <w:pStyle w:val="TextBody"/>
        <w:bidi w:val="0"/>
        <w:spacing w:before="240" w:after="0"/>
        <w:jc w:val="left"/>
        <w:rPr>
          <w:rFonts w:ascii="Times New Roman" w:hAnsi="Times New Roman"/>
          <w:sz w:val="20"/>
        </w:rPr>
      </w:pPr>
      <w:r>
        <w:rPr>
          <w:rFonts w:ascii="Times New Roman" w:hAnsi="Times New Roman"/>
          <w:sz w:val="20"/>
        </w:rPr>
        <w:t xml:space="preserve">On February 24, 2022, Russian military forces launched a military action in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 Russia’s recognition of two separatist republics in the Donetsk and Luhansk regions of Ukraine and subsequent military action against Ukraine have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 </w:t>
      </w:r>
    </w:p>
    <w:p>
      <w:pPr>
        <w:pStyle w:val="TextBody"/>
        <w:bidi w:val="0"/>
        <w:spacing w:before="240" w:after="0"/>
        <w:jc w:val="left"/>
        <w:rPr>
          <w:rFonts w:ascii="Times New Roman" w:hAnsi="Times New Roman"/>
          <w:sz w:val="20"/>
        </w:rPr>
      </w:pPr>
      <w:r>
        <w:rPr>
          <w:rFonts w:ascii="Times New Roman" w:hAnsi="Times New Roman"/>
          <w:sz w:val="20"/>
        </w:rPr>
        <w:t xml:space="preserve">The situation is rapidly evolving as a result of the conflict in Ukraine, and the United States,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ability to search for a business combination or finance such business combination, and the business, financial condition and results of operations of any target business with which we ultimately consummate a business combination may be materially adversely affected. </w:t>
      </w:r>
    </w:p>
    <w:p>
      <w:pPr>
        <w:pStyle w:val="TextBody"/>
        <w:bidi w:val="0"/>
        <w:spacing w:before="240" w:after="0"/>
        <w:jc w:val="left"/>
        <w:rPr>
          <w:rFonts w:ascii="Times New Roman" w:hAnsi="Times New Roman"/>
          <w:i/>
          <w:sz w:val="20"/>
        </w:rPr>
      </w:pPr>
      <w:r>
        <w:rPr>
          <w:rFonts w:ascii="Times New Roman" w:hAnsi="Times New Roman"/>
          <w:i/>
          <w:sz w:val="20"/>
        </w:rPr>
        <w:t xml:space="preserve">Military or other conflicts in Ukraine, the Middle East and Southwest Asia or elsewhere may lead to increased volume and price volatility for publicly traded securities, or affect the operations or financial condition of potential target companies, which could make it more difficult for us to consummate an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Military or other conflicts in Ukraine, the Middle East, Southwest Asia or elsewhere may lead to increased volume and price volatility for publicly traded securities, or affect the operations or financial condition of potential target companies, and to other company or industry-specific, national, regional or international economic disruptions and economic uncertainty, any of which could make it more difficult for us to identify a business combination target and consummate an initial business combination on acceptable commercial terms, or at all. </w:t>
      </w:r>
    </w:p>
    <w:p>
      <w:pPr>
        <w:pStyle w:val="TextBody"/>
        <w:bidi w:val="0"/>
        <w:spacing w:before="240" w:after="0"/>
        <w:jc w:val="left"/>
        <w:rPr>
          <w:rFonts w:ascii="Times New Roman" w:hAnsi="Times New Roman"/>
          <w:i/>
          <w:sz w:val="20"/>
        </w:rPr>
      </w:pPr>
      <w:r>
        <w:rPr>
          <w:rFonts w:ascii="Times New Roman" w:hAnsi="Times New Roman"/>
          <w:i/>
          <w:sz w:val="20"/>
        </w:rPr>
        <w:t xml:space="preserve">Our search for and ability to complete a business combination, and any target business with which we ultimately complete a business combination, may be adversely affected by general market conditions, political considerations, pandemics, volatility in the capital and debt markets and other social and geopolitical events. </w:t>
      </w:r>
    </w:p>
    <w:p>
      <w:pPr>
        <w:pStyle w:val="TextBody"/>
        <w:bidi w:val="0"/>
        <w:spacing w:before="240" w:after="0"/>
        <w:jc w:val="left"/>
        <w:rPr>
          <w:rFonts w:ascii="Times New Roman" w:hAnsi="Times New Roman"/>
          <w:sz w:val="20"/>
        </w:rPr>
      </w:pPr>
      <w:r>
        <w:rPr>
          <w:rFonts w:ascii="Times New Roman" w:hAnsi="Times New Roman"/>
          <w:sz w:val="20"/>
        </w:rPr>
        <w:t xml:space="preserve">Our search for and ability to complete a business combination is subject to macroeconomic and geopolitical risks, including the emergence or continuation of widespread health emergencies or pandemics (similar to the recent COVID-19 pandemic), cyberattacks or campaigns, the current or anticipated impact of climate change, extreme weather events or natural disasters, military conflict, civil unrest, terrorism or other similar events, which could adversely affect business and economic conditions in the U.S. and abroad. The business of any potential target business with which we consummate a business combination could be materially and adversely affected by these types of events. Furthermore, we may be unable to complete a business combination as a result of these macroeconomic, geopolitical or other events, including if these events restrict travel, or limit the ability to have meetings with potential investors or the acquisition target’s personnel, vendors and services providers are unavailable to negotiate and consummate a transaction in a timely manner. The extent to which one of these types of events could impact our search for a business combination will depend on future developments, which are highly uncertain and cannot be predicted. In addition, various conflicts, such as Russia’s invasion of Ukraine, and conflicts in the Middle East, could result in regional instability and adversely impact commodity and other financial markets as well as economic conditions. These events could create inflationary pressure or otherwise effect the global economy, all of which could negatively impact our ability to complete a business combination or otherwise affect target businesses. </w:t>
      </w:r>
    </w:p>
    <w:p>
      <w:pPr>
        <w:pStyle w:val="TextBody"/>
        <w:bidi w:val="0"/>
        <w:spacing w:before="240" w:after="0"/>
        <w:jc w:val="left"/>
        <w:rPr>
          <w:rFonts w:ascii="Times New Roman" w:hAnsi="Times New Roman"/>
          <w:sz w:val="20"/>
        </w:rPr>
      </w:pPr>
      <w:r>
        <w:rPr>
          <w:rFonts w:ascii="Times New Roman" w:hAnsi="Times New Roman"/>
          <w:sz w:val="20"/>
        </w:rPr>
        <w:t xml:space="preserve">If any macroeconomic, geopolitical or other matters of global concern cause disruptions to the business environment for an extended period of time, our ability to consummate a business combination, or the operations of a target business with which we ultimately consummate a business combination, may be materially adversely affected. Additionally, our ability to complete a business combination transaction may depend on the ability to raise sufficient equity and debt financing, and any of these or similar events could adversely impact our or the acquisition target’s ability to do so due to, among other things, increased market volatility, decreased market liquidity and the availability of third-party financing on terms acceptable to us or at all. </w:t>
      </w:r>
    </w:p>
    <w:p>
      <w:pPr>
        <w:pStyle w:val="TextBody"/>
        <w:bidi w:val="0"/>
        <w:spacing w:before="240" w:after="0"/>
        <w:jc w:val="left"/>
        <w:rPr>
          <w:rFonts w:ascii="Times New Roman" w:hAnsi="Times New Roman"/>
          <w:i/>
          <w:sz w:val="20"/>
        </w:rPr>
      </w:pPr>
      <w:r>
        <w:rPr>
          <w:rFonts w:ascii="Times New Roman" w:hAnsi="Times New Roman"/>
          <w:i/>
          <w:sz w:val="20"/>
        </w:rPr>
        <w:t xml:space="preserve">Macro-economic turbulence and instability relating to recent and ongoing global conflicts and other drivers of uncertainty may adversely affect our business, investments and results of operations and our ability to successfully consummate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 deterioration in economic conditions and related drivers of global uncertainty and change, such as reduced business activity, high unemployment, rising interest rates, housing prices, and energy prices (including the price of gasoline), increased consumer indebtedness, lack of available credit, the rate of inflation, and consumer perceptions of the economy, as well as other factors, such as terrorist attacks, protests, looting, and other forms of civil unrest, cyberattacks and data breaches, public health emergencies (such as the COVID-19 pandemic and other epidemics), extreme weather conditions and climate change, significant changes in the political environment, political instability, armed conflict (such as the ongoing military conflict between Ukraine and Russia and the military conflict in Israel and Gaza) and/or public policy, including increased state, local or federal taxation, could adversely affect our financial condition, the financial condition of prospective target companies for our initial business combination, or the financial condition of the combined company even if we successfully consummate a business combination, as well as our ability to locate a commercially viable target company for our business combination in the first instance.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Recent increases in inflation in the United States and elsewhere could make it more difficult for us to complete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Recent increases in inflation in the United States and elsewhere may lead to increased price volatility for publicly traded securities, including ours, or other national, regional or international economic disruptions, any of which could make it more difficult for us to complete our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As the number of special purpose acquisition companies evaluating targets increases, and other issued SPAC entities may come to market with superior terms for the acquisition targets, attractive targets may become scarcer and there may be more competition for attractive targets. This could increase the cost of our initial business combination and could even result in our inability to find a target or to consummate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the number of special purpose acquisition companies that have been formed has increased substantially. Many potential targets for special purpose acquisition companies have already entered into an initial business combination, and there are still many companies preparing for an initial public offering. As a result, at times, fewer attractive targets may be available, and it may require more time, more effort and more resources to identify a suitable target and to consummate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 </w:t>
      </w:r>
    </w:p>
    <w:p>
      <w:pPr>
        <w:pStyle w:val="TextBody"/>
        <w:bidi w:val="0"/>
        <w:spacing w:before="240" w:after="0"/>
        <w:jc w:val="left"/>
        <w:rPr>
          <w:rFonts w:ascii="Times New Roman" w:hAnsi="Times New Roman"/>
          <w:i/>
          <w:sz w:val="20"/>
        </w:rPr>
      </w:pPr>
      <w:r>
        <w:rPr>
          <w:rFonts w:ascii="Times New Roman" w:hAnsi="Times New Roman"/>
          <w:i/>
          <w:sz w:val="20"/>
        </w:rPr>
        <w:t xml:space="preserve">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 </w:t>
      </w:r>
    </w:p>
    <w:p>
      <w:pPr>
        <w:pStyle w:val="TextBody"/>
        <w:bidi w:val="0"/>
        <w:spacing w:before="240" w:after="0"/>
        <w:jc w:val="left"/>
        <w:rPr>
          <w:rFonts w:ascii="Times New Roman" w:hAnsi="Times New Roman"/>
          <w:sz w:val="20"/>
        </w:rPr>
      </w:pPr>
      <w:r>
        <w:rPr>
          <w:rFonts w:ascii="Times New Roman" w:hAnsi="Times New Roman"/>
          <w:sz w:val="20"/>
        </w:rPr>
        <w:t xml:space="preserve">If we seek shareholder approval of our initial business combination pursuant to a proxy solicitation (meaning we would not conduct redemptions pursuant to the tender offer rules), our sponsor, directors, executive officers, or any of their affiliates are permitted to purchase ordinary shares in privately negotiated transactions or on the open market either prior to or following the consummation of our initial business combination. Any such purchase would be required to include a contractual acknowledgement that the selling shareholder, although he may still be the record holder of the shares being sold, would, upon consummation of such sale, no longer be the beneficial owner of such shares and would agree not to exercise the redemption rights applicable to such shares. In the event that our sponsor, directors, executive officers, or any of their affiliates purchase public shares in privately negotiated transactions from public shareholders who have already elected to exercise their redemption rights, any such selling shareholders would be required to revoke their prior elections to redeem their public shares prior to the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such purchases could be to (1) increase the likelihood of obtaining shareholder approval of the initial business combination or (2) 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 </w:t>
      </w:r>
    </w:p>
    <w:p>
      <w:pPr>
        <w:pStyle w:val="TextBody"/>
        <w:bidi w:val="0"/>
        <w:spacing w:before="240" w:after="0"/>
        <w:jc w:val="left"/>
        <w:rPr>
          <w:rFonts w:ascii="Times New Roman" w:hAnsi="Times New Roman"/>
          <w:i/>
          <w:sz w:val="20"/>
        </w:rPr>
      </w:pPr>
      <w:r>
        <w:rPr>
          <w:rFonts w:ascii="Times New Roman" w:hAnsi="Times New Roman"/>
          <w:i/>
          <w:sz w:val="20"/>
        </w:rPr>
        <w:t xml:space="preserve">If a shareholder fails to receive notice of our offer to redeem our public shares in connection with our initial business combination or fails to comply with the procedures for tendering its shares, such shares may not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shareholders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shareholder fails to comply with these procedures, its shares may not be redeemed. Please see “</w:t>
      </w:r>
      <w:r>
        <w:rPr>
          <w:rFonts w:ascii="Times New Roman" w:hAnsi="Times New Roman"/>
          <w:i/>
          <w:sz w:val="20"/>
        </w:rPr>
        <w:t>Proposed Business—Redemption Rights</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 </w:t>
      </w:r>
    </w:p>
    <w:p>
      <w:pPr>
        <w:pStyle w:val="TextBody"/>
        <w:bidi w:val="0"/>
        <w:spacing w:before="240" w:after="0"/>
        <w:jc w:val="left"/>
        <w:rPr>
          <w:rFonts w:ascii="Times New Roman" w:hAnsi="Times New Roman"/>
          <w:sz w:val="20"/>
        </w:rPr>
      </w:pPr>
      <w:r>
        <w:rPr>
          <w:rFonts w:ascii="Times New Roman" w:hAnsi="Times New Roman"/>
          <w:sz w:val="20"/>
        </w:rPr>
        <w:t xml:space="preserve">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this offering and the sale of the private share,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 </w:t>
      </w:r>
    </w:p>
    <w:p>
      <w:pPr>
        <w:pStyle w:val="TextBody"/>
        <w:bidi w:val="0"/>
        <w:spacing w:before="240" w:after="0"/>
        <w:jc w:val="left"/>
        <w:rPr>
          <w:rFonts w:ascii="Times New Roman" w:hAnsi="Times New Roman"/>
          <w:sz w:val="20"/>
        </w:rPr>
      </w:pPr>
      <w:r>
        <w:rPr>
          <w:rFonts w:ascii="Times New Roman" w:hAnsi="Times New Roman"/>
          <w:sz w:val="20"/>
        </w:rPr>
        <w:t xml:space="preserve">This inherent competitive limitation gives others an advantage in pursuing the acquisition of certain target businesses. Furthermore, in the event we seek shareholder approval of our initial business combination and we are obligated to pay cash for public shares that are redeemed, it will potentially reduce the resources available to us for our initial business combination. Target companies will be aware that this may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shareholders may receive only approximately $10.00 per share, or less in certain circumstances, on the liquidation of our trust account. </w:t>
      </w:r>
      <w:r>
        <w:rPr>
          <w:rFonts w:ascii="Times New Roman" w:hAnsi="Times New Roman"/>
          <w:b/>
          <w:sz w:val="20"/>
        </w:rPr>
        <w:t>Please see “</w:t>
      </w:r>
      <w:r>
        <w:rPr>
          <w:rFonts w:ascii="Times New Roman" w:hAnsi="Times New Roman"/>
          <w:b/>
          <w:i/>
          <w:sz w:val="20"/>
        </w:rPr>
        <w:t xml:space="preserve">Risk Factors — Risks Relating to our Search for, and Consummation of or Inability to Consummate, a Business Combination </w:t>
      </w:r>
      <w:r>
        <w:rPr>
          <w:rFonts w:ascii="Times New Roman" w:hAnsi="Times New Roman"/>
          <w:sz w:val="20"/>
        </w:rPr>
        <w:t>—</w:t>
      </w:r>
      <w:r>
        <w:rPr>
          <w:rFonts w:ascii="Times New Roman" w:hAnsi="Times New Roman"/>
          <w:b/>
          <w:i/>
          <w:sz w:val="20"/>
        </w:rPr>
        <w:t>If third parties bring claims against the company, the proceeds held in trust could be reduced and the per-share redemption price received by shareholders may be less than $10.00 per share.</w:t>
      </w:r>
      <w:r>
        <w:rPr>
          <w:rFonts w:ascii="Times New Roman" w:hAnsi="Times New Roman"/>
          <w:sz w:val="20"/>
        </w:rPr>
        <w:t xml:space="preserve">” </w:t>
      </w:r>
      <w:r>
        <w:rPr>
          <w:rFonts w:ascii="Times New Roman" w:hAnsi="Times New Roman"/>
          <w:b/>
          <w:sz w:val="20"/>
        </w:rPr>
        <w:t>and other risk factors herein.</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require our public shareholders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deliver their shares to the transfer agent electronically using The Depository Trust Company’s DWAC (Deposit/Withdrawal At Custodian) System, at the holder’s option. In order to obtain a physical share certificate, a shareholder’s broker and/or clearing broker, The Depository Trust Company (“DTC”) and our transfer agent will need to act to facilitate this request. It is our understanding that shareholders should generally allot at least two weeks to obtain physical certificates from the transfer agent. However, because we do not have any control over this process or over the brokers or DTC, it may take significantly longer than two weeks to obtain a physical share certificate. While we have been advised that it takes a short time to deliver shares through the DWAC System, this may not be the case. Under our amended and restated memorandum and articles of association, we are required to provide at least 7 days advance notice of any shareholder meeting, which would be the minimum amount of time a shareholder would have to determine whether to exercise redemption rights. Accordingly, if it takes longer than we anticipate for shareholders to deliver their shares, shareholders who wish to redeem may be unable to meet the deadline for exercising their redemption rights and thus may be unable to redeem their shares. In the event that a shareholder fails to comply with the various procedures that must be complied with in order to validly tender or redeem public shares, its shares may not be redeemed.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despite our compliance with the proxy rules or tender offer rules, as applicable, shareholders may not become aware of the opportunity to redeem their shares. </w:t>
      </w:r>
    </w:p>
    <w:p>
      <w:pPr>
        <w:pStyle w:val="TextBody"/>
        <w:bidi w:val="0"/>
        <w:spacing w:before="240" w:after="0"/>
        <w:jc w:val="left"/>
        <w:rPr>
          <w:rFonts w:ascii="Times New Roman" w:hAnsi="Times New Roman"/>
          <w:i/>
          <w:sz w:val="20"/>
        </w:rPr>
      </w:pPr>
      <w:r>
        <w:rPr>
          <w:rFonts w:ascii="Times New Roman" w:hAnsi="Times New Roman"/>
          <w:i/>
          <w:sz w:val="20"/>
        </w:rPr>
        <w:t xml:space="preserve">If we seek shareholder approval of our business combination pursuant to a proxy solicitation (meaning we would not conduct redemptions pursuant to the tender offer rules), and if you or a “group” of shareholders are deemed to hold in excess of 15% of the issued and outstanding public shares sold in this offering, you will lose the ability to redeem all such shares in excess of 15% of the issued and outstanding public shares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If we seek shareholder approval of our initial business combination pursuant to a proxy solicitation (meaning we would not conduct redemptions pursuant to the tender offer rules), our amended and restated memorandum and articles of association will provide that a public shareholder, individually or together with any affiliate of such shareholder or any other person with whom such shareholder is acting in concert or as a “group” (as defined under Section 13 of the Exchange Act), would be restricted from seeking redemption rights with respect to an aggregate of more than 15% of the public shares sold in this offering. Your inability to redeem an aggregate of more than 15% of the public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15% and, in order to dispose of such shares, you would be required to sell your shares in open market transaction, potentially at a loss. </w:t>
      </w:r>
    </w:p>
    <w:p>
      <w:pPr>
        <w:pStyle w:val="TextBody"/>
        <w:bidi w:val="0"/>
        <w:spacing w:before="240" w:after="0"/>
        <w:jc w:val="left"/>
        <w:rPr>
          <w:rFonts w:ascii="Times New Roman" w:hAnsi="Times New Roman"/>
          <w:i/>
          <w:sz w:val="20"/>
        </w:rPr>
      </w:pPr>
      <w:r>
        <w:rPr>
          <w:rFonts w:ascii="Times New Roman" w:hAnsi="Times New Roman"/>
          <w:i/>
          <w:sz w:val="20"/>
        </w:rPr>
        <w:t xml:space="preserve">If the net proceeds of this offering and the sale of the private investor shares and private placement units not being held in the trust account are insufficient to allow us to operate for at least the next 24 months from the closing of this offering, we may be unable to complete our initial business combination, and we will depend on loans from our sponsor or management team to fund our search and to complete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funds available to us outside of the trust account may not be sufficient to allow us to operate for at least the next 24 months from the closing of this offering, assuming that our initial business combination is not consummated during that time. Of the net proceeds of this offering and the sale of the private investor shares and private placement units, only approximately $1,400,000 (or $1,507,000, if the underwriters exercise the over-allotment option in full), will be available to us initially outside the trust account to fund our working capital requirements.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only receive $10.00 per share (whether or not the underwriters’ over-allotment option is exercised in full) or potentially less than $10.00 per share on our redemption. </w:t>
      </w:r>
    </w:p>
    <w:p>
      <w:pPr>
        <w:pStyle w:val="TextBody"/>
        <w:bidi w:val="0"/>
        <w:spacing w:before="240" w:after="0"/>
        <w:jc w:val="left"/>
        <w:rPr>
          <w:rFonts w:ascii="Times New Roman" w:hAnsi="Times New Roman"/>
          <w:i/>
          <w:sz w:val="20"/>
        </w:rPr>
      </w:pPr>
      <w:r>
        <w:rPr>
          <w:rFonts w:ascii="Times New Roman" w:hAnsi="Times New Roman"/>
          <w:i/>
          <w:sz w:val="20"/>
        </w:rPr>
        <w:t xml:space="preserve">We may issue notes or other debt securities, or otherwise incur substantial debt, to complete our initial business combination, which may adversely affect our financial condition and thus negatively impact the value of our shareholders’ investment in us. </w:t>
      </w:r>
    </w:p>
    <w:p>
      <w:pPr>
        <w:pStyle w:val="TextBody"/>
        <w:bidi w:val="0"/>
        <w:spacing w:before="240" w:after="0"/>
        <w:jc w:val="left"/>
        <w:rPr>
          <w:rFonts w:ascii="Times New Roman" w:hAnsi="Times New Roman"/>
          <w:sz w:val="20"/>
        </w:rPr>
      </w:pPr>
      <w:r>
        <w:rPr>
          <w:rFonts w:ascii="Times New Roman" w:hAnsi="Times New Roman"/>
          <w:sz w:val="20"/>
        </w:rPr>
        <w:t xml:space="preserve">Although we have no other commitments as of the date of this prospectus to issue any notes or other debt securities, or to otherwise incur outstanding debt, we may choose to incur substantial debt to complete initial business combination. Furthermore, we may issue a substantial number of additional ordinary or preferred shares to complete our initial business combination or under an employee incentive plan upon or after consummation of our initial business combination. We and our officers and directors have agreed that we will not incur any indebtedness unless we have obtained from the lender a waiver of any right, title, interest or claim of any kind in or to any monies held in the trust account. As such, no issuance of debt will affect the per share amount available for redemption from the trust account. Nevertheless, the incurrence of debt could have a variety of negative effects,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and foreclosure on our assets if our operating revenues after our initial business combination are insufficient to repay our debt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acceleration of our obligations to repay the indebtedness even if we make all principal and interest payments when due if we breach certain covenants that require the maintenance of certain financial ratios or reserves without a waiver or renegotiation of that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immediate payment of all principal and accrued interest, if any, if the debt security is payable on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obtain necessary additional financing if the debt security contains covenants restricting our ability to obtain such financing while the debt security is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pay dividends on our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a substantial portion of our cash flow to pay principal and interest on our debt, which will reduce the funds available for dividends on our ordinary shares if declared, expenses, capital expenditures, acquisitions and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flexibility in planning for and reacting to changes in our business and in the industry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vulnerability to adverse changes in general economic, industry and competitive conditions and adverse changes in government regulation;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ability to borrow additional amounts for expenses, capital expenditures, acquisitions, debt service requirements, execution of our strategy and other purposes and other disadvantages compared to our competitors who have less debt.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Our directors may decide not to enforce indemnification obligations against our sponsor, resulting in a reduction in the amount of funds in the trust account available for distribution to our public shareholders.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proceeds in the trust account are reduced below $10.00 per share (whether or not the underwriters’ over-allotment option is exercised in full) and our sponsor asserts that it is unable to satisfy obligations or that it has no indemnification obligations related to a particular claim, our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determine on our behalf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our independent directors choose not to enforce these indemnification obligations on our behalf, the amount of funds in the trust account available for distribution to our public shareholders may be reduced below $10.00 per share. </w:t>
      </w:r>
    </w:p>
    <w:p>
      <w:pPr>
        <w:pStyle w:val="TextBody"/>
        <w:bidi w:val="0"/>
        <w:spacing w:before="240" w:after="0"/>
        <w:jc w:val="left"/>
        <w:rPr>
          <w:rFonts w:ascii="Times New Roman" w:hAnsi="Times New Roman"/>
          <w:i/>
          <w:sz w:val="20"/>
        </w:rPr>
      </w:pPr>
      <w:r>
        <w:rPr>
          <w:rFonts w:ascii="Times New Roman" w:hAnsi="Times New Roman"/>
          <w:i/>
          <w:sz w:val="20"/>
        </w:rPr>
        <w:t xml:space="preserve">If we are deemed to be an investment company under the Investment Company Act, we may be required to institute burdensome compliance requirements and our activities may be restricted, which may make it difficult for us to complete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If we were deemed to be subject to the Investment Company Act, compliance with these additional regulatory burdens would require additional expenses for which we have not allotted funds and may hinder our ability to consummate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intend to spend a considerable amount of time actively managing the assets in the trust account for the primary purpose of achieving investment returns. We do not plan to buy businesses or assets with a view to resale or profit from their resale. We do not plan to buy unrelated businesses or assets or to be a passive investor. </w:t>
      </w:r>
    </w:p>
    <w:p>
      <w:pPr>
        <w:pStyle w:val="TextBody"/>
        <w:bidi w:val="0"/>
        <w:spacing w:before="240" w:after="0"/>
        <w:jc w:val="left"/>
        <w:rPr>
          <w:rFonts w:ascii="Times New Roman" w:hAnsi="Times New Roman"/>
          <w:sz w:val="20"/>
        </w:rPr>
      </w:pPr>
      <w:r>
        <w:rPr>
          <w:rFonts w:ascii="Times New Roman" w:hAnsi="Times New Roman"/>
          <w:sz w:val="20"/>
        </w:rPr>
        <w:t xml:space="preserve">We do not believe that our anticipated principal activities will subject us to the Investment Company Act. To this end, the proceeds held in the trust account may only be held as cash, including in demand deposit accounts at a bank, or invested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initial business combination; (ii) the redemption of any public shares properly submitted in connection with the implementation by the directors of, following a shareholder vote, an amendment to our amended and restated memorandum and articles of association (A) to modify the substance or timing of our obligation to provide for the redemption of our public shares in connection with an initial business combination or to redeem 100% of our public shares if we have not consummated our initial business combination within 24 months from the closing of this offering or (B) with respect to any other provisions relating to shareholders’ rights or pre-initial business combination activity; or (iii) absent an initial business combination within 24 months from the closing of this offering, our return of the funds held in the trust account to our public shareholders as part of our redemption of the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If we do not invest the proceeds as discussed above, we may be deemed to be subject to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Further, under the subjective test of a “investment company” pursuant to Section 3(a)(1)(A) of the Investment Company Act, even if the funds deposited in the trust account were invested in the assets discussed above, such assets, other than cash, are “securities” for purposes of the Investment Company Act and, therefore, there is a risk that we could be deemed an investment company and subject to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We are aware of litigation claiming that certain SPACs should be considered to be investment companies. Although we believe that these claims were without merit, we cannot guarantee that we will not be deemed to be an investment company and thus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winding down our operations and our liquidation. If we are unable to complete our initial business combination, our public shareholders may receive only approximately $10.00 per share on the liquidation of our trust account and our public shareholders would also lose the possibility of an investment opportunity in a target company as well as any potential price appreciation in the combined company following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our circumstances change over time, we will update our disclosure to reflect how such changes impact the risk that we may be considered to be operating as an unregistered investment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To mitigate the risk that we might be deemed to be an investment company for purposes of the Investment Company Act, we may, at any time, instruct the trustee to liquidate the securities held in the trust account and instead to hold the funds in the trust account in cash until the earlier of the consummation of our initial business combination or our liquidation. As a result, following the liquidation of securities in the trust account, the interest earned on the funds held in the trust account may be materially reduced, which would reduce the dollar amount our public shareholders would receive upon any redemption or liquidation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intend to initially hold the funds in the trust account as cash, including in demand deposit accounts at a bank, or in U.S. government treasury obligations with a maturity of 185 days or less or in money market funds investing solely in U.S. government treasury obligations and meeting certain conditions under Rule 2a-7 under the Investment Company Act. U.S. government treasury obligations are considered “securities” for purposes of the Investment Company Act, while cash is not. As noted above, one of the factors the SEC identified as relevant to the determination of whether a SPAC which holds securities could potentially be deemed an “investment company” under the Investment Company Act is the SPAC’s duration. To mitigate the risk of us being deemed to be an unregistered investment company (including under the subjective test of Section 3(a)(1)(A) of the Investment Company Act) and thus subject to regulation under the Investment Company Act, we may, at any time, instruct Continental Stock Transfer &amp; Trust Company, the trustee with respect to the trust account, to liquidate the U.S. government treasury obligations or money market funds held in the trust account and thereafter to hold all funds in the trust account in cash until the earlier of consummation of our initial business combination or liquidation of the company. Following such liquidation, the rate of interest we receive on the funds held in the trust account may be materially decreased. However, interest previously earned on the funds held in the trust account still may be released to us for permitted withdrawals and certain other expenses as permitted. As a result, any decision to liquidate the securities held in the trust account and thereafter to hold all funds in the trust account in cash would reduce the dollar amount our public shareholders would receive upon any redemption or liquidation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still be deemed to be an investment company. The longer that the funds in the trust account are held in short-term U.S. government treasury obligations or in money market funds invested exclusively in such securities, the greater the risk that we may be deemed to be an unregistered investment company, in which case we may be required to liquidate. If our facts and circumstances change over time,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update our disclosure to reflect how those changes impact the risk that we may be considered to be operating as an unregistered investment company. As disclosed above, we may determine, in our discretion, to liquidate the securities held in the trust account at any time and instead hold all funds in the trust account in an interest bearing demand deposit account or as cash or cash items at a bank, which could further reduce the dollar amount our public shareholders would receive upon any redemption or liquidation of the company as compared to what they would have received had the investments not been so liquidated. Were we to liquidate the company, and our securityholders would lose the investment opportunity associated with an investment in the acquisition target with which we could have consummated an initial business combination. In addition, upon moving the funds from the trust account to a deposit account, we will maintain the cash items in bank accounts which, at times, may exceed federally insured limits as guaranteed by the FDIC. While we intend to place our deposits in high-quality banks, only a small portion of the funds in our trust account will be guaranteed by the FDIC. </w:t>
      </w:r>
    </w:p>
    <w:p>
      <w:pPr>
        <w:pStyle w:val="TextBody"/>
        <w:bidi w:val="0"/>
        <w:spacing w:before="240" w:after="0"/>
        <w:jc w:val="left"/>
        <w:rPr>
          <w:rFonts w:ascii="Times New Roman" w:hAnsi="Times New Roman"/>
          <w:i/>
          <w:sz w:val="20"/>
        </w:rPr>
      </w:pPr>
      <w:r>
        <w:rPr>
          <w:rFonts w:ascii="Times New Roman" w:hAnsi="Times New Roman"/>
          <w:i/>
          <w:sz w:val="20"/>
        </w:rPr>
        <w:t xml:space="preserve">Our shareholders may be held liable for claims by third parties against us to the extent of distributions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approximately $18,000 and to imprisonment for five years in the Cayman Islands. </w:t>
      </w:r>
    </w:p>
    <w:p>
      <w:pPr>
        <w:pStyle w:val="TextBody"/>
        <w:bidi w:val="0"/>
        <w:spacing w:before="240" w:after="0"/>
        <w:jc w:val="left"/>
        <w:rPr>
          <w:rFonts w:ascii="Times New Roman" w:hAnsi="Times New Roman"/>
          <w:i/>
          <w:sz w:val="20"/>
        </w:rPr>
      </w:pPr>
      <w:r>
        <w:rPr>
          <w:rFonts w:ascii="Times New Roman" w:hAnsi="Times New Roman"/>
          <w:i/>
          <w:sz w:val="20"/>
        </w:rPr>
        <w:t xml:space="preserve">If third parties bring claims against the company, the proceeds held in trust could be reduced and the per-share redemption price received by shareholders may be less than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company’s placing of funds in trust may not protect those funds from third party claims against the company. Although the company will seek to have all vendors and service providers the company engages and prospective target businesses the company negotiates with execute agreements with the company waiving any right, title, interest or claim of any kind in or to any monies held in the trust account for the benefit of the company’s public shareholders, they may not execute such agreements. Furthermore, even if such entities execute such agreements with the company, they may seek recourse against the trust account. A court may not uphold the validity of such agreements. Accordingly, the proceeds held in trust could be subject to claims which could take priority over those of the company’s public shareholders. If the company is unable to complete a business combination and distribute the proceeds held in trust to the company’s public shareholders, the sponsor has agreed (subject to certain exceptions described in Exhibit 10.1 to this registration statement)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However, it may not be able to meet such obligation. Therefore, the per-share distribution from the trust account may be less than $10.00, plus interest, due to such claims. </w:t>
      </w:r>
    </w:p>
    <w:p>
      <w:pPr>
        <w:pStyle w:val="TextBody"/>
        <w:bidi w:val="0"/>
        <w:spacing w:before="240" w:after="0"/>
        <w:jc w:val="left"/>
        <w:rPr>
          <w:rFonts w:ascii="Times New Roman" w:hAnsi="Times New Roman"/>
          <w:sz w:val="20"/>
        </w:rPr>
      </w:pPr>
      <w:r>
        <w:rPr>
          <w:rFonts w:ascii="Times New Roman" w:hAnsi="Times New Roman"/>
          <w:sz w:val="20"/>
        </w:rPr>
        <w:t xml:space="preserve">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(except for the company’s independent registered public accounting firm),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permitted withdrawals,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 </w:t>
      </w:r>
    </w:p>
    <w:p>
      <w:pPr>
        <w:pStyle w:val="TextBody"/>
        <w:bidi w:val="0"/>
        <w:spacing w:before="240" w:after="0"/>
        <w:jc w:val="left"/>
        <w:rPr>
          <w:rFonts w:ascii="Times New Roman" w:hAnsi="Times New Roman"/>
          <w:i/>
          <w:sz w:val="20"/>
        </w:rPr>
      </w:pPr>
      <w:r>
        <w:rPr>
          <w:rFonts w:ascii="Times New Roman" w:hAnsi="Times New Roman"/>
          <w:i/>
          <w:sz w:val="20"/>
        </w:rPr>
        <w:t xml:space="preserve">Unlike some other similarly structured blank check companies, our sponsor will receive additional Class A ordinary shares if we issue shares to consummate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and private investment shares will automatically convert into Class A ordinary shares at the time of our initial business combination (with such conversion taking place immediately prior to, simultaneously with, or immediately following the time of our initial business combination, as may be determined by our directors), or earlier at the option of the holder, on a one-for-one basis, subject to adjustment for share subdivisions, share dividends, reorganizations, recapitalizations and the like and subject to further adjustment as provided herein. In the case that additional Class A ordinary shares or equity-linked securities convertible or exercisable for Class A ordinary shares are issued or deemed issued in excess of the amounts sold in this offering and related to the closing of the initial business combination, the ratio at which founder shares and private investment shares will convert into Class A ordinary shares will be adjusted so that the number of Class A ordinary shares issuable upon conversion of all founder shares and private investment shares will equal, in the aggregate, on an as-converted basis, 30% of (i) the total number of all ordinary shares outstanding upon the completion of this offering (including any Class A ordinary shares issued pursuant to the underwriters’ over-allotment option and excluding the Class A ordinary shares underlying the private placement units issued to the sponsor and the non-managing investors),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units and their underlying securities issued to our sponsor or any of its affiliates or to our officers or directors upon conversion of working capital loans); provided that such conversion of founder shares will never occur on a less than one-for-one basis. </w:t>
      </w:r>
    </w:p>
    <w:p>
      <w:pPr>
        <w:pStyle w:val="TextBody"/>
        <w:bidi w:val="0"/>
        <w:spacing w:before="240" w:after="0"/>
        <w:jc w:val="left"/>
        <w:rPr>
          <w:rFonts w:ascii="Times New Roman" w:hAnsi="Times New Roman"/>
          <w:i/>
          <w:sz w:val="20"/>
        </w:rPr>
      </w:pPr>
      <w:r>
        <w:rPr>
          <w:rFonts w:ascii="Times New Roman" w:hAnsi="Times New Roman"/>
          <w:i/>
          <w:sz w:val="20"/>
        </w:rPr>
        <w:t xml:space="preserve">The grant of registration rights to our initial shareholders, including the non-managing investors, may make it more difficult to complete our initial business combination, and the future exercise of such rights may adversely affect the market price of our public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agreements entered into on the date of this prospectus, our insiders, non-managing investors and their respective permitted transferees, can demand that we register for resale an aggregate of 7,850,229 founder shares (assuming the exercise in full of the over-allotment option by the underwriters), 2,964,203 private investor shares (assuming the exercise in full of the over-allotment option by the underwriters), 357,625 private placement shares (assuming the exercise in full of the over-allotment option by the underwriters), 71,525 shares issued upon the conversion of the private placement rights upon the consummation of our initial business combination (assuming the exercise in full of the over-allotment option by the underwriters) and underlying securities and securities issued upon conversion of working capital loans, if any. We will bear the cost of registering these securities. The registration and availability of such a significant number of securities for trading in the public market may have an adverse effect on the market price of our public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public shares that is expected when the securities owned by our initial shareholders or their respective permitted transferees, are registered. </w:t>
      </w:r>
    </w:p>
    <w:p>
      <w:pPr>
        <w:pStyle w:val="TextBody"/>
        <w:bidi w:val="0"/>
        <w:spacing w:before="240" w:after="0"/>
        <w:jc w:val="left"/>
        <w:rPr>
          <w:rFonts w:ascii="Times New Roman" w:hAnsi="Times New Roman"/>
          <w:i/>
          <w:sz w:val="20"/>
        </w:rPr>
      </w:pPr>
      <w:r>
        <w:rPr>
          <w:rFonts w:ascii="Times New Roman" w:hAnsi="Times New Roman"/>
          <w:i/>
          <w:sz w:val="20"/>
        </w:rPr>
        <w:t xml:space="preserve">Because we are not limited to any particular business or specific geographic location or any specific target businesses with which to pursue our initial business combination, you will be unable to ascertain the merits or risks of any particular target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Although we intend to focus on A&amp;D, cybersecurity, encryption and quantum technologies, satellite and drone technologies for commercial and defense applications, and semiconductor “system on a chip” (SOC) industry, we may pursue acquisition opportunities in any geographic region and in any business industry or sector. Except for the limitations that a target business has a fair market value of at least 80% of the value of the trust account (less permitted withdrawals)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Furthermore, some of these risks may be outside of our control and leave us with no ability to control or reduce the chances that those risks will adversely impact a target business. An investment in our public units may not ultimately prove to be more favorable to investors than a direct investment, if such opportunity were available, in an acquisition target. </w:t>
      </w:r>
    </w:p>
    <w:p>
      <w:pPr>
        <w:pStyle w:val="TextBody"/>
        <w:bidi w:val="0"/>
        <w:spacing w:before="240" w:after="0"/>
        <w:jc w:val="left"/>
        <w:rPr>
          <w:rFonts w:ascii="Times New Roman" w:hAnsi="Times New Roman"/>
          <w:i/>
          <w:sz w:val="20"/>
        </w:rPr>
      </w:pPr>
      <w:r>
        <w:rPr>
          <w:rFonts w:ascii="Times New Roman" w:hAnsi="Times New Roman"/>
          <w:i/>
          <w:sz w:val="20"/>
        </w:rPr>
        <w:t xml:space="preserve">The requirement that the acquisition target(s) that we acquire must collectively have a fair market value equal to at least 80% of the balance of the funds in the trust account (less any taxes payable on interest earned) at the time of the execution of a definitive agreement for our initial business combination may limit the type and number of companies with which we may complete such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Nasdaq listing rules, the target business or businesses that we acquire must collectively have a fair market value equal to at least 80% of the balance of the funds in the trust account (less any taxes payable on interest earned) at the time of the execution of a definitive agreement for our initial business combination. This restriction may limit the type and number of companies with which we may complete an initial business combination. If we are unable to locate a target business or businesses that satisfy this fair market value test, we may be forced to liquidate and you will only be entitled to receive your pro rata portion of the funds in the trust account. The Nasdaq listing rules require that such initial business combination must be approved by a majority of the company’s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We may seek acquisition opportunities outside the A&amp;D, cybersecurity, encryption and quantum technologies, satellite and drone technologies for commercial and defense applications, and semiconductor “system on a chip” (SOC) industry, which may be outside of our management’s areas of expertise. </w:t>
      </w:r>
    </w:p>
    <w:p>
      <w:pPr>
        <w:pStyle w:val="TextBody"/>
        <w:bidi w:val="0"/>
        <w:spacing w:before="240" w:after="0"/>
        <w:jc w:val="left"/>
        <w:rPr>
          <w:rFonts w:ascii="Times New Roman" w:hAnsi="Times New Roman"/>
          <w:sz w:val="20"/>
        </w:rPr>
      </w:pPr>
      <w:r>
        <w:rPr>
          <w:rFonts w:ascii="Times New Roman" w:hAnsi="Times New Roman"/>
          <w:sz w:val="20"/>
        </w:rPr>
        <w:t xml:space="preserve">We will consider a business combination outside the A&amp;D, cybersecurity, encryption and quantum technologies, satellite and drone technologies for commercial and defense applications, and semiconductor “system on a chip” (SOC) industry, which may be outside of our management’s areas of expertise, if a business combination candidate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ordinary shares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shareholder who chooses to remain a shareholder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 </w:t>
      </w:r>
    </w:p>
    <w:p>
      <w:pPr>
        <w:pStyle w:val="TextBody"/>
        <w:bidi w:val="0"/>
        <w:spacing w:before="240" w:after="0"/>
        <w:jc w:val="left"/>
        <w:rPr>
          <w:rFonts w:ascii="Times New Roman" w:hAnsi="Times New Roman"/>
          <w:i/>
          <w:sz w:val="20"/>
        </w:rPr>
      </w:pPr>
      <w:r>
        <w:rPr>
          <w:rFonts w:ascii="Times New Roman" w:hAnsi="Times New Roman"/>
          <w:i/>
          <w:sz w:val="20"/>
        </w:rPr>
        <w:t xml:space="preserve">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 </w:t>
      </w:r>
    </w:p>
    <w:p>
      <w:pPr>
        <w:pStyle w:val="TextBody"/>
        <w:bidi w:val="0"/>
        <w:spacing w:before="240" w:after="0"/>
        <w:jc w:val="left"/>
        <w:rPr>
          <w:rFonts w:ascii="Times New Roman" w:hAnsi="Times New Roman"/>
          <w:sz w:val="20"/>
        </w:rPr>
      </w:pPr>
      <w:r>
        <w:rPr>
          <w:rFonts w:ascii="Times New Roman" w:hAnsi="Times New Roman"/>
          <w:sz w:val="20"/>
        </w:rPr>
        <w:t xml:space="preserve">Although we have identified specific criteria and guidelines for evaluating prospective target businesses, it is possible that a target business with which we enter into our initial business combination will not have all of these positive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the Nasdaq rules,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$10.00 per share (whether or not the underwriters’ over- allotment option is exercised in full) or potentially less than $10.00 per share on our redemption. </w:t>
      </w:r>
    </w:p>
    <w:p>
      <w:pPr>
        <w:pStyle w:val="TextBody"/>
        <w:bidi w:val="0"/>
        <w:spacing w:before="240" w:after="0"/>
        <w:jc w:val="left"/>
        <w:rPr>
          <w:rFonts w:ascii="Times New Roman" w:hAnsi="Times New Roman"/>
          <w:i/>
          <w:sz w:val="20"/>
        </w:rPr>
      </w:pPr>
      <w:r>
        <w:rPr>
          <w:rFonts w:ascii="Times New Roman" w:hAnsi="Times New Roman"/>
          <w:i/>
          <w:sz w:val="20"/>
        </w:rPr>
        <w:t xml:space="preserve">We may seek acquisition opportunities with an early-stage company, a financially unstable business or an entity lacking an established record of revenue or earnings.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we complete our initial business combination with an early-stage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executive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We are not required to obtain an opinion from an independent investment banking firm or another independent entity, and consequently, an independent source may not confirm that the price we are paying for the business is fair to our shareholders from a financial point of view. </w:t>
      </w:r>
    </w:p>
    <w:p>
      <w:pPr>
        <w:pStyle w:val="TextBody"/>
        <w:bidi w:val="0"/>
        <w:spacing w:before="240" w:after="0"/>
        <w:jc w:val="left"/>
        <w:rPr>
          <w:rFonts w:ascii="Times New Roman" w:hAnsi="Times New Roman"/>
          <w:sz w:val="20"/>
        </w:rPr>
      </w:pPr>
      <w:r>
        <w:rPr>
          <w:rFonts w:ascii="Times New Roman" w:hAnsi="Times New Roman"/>
          <w:sz w:val="20"/>
        </w:rPr>
        <w:t xml:space="preserve">Unless we consummate our initial business combination with an affiliated entity, we are not required to obtain an opinion from an independent investment banking firm or another independent entity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Our board of directors will have significant discretion in choosing the standard used to establish the fair market value of the target acquisition. Such standards used will be disclosed in our tender offer documents or proxy solicitation materials, as applicable, related to our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We may issue additional ordinary or preferred shares to complete our initial business combination or under an employee incentive plan upon or after consummation of our initial business combination, which would dilute the interest of our shareholders and likely present other risks.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memorandum and articles of association will authorize the issuance of up to 200,000,000 Class A ordinary shares, par value $0.0001 per share, 20,000,000 Class B ordinary shares, par value $0.0001 per share, and 1,000,000 preferred shares, par value $0.0001 per share. Immediately after this offering, there will be 177,662,325 authorized but unissued Class A ordinary shares and 10,596,192 authorized but unissued Class B ordinary shares (assuming that the underwriters have not exercised their over-allotment option and 1,410,624 Class B ordinary shares have been forfeited, as further described in this prospectus) available for issuance which amount does not take into account shares issuable upon conversion of the Class B ordinary shares, if any. The Class B ordinary shares are automatically convertible into Class A ordinary shares at the time of our initial business combination or earlier at the option of the holder on a one-for-one basis, subject to adjustment pursuant to certain anti-dilution rights, as described herein and in our amended and restated memorandum and articles of association. Immediately after this offering, there will be no preferred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post-business combination company may issue a substantial number of additional Class A ordinary shares or preferred shares to complete its initial business combination or under an employee incentive plan after completion of an initial business combination. The post-business combination company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the completion of our initial business combination, we may not issue additional shares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 These provisions of our amended and restated memorandum and articles of association, like all provisions of our amended and restated memorandum and articles of association, may be amended with a shareholder vote. The issuance of additional ordinary or preferred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subordinate the rights of holders of Class A ordinary shares if preferred shares are issued with rights senior to those afforded to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could cause a change in control if a substantial number of Class A ordinary shares are issued, which may affect, among other things, the post-business combination company’s ability to use its net operating loss carry forwards, if any, and could result in the resignation or removal of the post-business combination company’s officers and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have the effect of delaying or preventing a change of control of the post-business combination company by diluting the share ownership or voting rights of a person seeking to obtain control of the post-business combination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adversely affect prevailing market prices for our public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more information on additional financing that we may raise in connection with our business combination and risks related thereto, </w:t>
      </w:r>
      <w:r>
        <w:rPr>
          <w:rFonts w:ascii="Times New Roman" w:hAnsi="Times New Roman"/>
          <w:b/>
          <w:sz w:val="20"/>
        </w:rPr>
        <w:t>also see “Risk Factors</w:t>
      </w:r>
      <w:r>
        <w:rPr>
          <w:rFonts w:ascii="Times New Roman" w:hAnsi="Times New Roman"/>
          <w:sz w:val="20"/>
        </w:rPr>
        <w:t xml:space="preserve">— </w:t>
      </w:r>
      <w:r>
        <w:rPr>
          <w:rFonts w:ascii="Times New Roman" w:hAnsi="Times New Roman"/>
          <w:b/>
          <w:i/>
          <w:sz w:val="20"/>
        </w:rPr>
        <w:t>Risks Relating to the Post-Business Combination Company —The post-business combination company may issue shares to investors in connection with our initial business combination at a price which is less than $10.00 or the prevailing market price of our shares at that time, which could dilute the interests of our existing shareholders and add costs</w:t>
      </w:r>
      <w:r>
        <w:rPr>
          <w:rFonts w:ascii="Times New Roman" w:hAnsi="Times New Roman"/>
          <w:sz w:val="20"/>
        </w:rPr>
        <w:t xml:space="preserve">” </w:t>
      </w:r>
      <w:r>
        <w:rPr>
          <w:rFonts w:ascii="Times New Roman" w:hAnsi="Times New Roman"/>
          <w:b/>
          <w:sz w:val="20"/>
        </w:rPr>
        <w:t>and “</w:t>
      </w:r>
      <w:r>
        <w:rPr>
          <w:rFonts w:ascii="Times New Roman" w:hAnsi="Times New Roman"/>
          <w:b/>
          <w:i/>
          <w:sz w:val="20"/>
        </w:rPr>
        <w:t>Risk Factors — Risks Relating to our Search for, and Consummation of or Inability to Consummate, a Business Combination — We may issue notes or other debt securities, or otherwise incur substantial debt, to complete our initial business combination, which may adversely affect our financial condition and thus negatively impact the value of our shareholders’ investment in us</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Resources could be wasted in researching acquisitions that are not consummated,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$10.00 per share (whether or not the underwriters’ over-allotment option is exercised in full) or potentially less than $10.00 per share on our redemption, and our warrants will expire worthless. </w:t>
      </w:r>
    </w:p>
    <w:p>
      <w:pPr>
        <w:pStyle w:val="TextBody"/>
        <w:bidi w:val="0"/>
        <w:spacing w:before="240" w:after="0"/>
        <w:jc w:val="left"/>
        <w:rPr>
          <w:rFonts w:ascii="Times New Roman" w:hAnsi="Times New Roman"/>
          <w:i/>
          <w:sz w:val="20"/>
        </w:rPr>
      </w:pPr>
      <w:r>
        <w:rPr>
          <w:rFonts w:ascii="Times New Roman" w:hAnsi="Times New Roman"/>
          <w:i/>
          <w:sz w:val="20"/>
        </w:rPr>
        <w:t xml:space="preserve">We may engage in our initial business combination with one or more target businesses that have relationships with entities that may be affiliated with our sponsor, executive officers or directors, which may raise potential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light of the involvement of our sponsor, executive officers, directors, and each of their affiliates, with other entities, we may decide to acquire one or more businesses affiliated with our sponsor, executive officers or directors, or any of their affiliates. Our directors also serve as executive officers and board members for other entities. Our sponsor, executive officers and directors are not currently aware of any specific opportunities for us to consummate our initial business combination with any entities with which they are affiliated, and there have been no discussions concerning a business combination with any such entity or entities. Although we will not be specifically focusing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on, or targeting, any transaction with any affiliated entities, we would pursue such a transaction if we determined that such affiliated entity met our criteria for our initial business combination as set forth in “</w:t>
      </w:r>
      <w:r>
        <w:rPr>
          <w:rFonts w:ascii="Times New Roman" w:hAnsi="Times New Roman"/>
          <w:i/>
          <w:sz w:val="20"/>
        </w:rPr>
        <w:t>Proposed</w:t>
      </w:r>
      <w:r>
        <w:rPr>
          <w:rFonts w:ascii="Times New Roman" w:hAnsi="Times New Roman"/>
          <w:sz w:val="20"/>
        </w:rPr>
        <w:t xml:space="preserve"> </w:t>
      </w:r>
      <w:r>
        <w:rPr>
          <w:rFonts w:ascii="Times New Roman" w:hAnsi="Times New Roman"/>
          <w:i/>
          <w:sz w:val="20"/>
        </w:rPr>
        <w:t>Business—Initial Business Combination—Selection of a Target Business and Structuring of a</w:t>
      </w:r>
      <w:r>
        <w:rPr>
          <w:rFonts w:ascii="Times New Roman" w:hAnsi="Times New Roman"/>
          <w:sz w:val="20"/>
        </w:rPr>
        <w:t xml:space="preserve"> </w:t>
      </w:r>
      <w:r>
        <w:rPr>
          <w:rFonts w:ascii="Times New Roman" w:hAnsi="Times New Roman"/>
          <w:i/>
          <w:sz w:val="20"/>
        </w:rPr>
        <w:t>Business Combination</w:t>
      </w:r>
      <w:r>
        <w:rPr>
          <w:rFonts w:ascii="Times New Roman" w:hAnsi="Times New Roman"/>
          <w:sz w:val="20"/>
        </w:rPr>
        <w:t xml:space="preserve">” and such transaction was approved by a majority of our disinterested directors. In such event, neither the sponsor, nor any executive officer or director, will be entitled to receive or accept a finder’s fee or any other compensation in the event such party originates a business combination. Despite our agreement to obtain an opinion from an independent investment banking firm or another independent entity regarding the fairness to our shareholders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shareholders as they would be absent any conflicts of interest. Our directors have a fiduciary duty to act in the best interests of our shareholders, whether or not a conflict of interest may exist. </w:t>
      </w:r>
    </w:p>
    <w:p>
      <w:pPr>
        <w:pStyle w:val="TextBody"/>
        <w:bidi w:val="0"/>
        <w:spacing w:before="240" w:after="0"/>
        <w:jc w:val="left"/>
        <w:rPr>
          <w:rFonts w:ascii="Times New Roman" w:hAnsi="Times New Roman"/>
          <w:sz w:val="20"/>
        </w:rPr>
      </w:pPr>
      <w:r>
        <w:rPr>
          <w:rFonts w:ascii="Times New Roman" w:hAnsi="Times New Roman"/>
          <w:sz w:val="20"/>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w:t>
      </w:r>
      <w:r>
        <w:rPr>
          <w:rFonts w:ascii="Times New Roman" w:hAnsi="Times New Roman"/>
          <w:i/>
          <w:sz w:val="20"/>
        </w:rPr>
        <w:t>Description of Securities — Certain Differences in Corporate Law — Shareholders’ Suits</w:t>
      </w:r>
      <w:r>
        <w:rPr>
          <w:rFonts w:ascii="Times New Roman" w:hAnsi="Times New Roman"/>
          <w:sz w:val="20"/>
        </w:rPr>
        <w:t xml:space="preserve">” for further information on the ability to bring such claims. However, we might not ultimately be successful in any claim we may make against them for such reason. </w:t>
      </w:r>
    </w:p>
    <w:p>
      <w:pPr>
        <w:pStyle w:val="TextBody"/>
        <w:bidi w:val="0"/>
        <w:spacing w:before="240" w:after="0"/>
        <w:jc w:val="left"/>
        <w:rPr>
          <w:rFonts w:ascii="Times New Roman" w:hAnsi="Times New Roman"/>
          <w:i/>
          <w:sz w:val="20"/>
        </w:rPr>
      </w:pPr>
      <w:r>
        <w:rPr>
          <w:rFonts w:ascii="Times New Roman" w:hAnsi="Times New Roman"/>
          <w:i/>
          <w:sz w:val="20"/>
        </w:rPr>
        <w:t xml:space="preserve">Since our sponsor, officers and directors, any other holder of our founder shares, private investor shares and private placement units, including the non-managing investors, will lose their entire investment in us if our initial business combination is not consummated (other than with respect to public shares they may acquire during or after this offering), and our executive officers and directors have significant financial interests in our sponsor, a conflict of interest may arise in determining whether a particular acquisition target is appropriate for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Class B ordinary shares remain subject to forfeiture depending on the extent to which the underwriters’ over-allotment option is exercised during this offering. Prior to the making of this offering, the sponsor transferred 5,000 founder shares to Christine Marshall, our Chief Financial Officer, solely in consideration of future services to us. The 5,000 founder shares granted to Ms. Marshall are subject to forfeiture back to the sponsor in the event she resigns or is removed for cause from her position with us prior to consummation of our initial business combination. Our sponsor is selling at the time of the consummation of this offering 375,397 founder shares in the aggregate to Messrs. Greene, Machuca, Timm and Horowitz at an aggregate price of $9,244 and 1,416,665 founder shares to Lynrock at an aggregate price of $13,130. Following this sale of shares, the sponsor will hold 6,053,167 founder shares, and the price paid by our sponsor for the 6,053,167 founder shares which it is retaining will be reduced to $2,626, or $0.000434 per share. Up to 1,023,943 founder shares held by our insiders and Lynrock will remain subject to forfeiture on a pro rata basis depending on the extent to which the underwriters’ over-allotment option is exercised during this offering. The number of founder shares to be held after this offering is determined based on the expectation that the founder shares together with the private investor shares held by non-managing investors would represent 30.7% of the issued and outstanding ordinary shares upon the completion of this offering. The founder shares and the private investor shares will be worthless if we do not complete an initial business combination. Drs. Katz and Dinu, who are husband and wife, have a financial interest in an affiliate of our sponsor, the management company known as GigManagement, LLC, that is providing us with office space and general and administrative services. Drs. Katz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Dinu are also managing members of GigManagement, LLC. See “— </w:t>
      </w:r>
      <w:r>
        <w:rPr>
          <w:rFonts w:ascii="Times New Roman" w:hAnsi="Times New Roman"/>
          <w:i/>
          <w:sz w:val="20"/>
        </w:rPr>
        <w:t>Certain Relationships and Related Party</w:t>
      </w:r>
      <w:r>
        <w:rPr>
          <w:rFonts w:ascii="Times New Roman" w:hAnsi="Times New Roman"/>
          <w:sz w:val="20"/>
        </w:rPr>
        <w:t xml:space="preserve"> </w:t>
      </w:r>
      <w:r>
        <w:rPr>
          <w:rFonts w:ascii="Times New Roman" w:hAnsi="Times New Roman"/>
          <w:i/>
          <w:sz w:val="20"/>
        </w:rPr>
        <w:t>Transactions</w:t>
      </w:r>
      <w:r>
        <w:rPr>
          <w:rFonts w:ascii="Times New Roman" w:hAnsi="Times New Roman"/>
          <w:sz w:val="20"/>
        </w:rPr>
        <w:t xml:space="preserve">.” The personal and financial interests of our sponsor, as well as our executive officers and directors with a significant financial interest in our sponsor, may influence their motivation in identifying and selecting a target business combination, completing an initial business combination and influencing the operation of the business following the initial business combination. This risk may become more acute as the end of the completion window nears, which is the deadline for our completion of an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We may only be able to complete one business combination with the proceeds of this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 </w:t>
      </w:r>
    </w:p>
    <w:p>
      <w:pPr>
        <w:pStyle w:val="TextBody"/>
        <w:bidi w:val="0"/>
        <w:spacing w:before="240" w:after="0"/>
        <w:jc w:val="left"/>
        <w:rPr>
          <w:rFonts w:ascii="Times New Roman" w:hAnsi="Times New Roman"/>
          <w:sz w:val="20"/>
        </w:rPr>
      </w:pPr>
      <w:r>
        <w:rPr>
          <w:rFonts w:ascii="Times New Roman" w:hAnsi="Times New Roman"/>
          <w:sz w:val="20"/>
        </w:rPr>
        <w:t xml:space="preserve">The gross proceeds after this offering, the sale of private investor shares and private placement units that we may use to complete our initial business combination will provide us with $220,000,000 (or $253,000,000 if the underwriters’ over-allotment option is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dependent upon the performance of a single business, property or asset,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dependent upon the development or market acceptance of a single or limited number of products, processes or services.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lack of diversification may subject us to numerous economic, competitive and regulatory risks, any or all of which may have a substantial adverse impact upon the particular industry in which we may operate subsequent to our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 </w:t>
      </w:r>
    </w:p>
    <w:p>
      <w:pPr>
        <w:pStyle w:val="TextBody"/>
        <w:bidi w:val="0"/>
        <w:spacing w:before="240" w:after="0"/>
        <w:jc w:val="left"/>
        <w:rPr>
          <w:rFonts w:ascii="Times New Roman" w:hAnsi="Times New Roman"/>
          <w:sz w:val="20"/>
        </w:rPr>
      </w:pPr>
      <w:r>
        <w:rPr>
          <w:rFonts w:ascii="Times New Roman" w:hAnsi="Times New Roman"/>
          <w:sz w:val="20"/>
        </w:rPr>
        <w:t xml:space="preserve">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We may attempt to consummate our initial business combination with a private company about which little information is available, which may result in our initial business combination with a company that is not as profitable as we suspected, or at all. </w:t>
      </w:r>
    </w:p>
    <w:p>
      <w:pPr>
        <w:pStyle w:val="TextBody"/>
        <w:bidi w:val="0"/>
        <w:spacing w:before="240" w:after="0"/>
        <w:jc w:val="left"/>
        <w:rPr>
          <w:rFonts w:ascii="Times New Roman" w:hAnsi="Times New Roman"/>
          <w:sz w:val="20"/>
        </w:rPr>
      </w:pPr>
      <w:r>
        <w:rPr>
          <w:rFonts w:ascii="Times New Roman" w:hAnsi="Times New Roman"/>
          <w:sz w:val="20"/>
        </w:rPr>
        <w:t xml:space="preserve">In pursuing our acquisition strategy, we may seek to effectuate our initial business combination with a privately held company. By definition, very little public information exists about private companies, and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be required to make our decision on whether to pursue a potential initial business combination on the basis of limited information, which may result in our initial business combination with a company that is not as profitable as we suspected, or at all. </w:t>
      </w:r>
    </w:p>
    <w:p>
      <w:pPr>
        <w:pStyle w:val="TextBody"/>
        <w:bidi w:val="0"/>
        <w:spacing w:before="240" w:after="0"/>
        <w:jc w:val="left"/>
        <w:rPr>
          <w:rFonts w:ascii="Times New Roman" w:hAnsi="Times New Roman"/>
          <w:i/>
          <w:sz w:val="20"/>
        </w:rPr>
      </w:pPr>
      <w:r>
        <w:rPr>
          <w:rFonts w:ascii="Times New Roman" w:hAnsi="Times New Roman"/>
          <w:i/>
          <w:sz w:val="20"/>
        </w:rPr>
        <w:t xml:space="preserve">Unlike some blank check companies, we do not have a specified maximum redemption threshold. The absence of such a redemption threshold may make it easier for us to consummate our initial business combination with which a substantial majority of our shareholders do not agree. </w:t>
      </w:r>
    </w:p>
    <w:p>
      <w:pPr>
        <w:pStyle w:val="TextBody"/>
        <w:bidi w:val="0"/>
        <w:spacing w:before="240" w:after="0"/>
        <w:jc w:val="left"/>
        <w:rPr>
          <w:rFonts w:ascii="Times New Roman" w:hAnsi="Times New Roman"/>
          <w:sz w:val="20"/>
        </w:rPr>
      </w:pPr>
      <w:r>
        <w:rPr>
          <w:rFonts w:ascii="Times New Roman" w:hAnsi="Times New Roman"/>
          <w:sz w:val="20"/>
        </w:rPr>
        <w:t xml:space="preserve">Since we have no specified percentage threshold for redemption contained in our amended and restated memorandum and articles of association, our structure is different in this respect from the structure that has been used by many blank check companies. Historically, blank check companies would not be able to consummate an initial business combination if the holders of such company’s public shares voted against a proposed business combination and elected to redeem more than a specified maximum percentage of the shares sold in such company’s IPO, which percentage threshold was typically between 19.99% and 39.99%. As a result, many blank check companies were unable to complete a business combination because the amount of shares voted by their public shareholders electing redemption exceeded the maximum redemption threshold pursuant to which such company could proceed with its initial business combination. As a result, we may be able to consummate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business combination pursuant to the tender offer, have entered into privately negotiated agreements to sell their shares to us or our sponsor, executive officers, directors, or their affiliates. If too many public shareholders exercise their redemption rights so that we cannot satisfy any net worth or cash requirements, we would not proceed with the redemption of our public shares and the related business combination, and instead may search for an alternate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a majority of our issued and outstanding shares. It may be easier for us, therefore, to amend our amended and restated memorandum and articles of association and the trust agreement to facilitate the completion of an initial business combination that some of our shareholders may not support.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memorandum and articles of association will provide that any of its provisions related to pre-business combination activity (including the requirement to deposit proceeds of this offering and the sale of the private investor shares and private placement units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65% of our ordinary shares, which are represented in person or by proxy and are voted at a general meeting; </w:t>
      </w:r>
      <w:r>
        <w:rPr>
          <w:rFonts w:ascii="Times New Roman" w:hAnsi="Times New Roman"/>
          <w:i/>
          <w:sz w:val="20"/>
        </w:rPr>
        <w:t>provided</w:t>
      </w:r>
      <w:r>
        <w:rPr>
          <w:rFonts w:ascii="Times New Roman" w:hAnsi="Times New Roman"/>
          <w:sz w:val="20"/>
        </w:rPr>
        <w:t xml:space="preserve"> that 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 Our initial shareholders, and their permitted transferees, if any, who will collectively beneficially own, on an as-converted basis, 30.7% of our issued and outstanding ordinary shares upon the closing of this offering (assuming they do not purchase any shares in this offering and that no over-allotment option is exercised by the underwriters), will participate in any vote to amend our amended and restated memorandum and articles of association and will have the discretion to vote in any manner they choose.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30.7%, and although the non-managing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If an amendment to any such provision is approved by the requisite shareholder vote, then the corresponding provisions of the trust agreement governing the release of funds from our trust account may be amended. Subsequent to this offering and prior to the consummation of our initial business combination, we may not issue additional securities that can vote on amendments to our amended and restated memorandum and articles of association. Our sponsor, executive officers and directors (and their permitted transferees) will collectively beneficially own approximately 17.8% of our outstanding ordinary shares upon the closing of this offering (assuming they do not purchase any public units in this offering and that the underwriters do not exercise their over-allotment option), and they may participate in any vote to amend our amended and restated memorandum and articles of association and/or trust agreement and will have the discretion to vote in any manner they choose; </w:t>
      </w:r>
      <w:r>
        <w:rPr>
          <w:rFonts w:ascii="Times New Roman" w:hAnsi="Times New Roman"/>
          <w:i/>
          <w:sz w:val="20"/>
        </w:rPr>
        <w:t>provided, that</w:t>
      </w:r>
      <w:r>
        <w:rPr>
          <w:rFonts w:ascii="Times New Roman" w:hAnsi="Times New Roman"/>
          <w:sz w:val="20"/>
        </w:rPr>
        <w:t xml:space="preserve">, each of them has agreed (and any of their permitted transferees will agree), pursuant to a written 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Our shareholders are not parties to, or third-party beneficiaries of, this agreement and, as a result, will not have the ability to pursue remedies against our sponsor, executive officers, directors or director nominees for any breach of this agreement. As a result, in the event of a breach, our shareholders would need to pursue a shareholder derivative action, subject to applicable law. </w:t>
      </w:r>
    </w:p>
    <w:p>
      <w:pPr>
        <w:pStyle w:val="TextBody"/>
        <w:bidi w:val="0"/>
        <w:spacing w:before="240" w:after="0"/>
        <w:jc w:val="left"/>
        <w:rPr>
          <w:rFonts w:ascii="Times New Roman" w:hAnsi="Times New Roman"/>
          <w:i/>
          <w:sz w:val="20"/>
        </w:rPr>
      </w:pPr>
      <w:r>
        <w:rPr>
          <w:rFonts w:ascii="Times New Roman" w:hAnsi="Times New Roman"/>
          <w:i/>
          <w:sz w:val="20"/>
        </w:rPr>
        <w:t xml:space="preserve">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$10.00 per share (whether or not the underwriters’ over-allotment option is exercised in full) or potentially less than $10.00 per share on our redemption.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net proceeds of this offering and the sale of the founder shares, including the interest earned on the proceeds held in the trust account that may be available to us for our initial business combination, will be sufficient to allow us to consummate our initial business combination, because we have not yet identified any prospective target business we cannot ascertain the capital requirements for any particular transaction. If the net proceeds of this offering and the sale of the private investor shares and private placement units prove to be insufficient, either because of the size of our initial business combination, the depletion of the available net proceeds in search of a target business, the obligation to repurchase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shareholders may only receive $10.00 per share (whether or not the underwriters’ over-allotment option is exercised in full) or potentially less than $10.00 per share on our redemption. In addition, even if we do not need additional financing to consummate our initial business combination, we may require such financing to fund the operations or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Our initial shareholders will control a substantial interest in us and thus may influence certain actions requiring a shareholder vote.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our offering, our initial shareholders will own approximately 30.7% of the issued and outstanding shares (assuming that they do not purchase any public units in this offering and that the underwriters do not exercise their over-allotment option). None of our sponsor, executive officers, directors, or any of their affiliates has indicated any intention to purchase public units in this offering or any public units or public shares from persons on the open market or in private transactions. Similarly, 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sponsor, executive officers, directors, or any of their affiliates could determine in the future to make additional purchases on the open market or in private transactions, to the extent permitted by law, in order to influence the vote or magnitude of the number of shareholders seeking to tender their shares to us. Factors that would be considered in making such additional purchases would include consideration of the current trading price of our public shares. Accordingly, the initial shareholders may exert a substantial influence on actions requiring a shareholder vote, potentially in a manner that you do not support, including amendments to our amended and restated memorandum and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If our initial shareholders purchase any public shares in this offering or if our initial shareholders purchase any additional public shares in the aftermarket or in privately negotiated transactions, this would increase their control. Accordingly, our initial shareholders will continue to exert control at least until the completion of our initial business combination. In addition, we have agreed not to enter into a definitive agreement regarding an initial business combination without the prior consent of our sponsor. In connection with any vote for a proposed business combination our sponsor, executive officers and directors have agreed to vote all their shares held by them immediately before this offering, as well as any public shares acquired in this offering or in the aftermarket in favor of such proposed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Because we must furnish our shareholders with target business financial statements, we may lose the ability to complete an otherwise advantageous initial business combination with some prospective target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United States federal proxy rules require that a proxy statement with respect to a vote on a business combination meeting certain financial significance tests include historical and/or pro forma financial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 in periodic reports. We will include the same financial statement disclosure in connection with our tender offer documents, whether or not they are required under the tender offer rules. These financial statements must be prepared in accordance with, or be reconciled to, United States generally accepted accounting principles (“GAAP”), or International Financial Reporting Standards (“IFRS”) as issued by the International Accounting Standards Board, and the historical financial statements must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consummate our initial business combination within our 24-month time frame. </w:t>
      </w:r>
    </w:p>
    <w:p>
      <w:pPr>
        <w:pStyle w:val="TextBody"/>
        <w:bidi w:val="0"/>
        <w:spacing w:before="240" w:after="0"/>
        <w:jc w:val="left"/>
        <w:rPr>
          <w:rFonts w:ascii="Times New Roman" w:hAnsi="Times New Roman"/>
          <w:i/>
          <w:sz w:val="20"/>
        </w:rPr>
      </w:pPr>
      <w:r>
        <w:rPr>
          <w:rFonts w:ascii="Times New Roman" w:hAnsi="Times New Roman"/>
          <w:i/>
          <w:sz w:val="20"/>
        </w:rPr>
        <w:t xml:space="preserve">Redeeming shareholders may be unable to sell their securities when they wish to in the event that the proposed business combination is not approved. </w:t>
      </w:r>
    </w:p>
    <w:p>
      <w:pPr>
        <w:pStyle w:val="TextBody"/>
        <w:bidi w:val="0"/>
        <w:spacing w:before="240" w:after="0"/>
        <w:jc w:val="left"/>
        <w:rPr>
          <w:rFonts w:ascii="Times New Roman" w:hAnsi="Times New Roman"/>
          <w:sz w:val="20"/>
        </w:rPr>
      </w:pPr>
      <w:r>
        <w:rPr>
          <w:rFonts w:ascii="Times New Roman" w:hAnsi="Times New Roman"/>
          <w:sz w:val="20"/>
        </w:rPr>
        <w:t xml:space="preserve">We will require public shareholders who wish to redeem their public shares in connection with any proposed business combination to comply with the delivery requirements discussed above for redemption. If such proposed business combination is not consummated, we will promptly return such certificates to the tendering public shareholders. Accordingly, investors who attempted to redeem their shares in such a circumstance will be unable to sell their securities after the failed acquisition until we have returned their securities to them. The market price for our public shares may decline during this time and you may not be able to sell your securities when you wish to, even while other shareholders that did not seek redemption may be able to sell their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Our management team, the 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 </w:t>
      </w:r>
    </w:p>
    <w:p>
      <w:pPr>
        <w:pStyle w:val="TextBody"/>
        <w:bidi w:val="0"/>
        <w:spacing w:before="240" w:after="0"/>
        <w:jc w:val="left"/>
        <w:rPr>
          <w:rFonts w:ascii="Times New Roman" w:hAnsi="Times New Roman"/>
          <w:sz w:val="20"/>
        </w:rPr>
      </w:pPr>
      <w:r>
        <w:rPr>
          <w:rFonts w:ascii="Times New Roman" w:hAnsi="Times New Roman"/>
          <w:sz w:val="20"/>
        </w:rPr>
        <w:t xml:space="preserve">Like most special purpose acquisition companies, our structure may not fully align the economic interests of our sponsor and those persons, including certain of our officers and directors, who have interests in our sponsor with the economic interests of our public shareholders. Upon the closing of this offering, assuming no exercise of the underwriters’ over-allotment option and the forfeiture of 1,023,943 founder shares, our insiders will have invested in us an aggregate of $452,000.48 comprised of the $2,626 purchase price paid by the sponsor for 6,053,167 founder shares (after giving effect to the sales of shares to the four directors and Lynrock and the transfer of 5,000 founder shares to our Chief Financial Officer), the $9,244 purchase price paid by the four directors for the aggregate of 375,397 founder shares and $440,130.48 purchase price for the 45,200 private placement units which our insiders will hold. Assuming a trading price of $10.00 per share upon consummation of our initial business combination, the 5,599,050 founder shares held by the insiders would have an aggregate implied value of $55,990,500, and the 45,200 private placement shares that would be held by the insiders would have an aggregate implied value of $452,000, for an aggregated implied value of all such shares held by our insiders of $56,442,500. Even if the trading price of our public shares was as low as $0.000434 per share, the value of the founder shares would be equal to the insiders’ aggregate investment in us for such shares. Furthermore, if the trading price of our public shares was as low as $0.080 per share, the value of the aggregated shares of our insiders (the founder shares and the private placement shares combined) would be equal to the insiders’ total aggregated investment in us. </w:t>
      </w:r>
    </w:p>
    <w:p>
      <w:pPr>
        <w:pStyle w:val="TextBody"/>
        <w:bidi w:val="0"/>
        <w:spacing w:before="240" w:after="0"/>
        <w:jc w:val="left"/>
        <w:rPr>
          <w:rFonts w:ascii="Times New Roman" w:hAnsi="Times New Roman"/>
          <w:sz w:val="20"/>
        </w:rPr>
      </w:pPr>
      <w:r>
        <w:rPr>
          <w:rFonts w:ascii="Times New Roman" w:hAnsi="Times New Roman"/>
          <w:sz w:val="20"/>
        </w:rPr>
        <w:t xml:space="preserve">Similarly, upon closing of this offering, assuming no exercise of the underwriters’ over-allotment option and the forfeiture of 386,681 private investor shares, the non-managing investors will have invested $2,430,006 in us in the aggregate for the purchase of 2,577,522 private investor shares at a purchase price of $0.023254 per private investor share and 242,475 private placement units at a purchase price of $9.7374 per private placement unit. Assuming the trading price of $10.00 per share upon consummation of our initial business combination, the 2,577,522 private placement shares held by the non-managing investors would have an aggregate implied value of $25,775,220, and the 242,475 private placement shares would have an aggregate implied value of $2,424,750,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an aggregated implied value of all such shares held by the non-managing investors of $28,199,970. Even if the trading price of our public shares was as low as $0.862 per share, the value of the combined private investor shares and private placement shares collectively held by the non-managing investors would be equal to the aggregate investment of the non-managing investors in us. </w:t>
      </w:r>
    </w:p>
    <w:p>
      <w:pPr>
        <w:pStyle w:val="TextBody"/>
        <w:bidi w:val="0"/>
        <w:spacing w:before="240" w:after="0"/>
        <w:jc w:val="left"/>
        <w:rPr>
          <w:rFonts w:ascii="Times New Roman" w:hAnsi="Times New Roman"/>
          <w:sz w:val="20"/>
        </w:rPr>
      </w:pPr>
      <w:r>
        <w:rPr>
          <w:rFonts w:ascii="Times New Roman" w:hAnsi="Times New Roman"/>
          <w:sz w:val="20"/>
        </w:rPr>
        <w:t xml:space="preserve">As a result, so long as we complete an initial business combination, our insiders and non-managing investors are likely to be able to recoup their investment in us and make a substantial profit on that investment, even if our public shares lose significant value. Accordingly, our insiders, the non-managing investors and members of our management team who own interests in our sponsor may have incentives to pursue and consummate an initial business combination quickly, with a risky or not well established target business, and/or on transaction terms favorable to the equityholders of the target business, rather than continue to seek a more favorable business combination transaction that could result in an improved outcome for our public shareholders or liquidate and return all of the cash in the trust to the public shareholders. For the foregoing reasons, you should consider our insiders’, the non-managing investors’ and our management team’s financial incentive to complete an initial business combination when evaluating whether to invest in this offering and/or redeem your shares prior to or in connection with an initial business combination. The non-managing investors will share in any appreciation of the private placement shares if we successfully complete a business combination. Accordingly, non-managing investors’ interests in the private placement shares owned by them may provide them with an incentive to vote any public shares they own in favor of a business combination, and make a substantial profit on such interests, even if the business combination is with a target that ultimately declines in value and is not profitable for other public shareholders. </w:t>
      </w:r>
    </w:p>
    <w:p>
      <w:pPr>
        <w:pStyle w:val="TextBody"/>
        <w:bidi w:val="0"/>
        <w:spacing w:before="240" w:after="0"/>
        <w:jc w:val="left"/>
        <w:rPr>
          <w:rFonts w:ascii="Times New Roman" w:hAnsi="Times New Roman"/>
          <w:i/>
          <w:sz w:val="20"/>
        </w:rPr>
      </w:pPr>
      <w:r>
        <w:rPr>
          <w:rFonts w:ascii="Times New Roman" w:hAnsi="Times New Roman"/>
          <w:i/>
          <w:sz w:val="20"/>
        </w:rPr>
        <w:t xml:space="preserve">If we are unable to consummate our initial business combination within 24 months from the closing of this offering, our public shareholders may be forced to wait beyond such period before redemption from our trust account.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consummate our initial business combination within 24 months from the closing of this offering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If we are required to liquidate prior to distributing the aggregate amount then on deposit in the trust account (net of permitted withdrawals, and less up to $100,000 of interest to pay dissolution expenses) pro rata to our public shareholders, then such winding up, liquidation and distribution must comply with the applicable provisions of Cayman law. In that case, investors may be forced to wait beyond 24 months from the closing of this offering before the redemption proceeds of our trust account become available to them, and they receive the return of their pro rata portion of the proceeds from our trust account.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public shares. Only upon any such redemption of public shares as we are required to effect or any liquidation will public shareholders be entitled to distributions if we are unable to complete our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We may be unable to consummate an initial business combination if a target business requires that we have a certain amount of cash at closing, in which case public shareholders may have to remain shareholders of our company and wait until our redemption of the public shares to receive a pro rata share of the trust account or attempt to sell their shares on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our public shareholders electing to exercise their redemption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 business combination and we may not be able to locate another suitable target within the applicable time period, if at all. In that case, public shareholders may have to remain shareholders of our company and wait the full 24 months from the closing of this offering, in order to be able to receive a portion of the trust account, or attempt to sell their shares on the open market prior to such time, in which case they may receive less than they would have in a liquidation of the trust account. If you are in need of immediate liquidity, you could attempt to sell your shares on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on the open market. </w:t>
      </w:r>
    </w:p>
    <w:p>
      <w:pPr>
        <w:pStyle w:val="TextBody"/>
        <w:bidi w:val="0"/>
        <w:spacing w:before="240" w:after="0"/>
        <w:jc w:val="left"/>
        <w:rPr>
          <w:rFonts w:ascii="Times New Roman" w:hAnsi="Times New Roman"/>
          <w:i/>
          <w:sz w:val="20"/>
        </w:rPr>
      </w:pPr>
      <w:r>
        <w:rPr>
          <w:rFonts w:ascii="Times New Roman" w:hAnsi="Times New Roman"/>
          <w:i/>
          <w:sz w:val="20"/>
        </w:rPr>
        <w:t xml:space="preserve">Our sponsor may decide not to extend the term we have to consummate our initial business combination, in which case we would cease all operations except for the purpose of winding up and we would redeem our public shares and liquidate. </w:t>
      </w:r>
    </w:p>
    <w:p>
      <w:pPr>
        <w:pStyle w:val="TextBody"/>
        <w:bidi w:val="0"/>
        <w:spacing w:before="240" w:after="0"/>
        <w:jc w:val="left"/>
        <w:rPr>
          <w:rFonts w:ascii="Times New Roman" w:hAnsi="Times New Roman"/>
          <w:sz w:val="20"/>
        </w:rPr>
      </w:pPr>
      <w:r>
        <w:rPr>
          <w:rFonts w:ascii="Times New Roman" w:hAnsi="Times New Roman"/>
          <w:sz w:val="20"/>
        </w:rPr>
        <w:t xml:space="preserve">We will have until 24 months from the closing of this offering to consummate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we will, as promptly as reasonably possible but not more than ten (10) business days thereafter, redeem the public shares for a pro rata portion of the funds held in the trust account and as promptly as reasonably possible following such redemption, subject to the approval of our remaining shareholders and our board of directors, liquidate and dissolve, subject in each case to possible claims of creditors and the requirements of other applicable law. </w:t>
      </w:r>
    </w:p>
    <w:p>
      <w:pPr>
        <w:pStyle w:val="TextBody"/>
        <w:bidi w:val="0"/>
        <w:spacing w:before="240" w:after="0"/>
        <w:jc w:val="left"/>
        <w:rPr>
          <w:rFonts w:ascii="Times New Roman" w:hAnsi="Times New Roman"/>
          <w:i/>
          <w:sz w:val="20"/>
        </w:rPr>
      </w:pPr>
      <w:r>
        <w:rPr>
          <w:rFonts w:ascii="Times New Roman" w:hAnsi="Times New Roman"/>
          <w:i/>
          <w:sz w:val="20"/>
        </w:rPr>
        <w:t xml:space="preserve">We may seek business combination opportunities with a high degree of complexity that require significant operational improvements, which could delay or prevent us from achieving our desired results. </w:t>
      </w:r>
    </w:p>
    <w:p>
      <w:pPr>
        <w:pStyle w:val="TextBody"/>
        <w:bidi w:val="0"/>
        <w:spacing w:before="240" w:after="0"/>
        <w:jc w:val="left"/>
        <w:rPr>
          <w:rFonts w:ascii="Times New Roman" w:hAnsi="Times New Roman"/>
          <w:sz w:val="20"/>
        </w:rPr>
      </w:pPr>
      <w:r>
        <w:rPr>
          <w:rFonts w:ascii="Times New Roman" w:hAnsi="Times New Roman"/>
          <w:sz w:val="20"/>
        </w:rPr>
        <w:t xml:space="preserve">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chances that those risks and complexities will adversely impact a target business. Such combination may not be as successful as a combination with a smaller, less complex organization. </w:t>
      </w:r>
    </w:p>
    <w:p>
      <w:pPr>
        <w:pStyle w:val="TextBody"/>
        <w:bidi w:val="0"/>
        <w:spacing w:before="240" w:after="0"/>
        <w:jc w:val="left"/>
        <w:rPr>
          <w:rFonts w:ascii="Times New Roman" w:hAnsi="Times New Roman"/>
          <w:i/>
          <w:sz w:val="20"/>
        </w:rPr>
      </w:pPr>
      <w:r>
        <w:rPr>
          <w:rFonts w:ascii="Times New Roman" w:hAnsi="Times New Roman"/>
          <w:i/>
          <w:sz w:val="20"/>
        </w:rPr>
        <w:t xml:space="preserve">We may not hold an annual meeting of shareholders until after the consummation of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Nasdaq corporate governance requirements, we are not required to hold an annual meeting until one year after the first full fiscal year that the company is in existence. As an exempted company, there is no requirement under the Companies Act for us to hold annual or shareholder meetings to elect directors. Until we hold an annual meeting of shareholders, public shareholders may not be afforded the opportunity to elect directors and to discuss company affairs with management. </w:t>
      </w:r>
    </w:p>
    <w:p>
      <w:pPr>
        <w:pStyle w:val="TextBody"/>
        <w:bidi w:val="0"/>
        <w:spacing w:before="240" w:after="0"/>
        <w:jc w:val="left"/>
        <w:rPr>
          <w:rFonts w:ascii="Times New Roman" w:hAnsi="Times New Roman"/>
          <w:i/>
          <w:sz w:val="20"/>
        </w:rPr>
      </w:pPr>
      <w:r>
        <w:rPr>
          <w:rFonts w:ascii="Times New Roman" w:hAnsi="Times New Roman"/>
          <w:i/>
          <w:sz w:val="20"/>
        </w:rPr>
        <w:t xml:space="preserve">In order to effectuate an initial business combination, blank check companies have, in the recent past, amended various provisions of their charters and other governing instruments. We may seek to amend our amended and restated memorandum and articles of association or governing instruments in a manner that will make it easier for us to complete our initial business combination that our shareholders may not support. </w:t>
      </w:r>
    </w:p>
    <w:p>
      <w:pPr>
        <w:pStyle w:val="TextBody"/>
        <w:bidi w:val="0"/>
        <w:spacing w:before="240" w:after="0"/>
        <w:jc w:val="left"/>
        <w:rPr>
          <w:rFonts w:ascii="Times New Roman" w:hAnsi="Times New Roman"/>
          <w:sz w:val="20"/>
        </w:rPr>
      </w:pPr>
      <w:r>
        <w:rPr>
          <w:rFonts w:ascii="Times New Roman" w:hAnsi="Times New Roman"/>
          <w:sz w:val="20"/>
        </w:rPr>
        <w:t xml:space="preserve">In order to effectuate a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 business combination.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In addition, our amended and restated memorandum and articles of association will require us to provide our public shareholders with the opportunity to redeem their public shares for cash if we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public shares. To the extent any of such amendments would be deemed to fundamentally change the nature of the securities offered hereby,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 </w:t>
      </w:r>
    </w:p>
    <w:p>
      <w:pPr>
        <w:pStyle w:val="TextBody"/>
        <w:bidi w:val="0"/>
        <w:spacing w:before="240" w:after="0"/>
        <w:jc w:val="left"/>
        <w:rPr>
          <w:rFonts w:ascii="Times New Roman" w:hAnsi="Times New Roman"/>
          <w:sz w:val="20"/>
        </w:rPr>
      </w:pPr>
      <w:r>
        <w:rPr>
          <w:rFonts w:ascii="Times New Roman" w:hAnsi="Times New Roman"/>
          <w:sz w:val="20"/>
        </w:rPr>
        <w:t xml:space="preserve">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 </w:t>
      </w:r>
    </w:p>
    <w:p>
      <w:pPr>
        <w:pStyle w:val="TextBody"/>
        <w:bidi w:val="0"/>
        <w:spacing w:before="240" w:after="0"/>
        <w:jc w:val="left"/>
        <w:rPr>
          <w:rFonts w:ascii="Times New Roman" w:hAnsi="Times New Roman"/>
          <w:sz w:val="20"/>
        </w:rPr>
      </w:pPr>
      <w:r>
        <w:rPr>
          <w:rFonts w:ascii="Times New Roman" w:hAnsi="Times New Roman"/>
          <w:sz w:val="20"/>
        </w:rPr>
        <w:t xml:space="preserve">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 </w:t>
      </w:r>
    </w:p>
    <w:p>
      <w:pPr>
        <w:pStyle w:val="TextBody"/>
        <w:bidi w:val="0"/>
        <w:spacing w:before="240" w:after="0"/>
        <w:jc w:val="left"/>
        <w:rPr>
          <w:rFonts w:ascii="Times New Roman" w:hAnsi="Times New Roman"/>
          <w:i/>
          <w:sz w:val="20"/>
        </w:rPr>
      </w:pPr>
      <w:r>
        <w:rPr>
          <w:rFonts w:ascii="Times New Roman" w:hAnsi="Times New Roman"/>
          <w:i/>
          <w:sz w:val="20"/>
        </w:rPr>
        <w:t xml:space="preserve">Holders of Class A ordinary shares will not be entitled to vote on any appointment of directors we hold prior to the completion of our initial business combination and will also not be able to vote on our continuation in a jurisdiction outside the Cayman Islands prior to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our initial business combination, only holders of our founder shares and private investor shares will have the right to vote on the appointment of directors. Holders of our public shares will not be entitled to vote on the election of directors during such time. Accordingly, you may not have any say in the management of our company prior to the consummation of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Further, prior to the closing of our initial business combination, transferring the company by way of continuation in a jurisdiction outside the Cayman Islands would only require the approval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 </w:t>
      </w:r>
    </w:p>
    <w:p>
      <w:pPr>
        <w:pStyle w:val="TextBody"/>
        <w:bidi w:val="0"/>
        <w:spacing w:before="240" w:after="0"/>
        <w:jc w:val="left"/>
        <w:rPr>
          <w:rFonts w:ascii="Times New Roman" w:hAnsi="Times New Roman"/>
          <w:i/>
          <w:sz w:val="20"/>
        </w:rPr>
      </w:pPr>
      <w:r>
        <w:rPr>
          <w:rFonts w:ascii="Times New Roman" w:hAnsi="Times New Roman"/>
          <w:i/>
          <w:sz w:val="20"/>
        </w:rPr>
        <w:t xml:space="preserve">We may not be able to complete a business combination with certain potential target companies if a proposed transaction with the target company may be subject to review or approval by regulatory authorities pursuant to certain U.S. or foreign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Our sponsor is a Cayman Islands exempted company. Our sponsor, following the sale of founders shares to the four directors and Lynrock and transfer of 5,000 founder shares to the Chief Financial Officer, owns 6,053,167 founder shares (of which, 781,207 are subject to forfeiture if the underwriters do not exercise their over-allotment option). Our sponsor is governed by a board of directors consisting of two directors, Avi S. Katz and Raluca Dinu, who are U.S. citizens. As such, Drs. Katz and Dinu have voting and investment discretion with respect to the securities held of record by the sponsor and may be deemed to have shared beneficial ownership of the securities held directly by the sponsor. The sponsor is not “controlled” (as defined in 31 CFR 800.208) by a foreign person, such that the sponsor’s involvement in any business combination would be a “covered transaction” (as defined in 31 CFR 800.213). However, we do have two directors, Admiral (Ret.) David Ben-Bashat and Rear Admiral (Ret.) Omri Dagul, who are non-U.S. persons, neither of whom are deemed to have voting and investment discretion with respect to the securities held of record by the sponsor or “control” of the sponsor, and neither of whom has purchased any of our securities (unlike four of our other directors who have purchased our securities, and all four of those other directors are U.S. citizens). Further, it is possible that non-U.S. persons could be involved in our business combination, which may increase the risk that our business combination becomes subject to regulatory review, including review by the Committee on Foreign Investment in the United States (“CFIUS”), and that restrictions, limitations or conditions will be imposed by CFIUS. If our business combination with a U.S. business is subject to CFIUS review, the scope of which was expanded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our potential business combination with a U.S. business falls within CFIUS’s jurisdiction, we may determine that we are required to make a mandatory filing or that we will submit a voluntary notice to CFIUS, or to proceed with a business combination without notifying CFIUS and risk CFIUS intervention, before or after closing a business combination. CFIUS may decide to block or delay our business combination, impose conditions to mitigate national security concerns with respect to such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shareholders. As a result, the pool of potential targets with which we could complete a business combination may be limited and we may be adversely affected in terms of competing with other special purpose acquisition companies which do not have similar foreign ownership issues. A failure to notify CFIUS of a transaction where such notification was required or otherwise warranted based on the national security considerations presented by an investment target may expose our sponsor and/or the combined company to legal penalties, costs, and/or other adverse reputational and financial effects, thus potentially diminishing the value of the combined company. In addition, CFIUS is actively pursuing transactions that were not notified to it and may ask questions regarding, or impose restrictions or mitigation on, a business combination post-closing. </w:t>
      </w:r>
    </w:p>
    <w:p>
      <w:pPr>
        <w:pStyle w:val="TextBody"/>
        <w:bidi w:val="0"/>
        <w:spacing w:before="240" w:after="0"/>
        <w:jc w:val="left"/>
        <w:rPr>
          <w:rFonts w:ascii="Times New Roman" w:hAnsi="Times New Roman"/>
          <w:sz w:val="20"/>
        </w:rPr>
      </w:pPr>
      <w:r>
        <w:rPr>
          <w:rFonts w:ascii="Times New Roman" w:hAnsi="Times New Roman"/>
          <w:sz w:val="20"/>
        </w:rPr>
        <w:t xml:space="preserve">Moreover, the process of government review, whether by the CFIUS or otherwise, could be lengthy and we have limited time to complete our business combination. If we cannot complete a business combination within 24 months from the closing of this offering because the transaction is still under review or because our business combination is ultimately prohibited by CFIUS or another U.S. government entity, we may be required to liquidate. If we liquidate, shareholders of record may only receive their pro rata portion of funds available in the trust account. This will also cause you to lose the investment opportunity in a target company and the chance of realizing future gains on your investment through any price appreciation in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We may engage one or more of our underwriters or one of their respective affiliates to provide additional services to us after this offering, which may include acting as M&amp;A advisor in connection with an initial business combination or as placement agent in connection with a related financing transaction for an additional fee. These financial incentives may cause them to have potential conflicts of interest in rendering any such additional services to us after this offering, including, for example, in connection with the sourcing and consummation of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We may engage one or more of our underwriters or one of their respective affiliates to provide additional services to us after this offering, including, for example, identifying potential targets, providing M&amp;A advisory services, acting as a placement agent in a private offering or arranging debt financing transactions. We may pay such underwriter or its affiliate fair and reasonable fees or other compensation that would be determined at that time in an arm’s length negotiation; </w:t>
      </w:r>
      <w:r>
        <w:rPr>
          <w:rFonts w:ascii="Times New Roman" w:hAnsi="Times New Roman"/>
          <w:i/>
          <w:sz w:val="20"/>
        </w:rPr>
        <w:t>provided</w:t>
      </w:r>
      <w:r>
        <w:rPr>
          <w:rFonts w:ascii="Times New Roman" w:hAnsi="Times New Roman"/>
          <w:sz w:val="20"/>
        </w:rPr>
        <w:t xml:space="preserve"> that no agreement will be entered into with any of the underwriters or their respective affiliates and no fees or other compensation for such services will be paid to any of the underwriters or their respective affiliates prior to the date that is 60 days from the date of this prospectus, unless the Financial Industry Regulatory Authority (“FINRA”) determines that such payment would not be deemed underwriters’ compensation in connection with this offering.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valuation and consummation of an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Changes in international trade policies, tariffs and treaties affecting imports and exports may have a material adverse effect on our search for an initial business combination target or the performance or business prospects of a post-business combination company. </w:t>
      </w:r>
    </w:p>
    <w:p>
      <w:pPr>
        <w:pStyle w:val="TextBody"/>
        <w:bidi w:val="0"/>
        <w:spacing w:before="240" w:after="0"/>
        <w:jc w:val="left"/>
        <w:rPr>
          <w:rFonts w:ascii="Times New Roman" w:hAnsi="Times New Roman"/>
          <w:sz w:val="20"/>
        </w:rPr>
      </w:pPr>
      <w:r>
        <w:rPr>
          <w:rFonts w:ascii="Times New Roman" w:hAnsi="Times New Roman"/>
          <w:sz w:val="20"/>
        </w:rPr>
        <w:t xml:space="preserve">There have recently been significant changes to international trade policies and tariffs affecting imports and exports. Any significant increases in tariffs on goods or materials or other changes in trade policy could negatively affect our search for a target and/or our ability to complete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Recently, the U.S. has implemented a range of new tariffs and increases to existing tariffs. In response to the tariffs announced by the U.S.,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we cannot predict whether, and to what extent, current tariffs will continue or trade policies will change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Tariffs, or the threat of tariffs or increased tariffs, could have a significant negative impact on certain businesses (either due to domestic businesses’ reliance on imported goods or dependence on access to foreign markets, or foreign businesses’ reliance on sales into the United States). In addition, retaliatory tariffs could have a significant negative impact on foreign businesses that rely on imports from the United States, and domestic businesses that rely on exporting goods internationally. These tariffs and threats of tariffs and other potential trade policy changes could negatively affect the attractiveness of certain initial business combination targets, or lead to material adverse effects on a post-business combination company. 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The business prospects of a particular target for a business combination could change even after we enter into a business combination agreement, as a result of tariffs or the threat of tariffs that may have a material impact on that target’s business, and it may be costly or impractical for us to terminate that business combination agreement. These factors could affect our selection of a business combination target.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adequately address the risks presented by these tariffs or other potential trade policy changes. As a result, we may deem it costly, impractical or risky to complete an initial business combination with a particular target or with a target in a particular industry or from a particular country. Consequently, the pool of potential target companies may be reduced, which could impair our ability to identify a suitable target and to complete an initial business combination. If we complete an initial business combination with such a target, the post-business combination company’s operations and financial results could be adversely affected as a result of tariffs or changes to trade policies, which may cause the market value of the securities of the post-business combination company to decline.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Post-Business Combination Company </w:t>
      </w:r>
    </w:p>
    <w:p>
      <w:pPr>
        <w:pStyle w:val="TextBody"/>
        <w:bidi w:val="0"/>
        <w:spacing w:before="120" w:after="0"/>
        <w:jc w:val="left"/>
        <w:rPr>
          <w:rFonts w:ascii="Times New Roman" w:hAnsi="Times New Roman"/>
          <w:i/>
          <w:sz w:val="20"/>
        </w:rPr>
      </w:pPr>
      <w:r>
        <w:rPr>
          <w:rFonts w:ascii="Times New Roman" w:hAnsi="Times New Roman"/>
          <w:i/>
          <w:sz w:val="20"/>
        </w:rPr>
        <w:t xml:space="preserve">Subsequent to our consummation of our initial business combination, we may be required to take write-downs or write-offs, or we may be subject to restructuring and impairment or other charges that could have a significant negative effect on our financial condition, results of operations and the price of our public shares, which could cause you to lose some or all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Even if we conduct thorough due diligence on a target business with which we combine, this diligence may not surface all material issues that may be present inside a particular target business. Factors outside of the target business and outside of our control may, at any time,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 </w:t>
      </w:r>
    </w:p>
    <w:p>
      <w:pPr>
        <w:pStyle w:val="TextBody"/>
        <w:bidi w:val="0"/>
        <w:spacing w:before="240" w:after="0"/>
        <w:jc w:val="left"/>
        <w:rPr>
          <w:rFonts w:ascii="Times New Roman" w:hAnsi="Times New Roman"/>
          <w:i/>
          <w:sz w:val="20"/>
        </w:rPr>
      </w:pPr>
      <w:r>
        <w:rPr>
          <w:rFonts w:ascii="Times New Roman" w:hAnsi="Times New Roman"/>
          <w:i/>
          <w:sz w:val="20"/>
        </w:rPr>
        <w:t xml:space="preserve">Our management team and our shareholders may not be able to maintain control of a target business after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We may structure our initial business combination to acquire less than 100% of the equity interests or assets of a target business, but we will only consummate such business combination if we become the majority shareholder of the target (or control the target through contractual arrangements in limited circumstances for regulatory compliance purposes) or are otherwise not required to register as an investment company under the Investment Company Act. Even though we may own a majority interest in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shareholders immediately prior to such transaction could own less than a majority of our outstanding shares subsequent to such transaction. In addition, other minority shareholders may subsequently combine their holdings resulting in a single person or group obtaining a larger share of the company’s stock than we initially acquired. Accordingly, this may make it more likely that we will not be able to maintain our control of the post-transaction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Transactions in connection with or in anticipation of our initial business combination and our structure thereafter may not be tax-efficient to our shareholders. As a result of our initial business combination, our tax obligations may be more complex, burdensome and uncertain. </w:t>
      </w:r>
    </w:p>
    <w:p>
      <w:pPr>
        <w:pStyle w:val="TextBody"/>
        <w:bidi w:val="0"/>
        <w:spacing w:before="240" w:after="0"/>
        <w:jc w:val="left"/>
        <w:rPr>
          <w:rFonts w:ascii="Times New Roman" w:hAnsi="Times New Roman"/>
          <w:sz w:val="20"/>
        </w:rPr>
      </w:pPr>
      <w:r>
        <w:rPr>
          <w:rFonts w:ascii="Times New Roman" w:hAnsi="Times New Roman"/>
          <w:sz w:val="20"/>
        </w:rPr>
        <w:t xml:space="preserve">Although we will attempt to structure transactions in connection with our initial business combination in a tax-efficient manner, tax structuring considerations are complex, the relevant facts and law are uncertain and may change, and we may prioritize commercial and other considerations over tax considerations. For example, in anticipation of or as a result of our initial business combination, we may enter into one or more transactions that require shareholders to recognize gain or income for tax purposes or otherwise increase their tax burden without prior notice to or approval from our shareholders. We do not intend to make any cash distributions to shareholders to pay taxes in connection with our business combination or thereafter. Accordingly, a shareholder may be required to satisfy any liability resulting from any such transactions with cash from its own funds or by selling all or a portion of such holder’s shares.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will likely effect a business combination with a target company that has business operations outside of the Cayman Islands and, possibly, business operations in multiple jurisdictions, and we may reincorporate in a different jurisdiction in connection therewith (including, but not limited to, the jurisdiction in which the target company or business is located). For example, in anticipation of engaging in a business combination with certain target companies, we may unilaterally convert into a U.S. company without notice pursuant to our amended and restated memorandum and articles, even if such a business combination ultimately is not achieved. If we effect any such transaction, including such a conversion, we could be subject to significant income, withholding and other tax obligations in a number of jurisdictions with respect to income, operations and subsidiaries related to those jurisdictions. Due to the complexity of tax obligations and filings in many jurisdictions, we may have a heightened risk related to audits or examinations by taxing authorities.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complexity and risk could have an adverse effect on our after-tax profitability and financial condition. In addition, shareholders may be subject to additional income, withholding or other taxes with respect to their ownership of us after any such transaction. </w:t>
      </w:r>
    </w:p>
    <w:p>
      <w:pPr>
        <w:pStyle w:val="TextBody"/>
        <w:bidi w:val="0"/>
        <w:spacing w:before="240" w:after="0"/>
        <w:jc w:val="left"/>
        <w:rPr>
          <w:rFonts w:ascii="Times New Roman" w:hAnsi="Times New Roman"/>
          <w:i/>
          <w:sz w:val="20"/>
        </w:rPr>
      </w:pPr>
      <w:r>
        <w:rPr>
          <w:rFonts w:ascii="Times New Roman" w:hAnsi="Times New Roman"/>
          <w:i/>
          <w:sz w:val="20"/>
        </w:rPr>
        <w:t xml:space="preserve">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 </w:t>
      </w:r>
    </w:p>
    <w:p>
      <w:pPr>
        <w:pStyle w:val="TextBody"/>
        <w:bidi w:val="0"/>
        <w:spacing w:before="240" w:after="0"/>
        <w:jc w:val="left"/>
        <w:rPr>
          <w:rFonts w:ascii="Times New Roman" w:hAnsi="Times New Roman"/>
          <w:sz w:val="20"/>
        </w:rPr>
      </w:pPr>
      <w:r>
        <w:rPr>
          <w:rFonts w:ascii="Times New Roman" w:hAnsi="Times New Roman"/>
          <w:sz w:val="20"/>
        </w:rPr>
        <w:t xml:space="preserve">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 </w:t>
      </w:r>
    </w:p>
    <w:p>
      <w:pPr>
        <w:pStyle w:val="TextBody"/>
        <w:bidi w:val="0"/>
        <w:spacing w:before="240" w:after="0"/>
        <w:jc w:val="left"/>
        <w:rPr>
          <w:rFonts w:ascii="Times New Roman" w:hAnsi="Times New Roman"/>
          <w:i/>
          <w:sz w:val="20"/>
        </w:rPr>
      </w:pPr>
      <w:r>
        <w:rPr>
          <w:rFonts w:ascii="Times New Roman" w:hAnsi="Times New Roman"/>
          <w:i/>
          <w:sz w:val="20"/>
        </w:rPr>
        <w:t xml:space="preserve">The post-business combination company may issue shares to investors in connection with our initial business combination at a price which is less than $10.00 or the prevailing market price of our shares at that time, which could dilute the interests of our existing shareholders and add costs. </w:t>
      </w:r>
    </w:p>
    <w:p>
      <w:pPr>
        <w:pStyle w:val="TextBody"/>
        <w:bidi w:val="0"/>
        <w:spacing w:before="240" w:after="0"/>
        <w:jc w:val="left"/>
        <w:rPr>
          <w:rFonts w:ascii="Times New Roman" w:hAnsi="Times New Roman"/>
          <w:sz w:val="20"/>
        </w:rPr>
      </w:pPr>
      <w:r>
        <w:rPr>
          <w:rFonts w:ascii="Times New Roman" w:hAnsi="Times New Roman"/>
          <w:sz w:val="20"/>
        </w:rPr>
        <w:t>In connection with our initial business combination, the post-business combination company may issue shares to investors in private placement transactions (so-called PIPE transactions) in order to complete an initial business combination and provide sufficient liquidity and capital to the post-business combination entity. The price of the shares so issued in connection with an initial business combination may b</w:t>
      </w:r>
      <w:r>
        <w:rPr>
          <w:rFonts w:ascii="Times New Roman" w:hAnsi="Times New Roman"/>
          <w:b/>
          <w:sz w:val="20"/>
        </w:rPr>
        <w:t>e</w:t>
      </w:r>
      <w:r>
        <w:rPr>
          <w:rFonts w:ascii="Times New Roman" w:hAnsi="Times New Roman"/>
          <w:sz w:val="20"/>
        </w:rPr>
        <w:t xml:space="preserve"> less, and potentially significantly less, than $10.00 per share or the market price for our shares at such time. Any such issuances of equity securities at a price that is less than $10.00 or the prevailing market price of our shares at that time could be structured to ensure a return on investment to the investors and could dilute the interests of our existing shareholders in a manner that would not ordinarily occur in a traditional initial public offering and could result in both a reduction in the trading price of our shares to the price at which the post-business combination company issues such equity securities and fluctuations in the net tangible book value per share of the combined company’s securities following the completion of our initial business combination. The post-business combination company may also provide price protection or other incentives, or issue convertible securities such as preferred equity or convertible debt, and the exercise or conversion price of those securities may be fixed or adjustable, and may be less, and potentially significantly less, than $10.00 per share or the market price for our shares at such time. Such issuances could also result in additional transaction costs related to our initial business combination compared to a traditional initial public offering, including the placement fees associated with the engagement of a placement agent in connection with PIPE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Acquiring and Operating a Business in Foreign Countries </w:t>
      </w:r>
    </w:p>
    <w:p>
      <w:pPr>
        <w:pStyle w:val="TextBody"/>
        <w:bidi w:val="0"/>
        <w:spacing w:before="120" w:after="0"/>
        <w:jc w:val="left"/>
        <w:rPr>
          <w:rFonts w:ascii="Times New Roman" w:hAnsi="Times New Roman"/>
          <w:i/>
          <w:sz w:val="20"/>
        </w:rPr>
      </w:pPr>
      <w:r>
        <w:rPr>
          <w:rFonts w:ascii="Times New Roman" w:hAnsi="Times New Roman"/>
          <w:i/>
          <w:sz w:val="20"/>
        </w:rPr>
        <w:t xml:space="preserve">If we effect our initial business combination with a company located outside of the United States, we would be subject to a variety of additional risks that may adversely affect us. </w:t>
      </w:r>
    </w:p>
    <w:p>
      <w:pPr>
        <w:pStyle w:val="TextBody"/>
        <w:bidi w:val="0"/>
        <w:spacing w:before="240" w:after="0"/>
        <w:jc w:val="left"/>
        <w:rPr>
          <w:rFonts w:ascii="Times New Roman" w:hAnsi="Times New Roman"/>
          <w:sz w:val="20"/>
        </w:rPr>
      </w:pPr>
      <w:r>
        <w:rPr>
          <w:rFonts w:ascii="Times New Roman" w:hAnsi="Times New Roman"/>
          <w:sz w:val="20"/>
        </w:rPr>
        <w:t xml:space="preserve">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regulators or agencies and changes in the purchase price based on fluctuations in foreign exchange rates. </w:t>
      </w:r>
    </w:p>
    <w:p>
      <w:pPr>
        <w:pStyle w:val="TextBody"/>
        <w:bidi w:val="0"/>
        <w:spacing w:before="240" w:after="0"/>
        <w:jc w:val="left"/>
        <w:rPr>
          <w:rFonts w:ascii="Times New Roman" w:hAnsi="Times New Roman"/>
          <w:sz w:val="20"/>
        </w:rPr>
      </w:pPr>
      <w:r>
        <w:rPr>
          <w:rFonts w:ascii="Times New Roman" w:hAnsi="Times New Roman"/>
          <w:sz w:val="20"/>
        </w:rPr>
        <w:t xml:space="preserve">If we effect our initial business combination with such a company, we would be subject to any special considerations or risks associated with companies operating in an international setting, including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and difficulties inherent in managing cross-border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rules and regulations regarding currency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 corporate withholding taxes on individuals;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laws governing the manner in which future business combinations may be effected;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listing and/or delisting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tariffs and trade barriers;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related to customs and import/export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local or regional economic policies and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managing and staffing international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 payment cycles;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issues, such as tax law changes and variations in tax laws as compared to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fluctuations and exchange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of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collecting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cultural and language differences;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employment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underdeveloped or unpredictable legal or regulatory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corruption;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protection of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social unrest, crime, strikes, riots and civil disturbances;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regime changes and political upheaval;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terrorist attacks, natural disasters, widespread health emergencies and wars;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deterioration of political relations with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Relating to Our Management Team </w:t>
      </w:r>
    </w:p>
    <w:p>
      <w:pPr>
        <w:pStyle w:val="TextBody"/>
        <w:bidi w:val="0"/>
        <w:spacing w:before="120" w:after="0"/>
        <w:jc w:val="left"/>
        <w:rPr>
          <w:rFonts w:ascii="Times New Roman" w:hAnsi="Times New Roman"/>
          <w:i/>
          <w:sz w:val="20"/>
        </w:rPr>
      </w:pPr>
      <w:r>
        <w:rPr>
          <w:rFonts w:ascii="Times New Roman" w:hAnsi="Times New Roman"/>
          <w:i/>
          <w:sz w:val="20"/>
        </w:rPr>
        <w:t xml:space="preserve">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including but not limited to new and existing Private-to-Public Equity (PPE) companies, for which they may be entitled to substantial compensation and our officers are not obligated to contribute any specific number of hours per week to our affairs. In particular, certain of our officers and directors provide services to affiliates of our sponsor. In particular, certain of our officers and directors serve as officers or directors of UpHealth, Inc., QT Imaging Holdings, Inc. and GIG7. Our independent directors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w:t>
      </w:r>
      <w:r>
        <w:rPr>
          <w:rFonts w:ascii="Times New Roman" w:hAnsi="Times New Roman"/>
          <w:i/>
          <w:sz w:val="20"/>
        </w:rPr>
        <w:t>Management—Directors and Officers</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Our ability to successfully effect our initial business combination and to be successful thereafter will be largely dependent upon the efforts of our executive officers and directors, some of whom may join the post-transaction company following our initial business combination. The loss of our executive officers or directors could negatively impact the operations and profitability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operations are dependent upon a relatively small group of individuals and, in particular, our executive officers and directors. We believe that our success depends on the continued service of our executive officers and directors, at least until we have consummated our initial business combination. In addition, our executive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 Additionally, we do not intend to have any full-time employees prior to the consummation of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role of such persons in the target business following a business combination, however, cannot presently be ascertained. Although some of such persons may remain with the post-transaction company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 </w:t>
      </w:r>
    </w:p>
    <w:p>
      <w:pPr>
        <w:pStyle w:val="TextBody"/>
        <w:bidi w:val="0"/>
        <w:spacing w:before="240" w:after="0"/>
        <w:jc w:val="left"/>
        <w:rPr>
          <w:rFonts w:ascii="Times New Roman" w:hAnsi="Times New Roman"/>
          <w:i/>
          <w:sz w:val="20"/>
        </w:rPr>
      </w:pPr>
      <w:r>
        <w:rPr>
          <w:rFonts w:ascii="Times New Roman" w:hAnsi="Times New Roman"/>
          <w:i/>
          <w:sz w:val="20"/>
        </w:rPr>
        <w:t xml:space="preserve">We may have a limited ability to assess the management of a prospective target business and, as a result, may effect our initial business combination with a target business whose management may not have the skills, qualifications or abilities to manage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shareholders who choose to retain their securities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 </w:t>
      </w:r>
    </w:p>
    <w:p>
      <w:pPr>
        <w:pStyle w:val="TextBody"/>
        <w:bidi w:val="0"/>
        <w:spacing w:before="240" w:after="0"/>
        <w:jc w:val="left"/>
        <w:rPr>
          <w:rFonts w:ascii="Times New Roman" w:hAnsi="Times New Roman"/>
          <w:i/>
          <w:sz w:val="20"/>
        </w:rPr>
      </w:pPr>
      <w:r>
        <w:rPr>
          <w:rFonts w:ascii="Times New Roman" w:hAnsi="Times New Roman"/>
          <w:i/>
          <w:sz w:val="20"/>
        </w:rPr>
        <w:t xml:space="preserve">Certain of our officers and directors are now, and all of them may in the future become, affiliated with entities engaged in business activities similar to those intended to be conducted by us, including other blank check companies, and, accordingly, may have conflicts of interest in allocating their time and determining to which entity a particular business opportunity should be presented.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this offering and until we consummate our initial business combination, we intend to engage in the business of identifying and combining with one or more businesses. Our sponsor and officers and directors are, and may in the future become, affiliated with entities that are engaged in a similar business.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or operating company, with which they may become involved. Any of such companies may present additional conflicts of interest in pursuing an acquisition target. </w:t>
      </w:r>
    </w:p>
    <w:p>
      <w:pPr>
        <w:pStyle w:val="TextBody"/>
        <w:bidi w:val="0"/>
        <w:spacing w:before="240" w:after="0"/>
        <w:jc w:val="left"/>
        <w:rPr>
          <w:rFonts w:ascii="Times New Roman" w:hAnsi="Times New Roman"/>
          <w:sz w:val="20"/>
        </w:rPr>
      </w:pPr>
      <w:r>
        <w:rPr>
          <w:rFonts w:ascii="Times New Roman" w:hAnsi="Times New Roman"/>
          <w:sz w:val="20"/>
        </w:rPr>
        <w:t xml:space="preserve">Our officers and directors also may become aware of business opportunities which may be appropriate for presentation to us and the other entities to which they owe certain fiduciary or contractual duties.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memorandum and articles of association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w:t>
      </w:r>
    </w:p>
    <w:p>
      <w:pPr>
        <w:pStyle w:val="TextBody"/>
        <w:bidi w:val="0"/>
        <w:spacing w:before="240" w:after="0"/>
        <w:jc w:val="left"/>
        <w:rPr>
          <w:rFonts w:ascii="Times New Roman" w:hAnsi="Times New Roman"/>
          <w:sz w:val="20"/>
        </w:rPr>
      </w:pPr>
      <w:r>
        <w:rPr>
          <w:rFonts w:ascii="Times New Roman" w:hAnsi="Times New Roman"/>
          <w:sz w:val="20"/>
        </w:rPr>
        <w:t>For a complete discussion of our officers’ and directors’ business affiliations and the potential conflicts of interest that you should be aware of, please see the sections of this prospectus entitled “</w:t>
      </w:r>
      <w:r>
        <w:rPr>
          <w:rFonts w:ascii="Times New Roman" w:hAnsi="Times New Roman"/>
          <w:i/>
          <w:sz w:val="20"/>
        </w:rPr>
        <w:t>Management—Directors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w:t>
      </w:r>
      <w:r>
        <w:rPr>
          <w:rFonts w:ascii="Times New Roman" w:hAnsi="Times New Roman"/>
          <w:i/>
          <w:sz w:val="20"/>
        </w:rPr>
        <w:t>Management—Conflicts of Interest</w:t>
      </w:r>
      <w:r>
        <w:rPr>
          <w:rFonts w:ascii="Times New Roman" w:hAnsi="Times New Roman"/>
          <w:sz w:val="20"/>
        </w:rPr>
        <w:t>” and “</w:t>
      </w:r>
      <w:r>
        <w:rPr>
          <w:rFonts w:ascii="Times New Roman" w:hAnsi="Times New Roman"/>
          <w:i/>
          <w:sz w:val="20"/>
        </w:rPr>
        <w:t>Certain Relationships and Related Party Transactions</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 that our initial business combination must be with one or more target businesses or assets having an aggregate fair market value of at least 80% of the value of the trust account (less any taxes, if any, payable on interest earned)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combination, may lead management to enter into an acquisition agreement that is not in the best interest of our shareholders. </w:t>
      </w:r>
    </w:p>
    <w:p>
      <w:pPr>
        <w:pStyle w:val="TextBody"/>
        <w:bidi w:val="0"/>
        <w:spacing w:before="240" w:after="0"/>
        <w:jc w:val="left"/>
        <w:rPr>
          <w:rFonts w:ascii="Times New Roman" w:hAnsi="Times New Roman"/>
          <w:i/>
          <w:sz w:val="20"/>
        </w:rPr>
      </w:pPr>
      <w:r>
        <w:rPr>
          <w:rFonts w:ascii="Times New Roman" w:hAnsi="Times New Roman"/>
          <w:i/>
          <w:sz w:val="20"/>
        </w:rPr>
        <w:t xml:space="preserve">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and directors may be able to remain with the post-transaction company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Moreover, there is no certainty that any of our executive officers or directors will remain with the post-transaction company after the consummation of our initial business combination. Our executive officers and directors may not remain in senior management or advisory positions with the post-transaction company. The determination as to whether any of our executive officers and directors will remain with the post-transaction company will be made at the time of our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The officers and directors of an acquisition candidate may resign upon consummation of our initial business combination. The loss of an acquisition target’s key personnel could negatively impact the operations and profitability of our post-combination business. </w:t>
      </w:r>
    </w:p>
    <w:p>
      <w:pPr>
        <w:pStyle w:val="TextBody"/>
        <w:bidi w:val="0"/>
        <w:spacing w:before="240" w:after="0"/>
        <w:jc w:val="left"/>
        <w:rPr>
          <w:rFonts w:ascii="Times New Roman" w:hAnsi="Times New Roman"/>
          <w:sz w:val="20"/>
        </w:rPr>
      </w:pPr>
      <w:r>
        <w:rPr>
          <w:rFonts w:ascii="Times New Roman" w:hAnsi="Times New Roman"/>
          <w:sz w:val="20"/>
        </w:rPr>
        <w:t xml:space="preserve">The role of an acquisition target’s key personnel upon the consummation of our initial business combination cannot be ascertained at this time. Although we contemplate that certain members of an acquisition candidate’s management team will remain associated with the post-transaction company following our initial business combination, it is possible that some members of the management team of an acquisition candidate will not wish to remain in place.  </w:t>
      </w:r>
    </w:p>
    <w:p>
      <w:pPr>
        <w:pStyle w:val="TextBody"/>
        <w:bidi w:val="0"/>
        <w:spacing w:before="240" w:after="0"/>
        <w:jc w:val="left"/>
        <w:rPr>
          <w:rFonts w:ascii="Times New Roman" w:hAnsi="Times New Roman"/>
          <w:i/>
          <w:sz w:val="20"/>
        </w:rPr>
      </w:pPr>
      <w:r>
        <w:rPr>
          <w:rFonts w:ascii="Times New Roman" w:hAnsi="Times New Roman"/>
          <w:i/>
          <w:sz w:val="20"/>
        </w:rPr>
        <w:t xml:space="preserve">Past performance by our management team may not be indicative of future performance of an investment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Information regarding performance by, or businesses associated with, our management team and their affiliates, including GIG1, GIG2, GIG3, GIG4 and GIG5, is presented for informational purposes only. Past performance by our management team, including with respect to GIG1, GIG2, GIG3, GIG4, and GIG5, is not a guarantee either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of an investment in the company or the returns the company will, or is likely to, generate going forward. </w:t>
      </w:r>
    </w:p>
    <w:p>
      <w:pPr>
        <w:pStyle w:val="TextBody"/>
        <w:bidi w:val="0"/>
        <w:spacing w:before="240" w:after="0"/>
        <w:jc w:val="left"/>
        <w:rPr>
          <w:rFonts w:ascii="Times New Roman" w:hAnsi="Times New Roman"/>
          <w:i/>
          <w:sz w:val="20"/>
        </w:rPr>
      </w:pPr>
      <w:r>
        <w:rPr>
          <w:rFonts w:ascii="Times New Roman" w:hAnsi="Times New Roman"/>
          <w:i/>
          <w:sz w:val="20"/>
        </w:rPr>
        <w:t xml:space="preserve">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Individual members of our management team and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may become involved in litigation, investigations or other proceedings involving claims or allegations related to or as a result of their personal conduct, either in their capacity as a corporate officer or director or otherwise, and may be personally named in such actions and potentially subject to personal liability. Any such liability may or may not be covered by insurance and/or indemnification, depending on the facts and circumstances. The defense or prosecution of these matters could be time-consuming. Any such litigation, investigations or other proceedings may divert our management team’s and directors’ attention and resources away from identifying and selecting a target business or businesses for our initial business combination and may negatively affect our reputation, which may impede our ability to complete an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Changes in the market for directors and officers liability insurance could make it more difficult and more expensive for us to negotiate and complete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 </w:t>
      </w:r>
    </w:p>
    <w:p>
      <w:pPr>
        <w:pStyle w:val="TextBody"/>
        <w:bidi w:val="0"/>
        <w:spacing w:before="240" w:after="0"/>
        <w:jc w:val="left"/>
        <w:rPr>
          <w:rFonts w:ascii="Times New Roman" w:hAnsi="Times New Roman"/>
          <w:i/>
          <w:sz w:val="20"/>
        </w:rPr>
      </w:pPr>
      <w:r>
        <w:rPr>
          <w:rFonts w:ascii="Times New Roman" w:hAnsi="Times New Roman"/>
          <w:i/>
          <w:sz w:val="20"/>
        </w:rPr>
        <w:t xml:space="preserve">Our letter agreement with our sponsor, officers and directors may be amended without shareholder approval. </w:t>
      </w:r>
    </w:p>
    <w:p>
      <w:pPr>
        <w:pStyle w:val="TextBody"/>
        <w:bidi w:val="0"/>
        <w:spacing w:before="240" w:after="0"/>
        <w:jc w:val="left"/>
        <w:rPr>
          <w:rFonts w:ascii="Times New Roman" w:hAnsi="Times New Roman"/>
          <w:sz w:val="20"/>
        </w:rPr>
      </w:pPr>
      <w:r>
        <w:rPr>
          <w:rFonts w:ascii="Times New Roman" w:hAnsi="Times New Roman"/>
          <w:sz w:val="20"/>
        </w:rPr>
        <w:t>Our letter agreement with our sponsor, officers and directors contains provisions relating to transfer restrictions of our founder shares, indemnification of the trust account, waiver of redemption rights and participation in liquidating distributions from the trust account. The letter agreement may be amended without shareholder approval with our written consent as well as the written consent of the sponsor and our directors and officers to the extent they are the subject of any change, amendment, modification or waiver to the letter agreement. The written consent of D. Boral Capital LLC as the representative of the underwriters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this prospectus, they will not, without the prior written consent of the Representative, offer, sell, contract to sell, pledge or otherwise dispose of, directly or indirectly, Class A ordinary shares or any other securities convertible into, or exercisable, or exchangeable for, Class A ordinary shares (for more information, also see “</w:t>
      </w:r>
      <w:r>
        <w:rPr>
          <w:rFonts w:ascii="Times New Roman" w:hAnsi="Times New Roman"/>
          <w:i/>
          <w:sz w:val="20"/>
        </w:rPr>
        <w:t>Underwriting—Contractual Transfer Restrictions</w:t>
      </w:r>
      <w:r>
        <w:rPr>
          <w:rFonts w:ascii="Times New Roman" w:hAnsi="Times New Roman"/>
          <w:sz w:val="20"/>
        </w:rPr>
        <w:t xml:space="preserve">”).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 </w:t>
      </w:r>
    </w:p>
    <w:p>
      <w:pPr>
        <w:pStyle w:val="TextBody"/>
        <w:bidi w:val="0"/>
        <w:spacing w:before="240" w:after="0"/>
        <w:jc w:val="left"/>
        <w:rPr>
          <w:rFonts w:ascii="Times New Roman" w:hAnsi="Times New Roman"/>
          <w:sz w:val="20"/>
        </w:rPr>
      </w:pPr>
      <w:r>
        <w:rPr>
          <w:rFonts w:ascii="Times New Roman" w:hAnsi="Times New Roman"/>
          <w:sz w:val="20"/>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 For a more detailed discussion, see the section of this prospectus captioned “</w:t>
      </w:r>
      <w:r>
        <w:rPr>
          <w:rFonts w:ascii="Times New Roman" w:hAnsi="Times New Roman"/>
          <w:i/>
          <w:sz w:val="20"/>
        </w:rPr>
        <w:t>Description of Securities — Certain Differences in Corporate Law</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Securities </w:t>
      </w:r>
    </w:p>
    <w:p>
      <w:pPr>
        <w:pStyle w:val="TextBody"/>
        <w:bidi w:val="0"/>
        <w:spacing w:before="120" w:after="0"/>
        <w:jc w:val="left"/>
        <w:rPr>
          <w:rFonts w:ascii="Times New Roman" w:hAnsi="Times New Roman"/>
          <w:i/>
          <w:sz w:val="20"/>
        </w:rPr>
      </w:pPr>
      <w:r>
        <w:rPr>
          <w:rFonts w:ascii="Times New Roman" w:hAnsi="Times New Roman"/>
          <w:i/>
          <w:sz w:val="20"/>
        </w:rPr>
        <w:t xml:space="preserve">The securities in which we invest the funds held in the trust account could bear a negative rate of interest, which could reduce the value of the assets held in trust such that the per-share redemption amount received by public shareholders may be less than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permitted withdrawals (less, in the case we are unable to complete our initial business combination, of up to $100,000 of interest). Negative interest rates could reduce the value of the assets held in trust such that the per-share redemption amount received by public shareholders may be less than $10.00 per share. </w:t>
      </w:r>
    </w:p>
    <w:p>
      <w:pPr>
        <w:pStyle w:val="TextBody"/>
        <w:bidi w:val="0"/>
        <w:spacing w:before="240" w:after="0"/>
        <w:jc w:val="left"/>
        <w:rPr>
          <w:rFonts w:ascii="Times New Roman" w:hAnsi="Times New Roman"/>
          <w:i/>
          <w:sz w:val="20"/>
        </w:rPr>
      </w:pPr>
      <w:r>
        <w:rPr>
          <w:rFonts w:ascii="Times New Roman" w:hAnsi="Times New Roman"/>
          <w:i/>
          <w:sz w:val="20"/>
        </w:rPr>
        <w:t xml:space="preserve">You will not have any rights or interests in funds from the trust account, except under certain limited circumstances. To liquidate your investment, therefore, you may be forced to sell your public shares, potentially at a loss. </w:t>
      </w:r>
    </w:p>
    <w:p>
      <w:pPr>
        <w:pStyle w:val="TextBody"/>
        <w:bidi w:val="0"/>
        <w:spacing w:before="240" w:after="0"/>
        <w:jc w:val="left"/>
        <w:rPr>
          <w:rFonts w:ascii="Times New Roman" w:hAnsi="Times New Roman"/>
          <w:sz w:val="20"/>
        </w:rPr>
      </w:pPr>
      <w:r>
        <w:rPr>
          <w:rFonts w:ascii="Times New Roman" w:hAnsi="Times New Roman"/>
          <w:sz w:val="20"/>
        </w:rPr>
        <w:t xml:space="preserve">Our public shareholders shall be entitled to receive funds from the trust account only (i) in the event of a redemption to public shareholders prior to any winding up in the event we do not consummate our initial business combination or our liquidation, (ii) if they redeem their shares in connection with an initial business combination that we consummate or, (iii) if they redeem their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our pre-business combination activity and related shareholders’ rights. In no other circumstances will a shareholder have any right or interest of any kind to the funds in the trust account. Accordingly, to liquidate your investment, you may be forced to sell your securities, potentially at a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Nasdaq may delist our securities from trading on its exchange, which could limit investors’ ability to make transactions in our securities and subject us to additional trading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We have applied to have our public units listed on Nasdaq. We expect that our public units will be listed on Nasdaq on or promptly after the date of this prospectus. Following the date our public shares and public rights are eligible to trade separately, we anticipate that our public shares and public rights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following our initial public offering, we must maintain an average market value of listed securities (generally $50,000,000) and a minimum number of holders of our securities (generally 300 public shareholders).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unless we decide to list on a different Nasdaq tier, such as the Nasdaq Capital Market which has different initial listing requirements, our share price would generally be required to be at least $4.00 per share and we would be required to have a minimum of 400 round lot holders of our securities. We may not be able to meet those initial listing requirements at that time. </w:t>
      </w:r>
    </w:p>
    <w:p>
      <w:pPr>
        <w:pStyle w:val="TextBody"/>
        <w:bidi w:val="0"/>
        <w:spacing w:before="240" w:after="0"/>
        <w:jc w:val="left"/>
        <w:rPr>
          <w:rFonts w:ascii="Times New Roman" w:hAnsi="Times New Roman"/>
          <w:sz w:val="20"/>
        </w:rPr>
      </w:pPr>
      <w:r>
        <w:rPr>
          <w:rFonts w:ascii="Times New Roman" w:hAnsi="Times New Roman"/>
          <w:sz w:val="20"/>
        </w:rPr>
        <w:t xml:space="preserve">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availability of market quotations for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liquidity for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that our public shares is a “penny stock” which will require brokers trading in our public shares to adhere to more stringent rules and possibly result in a reduced level of trading activity in the secondary trading market for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amount of news and analyst coverage;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decreased ability to issue additional securities or obtain additional financing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National Securities Markets Improvement Act of 1996, which is a federal statute, prevents or preempts the states from regulating the sale of certain securities, which are referred to as “covered securities.” Because we expect that our public units and eventually our public shares and public rights will be listed on Nasdaq, our public units, public shares, and public rights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You will not be entitled to protections normally afforded to investors of many other blank check companies. </w:t>
      </w:r>
    </w:p>
    <w:p>
      <w:pPr>
        <w:pStyle w:val="TextBody"/>
        <w:bidi w:val="0"/>
        <w:spacing w:before="240" w:after="0"/>
        <w:jc w:val="left"/>
        <w:rPr>
          <w:rFonts w:ascii="Times New Roman" w:hAnsi="Times New Roman"/>
          <w:sz w:val="20"/>
        </w:rPr>
      </w:pPr>
      <w:r>
        <w:rPr>
          <w:rFonts w:ascii="Times New Roman" w:hAnsi="Times New Roman"/>
          <w:sz w:val="20"/>
        </w:rPr>
        <w:t xml:space="preserve">Since the net proceeds of this offering and the sale of the private placement units are intended to be used to complete an initial business combination with a target business that has not been selected, we may be deemed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a “blank check” company under the United States securities laws. However, we are exempt from rules promulgated by the SEC to protect investors in blank check companies, such as Rule 419. Accordingly, investors will not be afforded the benefits or protections of those rules. Among other things, this means our units will be immediately tradable and we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Business—Comparison of This Offering to Those of Blank Check Companies Subject to Rule 419.” </w:t>
      </w:r>
    </w:p>
    <w:p>
      <w:pPr>
        <w:pStyle w:val="TextBody"/>
        <w:bidi w:val="0"/>
        <w:spacing w:before="240" w:after="0"/>
        <w:jc w:val="left"/>
        <w:rPr>
          <w:rFonts w:ascii="Times New Roman" w:hAnsi="Times New Roman"/>
          <w:i/>
          <w:sz w:val="20"/>
        </w:rPr>
      </w:pPr>
      <w:r>
        <w:rPr>
          <w:rFonts w:ascii="Times New Roman" w:hAnsi="Times New Roman"/>
          <w:i/>
          <w:sz w:val="20"/>
        </w:rPr>
        <w:t xml:space="preserve">Purchases of public shares on the open market or in privately negotiated transactions by our sponsor, directors, executive officers, or their affiliates may make it difficult for us to maintain the listing of our public shares on Nasdaq following the consummation of an initial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If our sponsor, directors, executive officers, or their affiliates purchase public shares on the open market or in privately negotiated transactions, the public “float” of our public shares and the number of beneficial holders of our securities would both be reduced, possibly making it difficult to maintain the listing or trading of our securities on Nasdaq following consummation of the initial business combination. Additionally, at any time at or prior to the completion of our initial business combination, subject to applicable securities laws (including with respect to material nonpublic information), our initial shareholders, directors, executive officers, or their affiliates may enter into transactions with investors and others to provide them with incentives to acquire public shares or not redeem their public shares. Such a purchase may include a contractual acknowledgment that such shareholder, although still the record holder of our shares is no longer the beneficial owner thereof and therefore agrees not to exercise its redemption rights. In the event that our initial shareholders, directors, officers, and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It is intended that, if Rule 10b-18 would apply to purchases by our initial shareholders, directors, officers, and their affiliates, then such purchases will comply with Rule 10b-18 under the Exchange Act, to the extent it applies, which provides a safe harbor for purchases made under certain conditions, including with respect to timing, pricing and volume of purchases. </w:t>
      </w:r>
    </w:p>
    <w:p>
      <w:pPr>
        <w:pStyle w:val="TextBody"/>
        <w:bidi w:val="0"/>
        <w:spacing w:before="240" w:after="0"/>
        <w:jc w:val="left"/>
        <w:rPr>
          <w:rFonts w:ascii="Times New Roman" w:hAnsi="Times New Roman"/>
          <w:sz w:val="20"/>
        </w:rPr>
      </w:pPr>
      <w:r>
        <w:rPr>
          <w:rFonts w:ascii="Times New Roman" w:hAnsi="Times New Roman"/>
          <w:sz w:val="20"/>
        </w:rPr>
        <w:t xml:space="preserve">There is no limit on the number of shares our initial shareholders,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held in the trust account will be used to purchase public shares in such transactions. Such persons will be subject to restrictions in making any such purchases when they are in possession of any material non-public information not disclosed to the seller or if such purchases are prohibited by Regulation M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any such purchases of shares could be to (i) increase the likelihood of obtaining shareholder approval of the business combination or (ii) to satisfy a closing condition in an agreement with a target that requires us to have a minimum net worth or a certain amount of cash at the closing of the business combination, where it appears that such requirement would otherwise not be met. Any such transactions may result in the completion of our business combination that may not otherwise have been possible.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initial shareholders, directors, officers, and/or their affiliates anticipate that they may identify the shareholders with whom our initial shareholders, directors, officers, or their affiliates may pursue privately negotiated purchases by either the shareholders contacting us directly or by our receipt of redemption requests submitted by shareholders (holding public shares) following our mailing of proxy materials in connection with our initial business combination. To the extent that our initial shareholders, directors, officers, or their affiliates enter into a private purchase, they would identify and contact only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initial shareholders, directors, officers,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Any purchases by our initial shareholders, directors, officers,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initial shareholders, directors, officers, and/or their affiliates will be subject to restrictions in making purchases of ordinary shares if the purchases would violate Section 9(a)(2) or Rule 10b-5 of the Exchange Act. Any such purchases will be reported pursuant to Section 13 and Section 16 of the Exchange Act to the extent such purchasers are subject to such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the event our initial shareholders, directors, officers, or their affiliates were to purchase public shares from public shareholders, such purchases would be structured in compliance with the requirements of Rule 14e-5 under the Exchange Act including, in pertinent part, through adherence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registration statement/proxy statement filed for our business combination transaction would disclose the possibility that our initial shareholders, directors, officers, and their affiliates may purchase public shares from public shareholders outside the redemption process, along with the purpose of such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initial shareholders, directors, officers, and their affiliates were to purchase public shares from public shareholders, they would do so at a price no higher than the price offered through our redemption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registration statement/proxy statement filed for our business combination transaction would include a representation that any of our securities purchased by our initial shareholders, directors, officers, and their affiliates would not be voted in favor of approving the business combination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initial shareholders, directors, officers, and their affiliates would not possess any redemption rights with respect to our securities or, if they do acquire and possess redemption rights, they would waive such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would disclose in a Form 8-K, before our security holder meeting to approve the business combination transaction, the following material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our securities purchased outside of the redemption offer by our initial shareholders, directors, officers, and their affiliates, along with 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purpose of the purchases by our initial shareholders, directors, officers, and their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if any, of the purchases by our initial shareholders, directors, officers, and their affiliates on the likelihood that the business combination transaction will be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identities of our security holders who sold to our initial shareholders, directors, officers, and their affiliates (if not purchased on the open market) or the nature of our security holders (e.g., 5% security holders) who sold to our initial shareholders, directors, officers, and their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our securities for which we have received redemption requests pursuant to our redemption offer.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Since only holders of our founder shares and private investor shares will have the right to vote on the appointment of directors prior to our initial business combination, Nasdaq may consider us to be a “controlled company” within the meaning of Nasdaq’s rules and, as a result, we may qualify for exemptions from certain corporate governance requirements that would otherwise provide protection to shareholders of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After completion of this offering, only holders of our founder shares and private investor shares will have the right to vote on the appointment of directors. As a result, Nasdaq may consider us to be a “controlled company” within the meaning of Nasdaq’s corporate governance standards. Under Nasdaq corporate governance standards, a company of which more than 50% of the voting power for the election of directors is held by an individual, a group or another company is a “controlled company” and may elect not to comply with certain corporate governance requirements, including the requirements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board that includes a majority of “independent directors,” as defined under Nasdaq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compensation committee of our board that is comprised entirely of independent directors with a written charter addressing the committee’s purpose and responsibilities;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independent director oversight of our director nominations.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 </w:t>
      </w:r>
    </w:p>
    <w:p>
      <w:pPr>
        <w:pStyle w:val="TextBody"/>
        <w:bidi w:val="0"/>
        <w:spacing w:before="240" w:after="0"/>
        <w:jc w:val="left"/>
        <w:rPr>
          <w:rFonts w:ascii="Times New Roman" w:hAnsi="Times New Roman"/>
          <w:i/>
          <w:sz w:val="20"/>
        </w:rPr>
      </w:pPr>
      <w:r>
        <w:rPr>
          <w:rFonts w:ascii="Times New Roman" w:hAnsi="Times New Roman"/>
          <w:i/>
          <w:sz w:val="20"/>
        </w:rPr>
        <w:t xml:space="preserve">Because our sponsor paid an aggregate of $2,626, or $0.000434 per founder share (assuming the full exercise of the over-allotment option and after giving effect to the sales of shares to four of our directors and Lynrock), our four directors paid an aggregate of $9,244, or $0.02462 per founder share, and Lynrock paid an aggregate of $13,130, or $0.00927 per share, and, concurrent with the consummation of this offering, the non-managing investors will purchase 2,964,203 private investor shares at a purchase price of $0.023254 per private investor share, and our insiders and the non-managing investors will purchase 337,675 private placement units at a purchase price of $9.7374 per private placement unit, you will experience immediate and substantial dilution from the purchase of our public shares. </w:t>
      </w:r>
    </w:p>
    <w:p>
      <w:pPr>
        <w:pStyle w:val="TextBody"/>
        <w:bidi w:val="0"/>
        <w:spacing w:before="240" w:after="0"/>
        <w:jc w:val="left"/>
        <w:rPr>
          <w:rFonts w:ascii="Times New Roman" w:hAnsi="Times New Roman"/>
          <w:sz w:val="20"/>
        </w:rPr>
      </w:pPr>
      <w:r>
        <w:rPr>
          <w:rFonts w:ascii="Times New Roman" w:hAnsi="Times New Roman"/>
          <w:sz w:val="20"/>
        </w:rPr>
        <w:t xml:space="preserve">The difference between the public offering price per share and the pro forma net tangible book value per public share after this offering constitutes the dilution to you and the other investors in this offering. Our sponsor acquired the founder shares at a nominal price of $0.000434 per founder share, our directors will pay $0.02462 per founder share, and Lynrock will pay $0.00927 per founder share, and concurrent with the consummation of this offering, the non-managing investors will purchase 2,964,203 private investor shares at a purchase price of $0.023254 per private investor share, and our insiders, Lynrock and the non-managing investors will purchase 337,675 private placement units at a purchase price of $9.7374 per private placement unit, contributing to this dilution. Upon closing of this offering, and assuming that the underwriters do not exercise the over-allotment option, you and the other public shareholders will incur an immediate and substantial dilution of approximately 98.9% or $9.89 per share (the difference between the pro forma net tangible book value of $0.11 per share and the initial offering price of $10.00 per share).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 because of the anti-dilution protection in the founder shares, any equity or equity-linked securities issued in connection with our initial business combination would be disproportionately dilutive to our Class A ordinary shares. Moreover, although we are of the view that our sponsor, directors and officers paid fair value for the founder shares, there is no assurance that a taxing authority would agree with us, and if a taxing authority were to successfully assert otherwise, we may be subject to material withholding and other tax liabilities that could adversely affect our financial condition. </w:t>
      </w:r>
    </w:p>
    <w:p>
      <w:pPr>
        <w:pStyle w:val="TextBody"/>
        <w:bidi w:val="0"/>
        <w:spacing w:before="240" w:after="0"/>
        <w:jc w:val="left"/>
        <w:rPr>
          <w:rFonts w:ascii="Times New Roman" w:hAnsi="Times New Roman"/>
          <w:i/>
          <w:sz w:val="20"/>
        </w:rPr>
      </w:pPr>
      <w:r>
        <w:rPr>
          <w:rFonts w:ascii="Times New Roman" w:hAnsi="Times New Roman"/>
          <w:i/>
          <w:sz w:val="20"/>
        </w:rPr>
        <w:t xml:space="preserve">None of the non-managing investors have expressed an interest to purchase public units in this offering, but if they do so, although it may not affect our ability to meet Nasdaq listing requirements or maintain such listing, it may reduce the trading volume, volatility and liquidity for our public shares, if the non-managing investors choose post-offering not to trade any public shares that they acquire in the offering or otherwise, and it may adversely affect the trading price of our public shares. </w:t>
      </w:r>
    </w:p>
    <w:p>
      <w:pPr>
        <w:pStyle w:val="TextBody"/>
        <w:bidi w:val="0"/>
        <w:spacing w:before="240" w:after="0"/>
        <w:jc w:val="left"/>
        <w:rPr>
          <w:rFonts w:ascii="Times New Roman" w:hAnsi="Times New Roman"/>
          <w:sz w:val="20"/>
        </w:rPr>
      </w:pPr>
      <w:r>
        <w:rPr>
          <w:rFonts w:ascii="Times New Roman" w:hAnsi="Times New Roman"/>
          <w:sz w:val="20"/>
        </w:rPr>
        <w:t xml:space="preserve">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t>
      </w:r>
    </w:p>
    <w:p>
      <w:pPr>
        <w:pStyle w:val="TextBody"/>
        <w:bidi w:val="0"/>
        <w:spacing w:before="240" w:after="0"/>
        <w:jc w:val="left"/>
        <w:rPr>
          <w:rFonts w:ascii="Times New Roman" w:hAnsi="Times New Roman"/>
          <w:sz w:val="20"/>
        </w:rPr>
      </w:pPr>
      <w:r>
        <w:rPr>
          <w:rFonts w:ascii="Times New Roman" w:hAnsi="Times New Roman"/>
          <w:sz w:val="20"/>
        </w:rPr>
        <w:t xml:space="preserve">We do not expect any potential purchases of units by the non-managing investors to negatively impact our ability to meet Nasdaq listing eligibility requirements. However, Nasdaq’s initial listing eligibility requirements for special purpose acquisition companies provide that we must have at least 300 round lot holders upon the completion of the offering, and that in order to maintain the listing on Nasdaq, that we must have at least 300 public shareholders. To the extent that the non-managing investors purchase substantially all of the public units in this offering, then unless there are a sufficient number of other purchasers of public units in this offering to satisfy the Nasdaq listing eligibility requirements, we will not be successful in listing on Nasdaq, and if we are able to list on Nasdaq, but the non-managing investors continue to hold the shares included in the public units that they acquire in this offering, whereas other purchasers do not do so and the trading volume, volatility or liquidity are effected by the public units not having been more widely offered, then it is possible that we will not be able to maintain the number of public shareholders required by Nasdaq to continue to list on Nasdaq.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Such ownership may create an incentive for the non-managing investors to vote any public shares they own in favor of a business combination and make a substantial profit on their private investor shares and private placement units, even if the business combination is with a target that ultimately declines in value and is not profitable for other public shareholders. </w:t>
      </w:r>
    </w:p>
    <w:p>
      <w:pPr>
        <w:pStyle w:val="TextBody"/>
        <w:bidi w:val="0"/>
        <w:spacing w:before="240" w:after="0"/>
        <w:jc w:val="left"/>
        <w:rPr>
          <w:rFonts w:ascii="Times New Roman" w:hAnsi="Times New Roman"/>
          <w:i/>
          <w:sz w:val="20"/>
        </w:rPr>
      </w:pPr>
      <w:r>
        <w:rPr>
          <w:rFonts w:ascii="Times New Roman" w:hAnsi="Times New Roman"/>
          <w:i/>
          <w:sz w:val="20"/>
        </w:rPr>
        <w:t xml:space="preserve">The nominal purchase price paid by our insiders for the founder shares and paid by the non-managing investors for the private investor shares, in addition to the sale of private placement units to the insiders and the non-managing investors, may result in significant dilution to the implied value of your public shares upon the consummation of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Class B ordinary shares remain subject to forfeiture depending on the extent to which the underwriters’ over-allotment option is exercised during this offering. Prior to the making of this offering, the sponsor transferred 5,000 founder shares to Christine Marshall, our Chief Financial Officer, solely in consideration of future services to us. The 5,000 founder shares granted to Ms. Marshall are subject to forfeiture back to the sponsor in the event she resigns or is removed for cause from her position with us prior to consummation of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Our sponsor intends at the time of the consummation of this offering to sell 375,397 founder shares in the aggregate to Messrs. Greene, Machuca, Timm and Horowitz at an aggregate price of $9,244 (or $0.02462 per share) and 1,416,665 founder shares to Lynrock at an aggregate price of $13,130, or $0.00927 per share. Following this sale of shares, the sponsor will hold 6,053,167 founder shares, and the price paid by our sponsor for the 6,053,167 founder shares which it is retaining will be reduced to $2,626, or $0.000434 per share. Up to 1,023,943 founder shares held by our insiders and Lynrock will remain subject to forfeiture on a pro rata basis depending on the extent to which the underwriters’ over-allotment option is exercised during this offering. Our sponsor which is owned by two of our directors, Dr. Avi S. Katz and Dr. Raluca Dinu, (or non-affiliated investors to which our sponsor assigns this subscription) together with four of our other directors, James Greene, Luis Machuca, Bryan Timm and Raanan Horowitz, will also purchase 45,200 private placement units (including if the underwriters’ over-allotment option is exercised in full), at a price of $9.7374 per unit, for an aggregate purchase price of $440,130.48 in a private placement that will close simultaneously with the closing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Separately, the non-managing investors have committed to purchase an aggregate of (a)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262,425 private placement units if the underwriters’ over-allotment option is exercised in full) at a price of $9.7374 per private placement unit, for an aggregate purchase price of $2,430,006 (or $2,624,266 if the underwriters’ over-allotment option is exercised in full) in a private placement that will close simultaneously with the completion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the value of your public shares may be significantly diluted upon the consummation of our initial business combination, when the founder shares, private placement shares and private investor shares are converted into public shares. For example, the following table shows the dilutive effect of the founder shares, private investor shares and private placement shares on the implied value of the public shares upon the consummation of our initial business combination, assuming that our equity value at that time is $220,000,000, which is the amount in cash we would have for our initial business combination in the trust account, assuming the underwriters’ over-allotment option is not exercised, no interest is earned on the funds held in the trust account, and no public shares are redeemed in connection with our initial business combination, and without taking into account any other potential impacts on our valuation at such time, such as the trading price of our public shares, the business combination transaction costs, any equity issued or cash paid to the target’s equityholders or other third parties, or the target’s business itself, including its assets, liabilities, management and prospects. At such valuation, our shares would have an implied value of $6.93 per share upon consummation of our initial business combination, which would be a 30.7% decrease as compared to the initial implied value per public share of $10.00 (the price per unit in this offering, assuming no value is ascribed to the public rights).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40"/>
        <w:gridCol w:w="388"/>
        <w:gridCol w:w="141"/>
        <w:gridCol w:w="1407"/>
        <w:gridCol w:w="63"/>
      </w:tblGrid>
      <w:tr>
        <w:trPr/>
        <w:tc>
          <w:tcPr>
            <w:tcW w:w="494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shares</w:t>
            </w:r>
          </w:p>
        </w:tc>
        <w:tc>
          <w:tcPr>
            <w:tcW w:w="3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22,000,000</w:t>
            </w:r>
          </w:p>
        </w:tc>
        <w:tc>
          <w:tcPr>
            <w:tcW w:w="63" w:type="dxa"/>
            <w:tcBorders/>
            <w:shd w:fill="CCEEFF" w:val="clear"/>
            <w:vAlign w:val="bottom"/>
          </w:tcPr>
          <w:p>
            <w:pPr>
              <w:pStyle w:val="TableContents"/>
              <w:bidi w:val="0"/>
              <w:spacing w:before="0" w:after="283"/>
              <w:jc w:val="left"/>
              <w:rPr/>
            </w:pPr>
            <w:r>
              <w:rPr/>
              <w:t> </w:t>
            </w:r>
          </w:p>
        </w:tc>
      </w:tr>
      <w:tr>
        <w:trPr/>
        <w:tc>
          <w:tcPr>
            <w:tcW w:w="4940" w:type="dxa"/>
            <w:tcBorders/>
          </w:tcPr>
          <w:p>
            <w:pPr>
              <w:pStyle w:val="TableContents"/>
              <w:bidi w:val="0"/>
              <w:spacing w:before="0" w:after="0"/>
              <w:jc w:val="left"/>
              <w:rPr>
                <w:rFonts w:ascii="Times New Roman" w:hAnsi="Times New Roman"/>
                <w:sz w:val="20"/>
              </w:rPr>
            </w:pPr>
            <w:r>
              <w:rPr>
                <w:rFonts w:ascii="Times New Roman" w:hAnsi="Times New Roman"/>
                <w:sz w:val="20"/>
              </w:rPr>
              <w:t>Founder shares(1)</w:t>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6,826,286</w:t>
            </w:r>
          </w:p>
        </w:tc>
        <w:tc>
          <w:tcPr>
            <w:tcW w:w="63"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Private investor shares(2)</w:t>
            </w:r>
          </w:p>
        </w:tc>
        <w:tc>
          <w:tcPr>
            <w:tcW w:w="3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2,577,522</w:t>
            </w:r>
          </w:p>
        </w:tc>
        <w:tc>
          <w:tcPr>
            <w:tcW w:w="63" w:type="dxa"/>
            <w:tcBorders/>
            <w:shd w:fill="CCEEFF" w:val="clear"/>
            <w:vAlign w:val="bottom"/>
          </w:tcPr>
          <w:p>
            <w:pPr>
              <w:pStyle w:val="TableContents"/>
              <w:bidi w:val="0"/>
              <w:spacing w:before="0" w:after="283"/>
              <w:jc w:val="left"/>
              <w:rPr/>
            </w:pPr>
            <w:r>
              <w:rPr/>
              <w:t> </w:t>
            </w:r>
          </w:p>
        </w:tc>
      </w:tr>
      <w:tr>
        <w:trPr/>
        <w:tc>
          <w:tcPr>
            <w:tcW w:w="4940" w:type="dxa"/>
            <w:tcBorders/>
          </w:tcPr>
          <w:p>
            <w:pPr>
              <w:pStyle w:val="TableContents"/>
              <w:bidi w:val="0"/>
              <w:spacing w:before="0" w:after="0"/>
              <w:jc w:val="left"/>
              <w:rPr>
                <w:rFonts w:ascii="Times New Roman" w:hAnsi="Times New Roman"/>
                <w:sz w:val="20"/>
              </w:rPr>
            </w:pPr>
            <w:r>
              <w:rPr>
                <w:rFonts w:ascii="Times New Roman" w:hAnsi="Times New Roman"/>
                <w:sz w:val="20"/>
              </w:rPr>
              <w:t>Private placement shares underlying private placement units(3)</w:t>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337,675</w:t>
            </w:r>
          </w:p>
        </w:tc>
        <w:tc>
          <w:tcPr>
            <w:tcW w:w="63" w:type="dxa"/>
            <w:tcBorders/>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shares</w:t>
            </w:r>
          </w:p>
        </w:tc>
        <w:tc>
          <w:tcPr>
            <w:tcW w:w="3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31,741,483</w:t>
            </w:r>
          </w:p>
        </w:tc>
        <w:tc>
          <w:tcPr>
            <w:tcW w:w="63" w:type="dxa"/>
            <w:tcBorders/>
            <w:shd w:fill="CCEEFF" w:val="clear"/>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40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40" w:type="dxa"/>
            <w:tcBorders/>
          </w:tcPr>
          <w:p>
            <w:pPr>
              <w:pStyle w:val="TableContents"/>
              <w:bidi w:val="0"/>
              <w:spacing w:before="0" w:after="0"/>
              <w:jc w:val="left"/>
              <w:rPr>
                <w:rFonts w:ascii="Times New Roman" w:hAnsi="Times New Roman"/>
                <w:sz w:val="20"/>
              </w:rPr>
            </w:pPr>
            <w:r>
              <w:rPr>
                <w:rFonts w:ascii="Times New Roman" w:hAnsi="Times New Roman"/>
                <w:sz w:val="20"/>
              </w:rPr>
              <w:t>Total funds in trust available for initial business combination</w:t>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07" w:type="dxa"/>
            <w:tcBorders/>
            <w:vAlign w:val="bottom"/>
          </w:tcPr>
          <w:p>
            <w:pPr>
              <w:pStyle w:val="TableContents"/>
              <w:bidi w:val="0"/>
              <w:spacing w:before="0" w:after="283"/>
              <w:jc w:val="right"/>
              <w:rPr/>
            </w:pPr>
            <w:r>
              <w:rPr/>
              <w:t>220,000,000</w:t>
            </w:r>
          </w:p>
        </w:tc>
        <w:tc>
          <w:tcPr>
            <w:tcW w:w="63"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implied value per public share(4)</w:t>
            </w:r>
          </w:p>
        </w:tc>
        <w:tc>
          <w:tcPr>
            <w:tcW w:w="3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07" w:type="dxa"/>
            <w:tcBorders/>
            <w:shd w:fill="CCEEFF" w:val="clear"/>
            <w:vAlign w:val="bottom"/>
          </w:tcPr>
          <w:p>
            <w:pPr>
              <w:pStyle w:val="TableContents"/>
              <w:bidi w:val="0"/>
              <w:spacing w:before="0" w:after="283"/>
              <w:jc w:val="right"/>
              <w:rPr/>
            </w:pPr>
            <w:r>
              <w:rPr/>
              <w:t>10.00</w:t>
            </w:r>
          </w:p>
        </w:tc>
        <w:tc>
          <w:tcPr>
            <w:tcW w:w="63" w:type="dxa"/>
            <w:tcBorders/>
            <w:shd w:fill="CCEEFF" w:val="clear"/>
            <w:vAlign w:val="bottom"/>
          </w:tcPr>
          <w:p>
            <w:pPr>
              <w:pStyle w:val="TableContents"/>
              <w:bidi w:val="0"/>
              <w:spacing w:before="0" w:after="283"/>
              <w:jc w:val="left"/>
              <w:rPr/>
            </w:pPr>
            <w:r>
              <w:rPr/>
              <w:t> </w:t>
            </w:r>
          </w:p>
        </w:tc>
      </w:tr>
      <w:tr>
        <w:trPr/>
        <w:tc>
          <w:tcPr>
            <w:tcW w:w="4940" w:type="dxa"/>
            <w:tcBorders/>
          </w:tcPr>
          <w:p>
            <w:pPr>
              <w:pStyle w:val="TableContents"/>
              <w:bidi w:val="0"/>
              <w:spacing w:before="0" w:after="0"/>
              <w:jc w:val="left"/>
              <w:rPr>
                <w:rFonts w:ascii="Times New Roman" w:hAnsi="Times New Roman"/>
                <w:sz w:val="20"/>
              </w:rPr>
            </w:pPr>
            <w:r>
              <w:rPr>
                <w:rFonts w:ascii="Times New Roman" w:hAnsi="Times New Roman"/>
                <w:sz w:val="20"/>
              </w:rPr>
              <w:t>Implied value per share upon consummation of initial business combination(5)</w:t>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07" w:type="dxa"/>
            <w:tcBorders/>
            <w:vAlign w:val="bottom"/>
          </w:tcPr>
          <w:p>
            <w:pPr>
              <w:pStyle w:val="TableContents"/>
              <w:bidi w:val="0"/>
              <w:spacing w:before="0" w:after="283"/>
              <w:jc w:val="right"/>
              <w:rPr/>
            </w:pPr>
            <w:r>
              <w:rPr/>
              <w:t>6.93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over-allotment option has not been exercised and an aggregate of 1,023,943 founder shares have been forfeited by our initial shareholders as a result thereof.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over-allotment option has not been exercised and an aggregate of 386,681 private investor shares have been forfeited by the non-managing investors as a result thereof.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over-allotment option has not been exercised and the total of 337,675 private placement shares underlying 337,675 private placement units are outstanding, consisting of 95,200 private placement shares held by the insiders and Lynrock and 242,475 private placement shares held by the non-managing investors, and assuming further that no private placement rights have been exercised.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the public shareholders’ investment is in both the public shares and the public rights, for purposes of this table the full investment amount is ascribed to the public shares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founder shares and private investor shares would automatically convert into Class A ordinary shares upon completion of our initial business combination or earlier at the option of the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dilution would increase to the extent that the anti-dilution provisions of the founder shares and private investor shares result in the issuance of Class A ordinary shares on a greater than one-to-one basis upon conversion of the founder shares and private investor shares at the time of our initial business combination and would become exacerbated to the extent that public shareholders seek redemptions from the trust for their public shares. In addition, because of the anti-dilution protection in the founder shares and private investor shares, any equity or equity-linked securities issued in connection with our initial business combination would be disproportionately dilutive to our Class A ordinary shares. </w:t>
      </w:r>
    </w:p>
    <w:p>
      <w:pPr>
        <w:pStyle w:val="TextBody"/>
        <w:bidi w:val="0"/>
        <w:spacing w:before="240" w:after="0"/>
        <w:jc w:val="left"/>
        <w:rPr>
          <w:rFonts w:ascii="Times New Roman" w:hAnsi="Times New Roman"/>
          <w:i/>
          <w:sz w:val="20"/>
        </w:rPr>
      </w:pPr>
      <w:r>
        <w:rPr>
          <w:rFonts w:ascii="Times New Roman" w:hAnsi="Times New Roman"/>
          <w:i/>
          <w:sz w:val="20"/>
        </w:rPr>
        <w:t xml:space="preserve">The grant of registration rights to our initial shareholders may make it more difficult to complete our initial business combination, and the future exercise of such rights may adversely affect the market price of our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an agreement entered into concurrently with the issuance and sale of the securities in this offering, holders of the founder shares, private placement units and any units that may be issued upon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working capital loans may demand that we register such units and/or underlying securities. We will bear the cost of registering these securities. The registration and availability of such a significant number of securities for trading in the public market may have an adverse effect on the market price of our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ordinary shares that is expected when the founder shares, private placement units and any units that may be issued upon conversion of working capital loans are registered. </w:t>
      </w:r>
    </w:p>
    <w:p>
      <w:pPr>
        <w:pStyle w:val="TextBody"/>
        <w:bidi w:val="0"/>
        <w:spacing w:before="240" w:after="0"/>
        <w:jc w:val="left"/>
        <w:rPr>
          <w:rFonts w:ascii="Times New Roman" w:hAnsi="Times New Roman"/>
          <w:i/>
          <w:sz w:val="20"/>
        </w:rPr>
      </w:pPr>
      <w:r>
        <w:rPr>
          <w:rFonts w:ascii="Times New Roman" w:hAnsi="Times New Roman"/>
          <w:i/>
          <w:sz w:val="20"/>
        </w:rPr>
        <w:t xml:space="preserve">We may amend the terms of the rights in a manner that may be adverse to holders with the approval by the holders of at least a majority of the then outstanding rights. </w:t>
      </w:r>
    </w:p>
    <w:p>
      <w:pPr>
        <w:pStyle w:val="TextBody"/>
        <w:bidi w:val="0"/>
        <w:spacing w:before="240" w:after="0"/>
        <w:jc w:val="left"/>
        <w:rPr>
          <w:rFonts w:ascii="Times New Roman" w:hAnsi="Times New Roman"/>
          <w:sz w:val="20"/>
        </w:rPr>
      </w:pPr>
      <w:r>
        <w:rPr>
          <w:rFonts w:ascii="Times New Roman" w:hAnsi="Times New Roman"/>
          <w:sz w:val="20"/>
        </w:rPr>
        <w:t xml:space="preserve">Our rights will be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 </w:t>
      </w:r>
    </w:p>
    <w:p>
      <w:pPr>
        <w:pStyle w:val="TextBody"/>
        <w:bidi w:val="0"/>
        <w:spacing w:before="240" w:after="0"/>
        <w:jc w:val="left"/>
        <w:rPr>
          <w:rFonts w:ascii="Times New Roman" w:hAnsi="Times New Roman"/>
          <w:i/>
          <w:sz w:val="20"/>
        </w:rPr>
      </w:pPr>
      <w:r>
        <w:rPr>
          <w:rFonts w:ascii="Times New Roman" w:hAnsi="Times New Roman"/>
          <w:i/>
          <w:sz w:val="20"/>
        </w:rPr>
        <w:t xml:space="preserve">Our rights may have an adverse effect on the market price of our ordinary shares and make it more difficult to complete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We will be issuing rights as part of the units sold in this offering entitling the holders to receive an aggregate of up to 2,200,000 ordinary shares (or up to 2,530,000 ordinary shares if the over-allotment option is exercised in full). Simultaneously with the closing of this offering, we will be issuing as part of the private placement units rights entitling the holders to receive an aggregate of 67,525 ordinary shares (or 71,525 ordinary shares if the over-allotment option is exercised in full). </w:t>
      </w:r>
    </w:p>
    <w:p>
      <w:pPr>
        <w:pStyle w:val="TextBody"/>
        <w:bidi w:val="0"/>
        <w:spacing w:before="240" w:after="0"/>
        <w:jc w:val="left"/>
        <w:rPr>
          <w:rFonts w:ascii="Times New Roman" w:hAnsi="Times New Roman"/>
          <w:sz w:val="20"/>
        </w:rPr>
      </w:pPr>
      <w:r>
        <w:rPr>
          <w:rFonts w:ascii="Times New Roman" w:hAnsi="Times New Roman"/>
          <w:sz w:val="20"/>
        </w:rPr>
        <w:t xml:space="preserve">To the extent we issue ordinary shares to complete a business combination, the potential for the issuance of a substantial number of additional ordinary shares upon conversion of the rights could make us a less attractive acquisition vehicle to a target business. Any such issuance will increase the number of issued and outstanding ordinary shares and reduce the value of the ordinary shares issued to complete the business combination. Therefore, our rights may make it more difficult to complete a business combination or increase the cost of acquiring the target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If we are deemed to be an investment company for purposes of the Investment Company Act, we could be forced to liquidate and investors in our company would not be able to participate in any benefits of owning stock in an operating business, including the potential appreciation of our stock following a business combination and our rights would expire worthless. </w:t>
      </w:r>
    </w:p>
    <w:p>
      <w:pPr>
        <w:pStyle w:val="TextBody"/>
        <w:bidi w:val="0"/>
        <w:spacing w:before="240" w:after="0"/>
        <w:jc w:val="left"/>
        <w:rPr>
          <w:rFonts w:ascii="Times New Roman" w:hAnsi="Times New Roman"/>
          <w:sz w:val="20"/>
        </w:rPr>
      </w:pPr>
      <w:r>
        <w:rPr>
          <w:rFonts w:ascii="Times New Roman" w:hAnsi="Times New Roman"/>
          <w:sz w:val="20"/>
        </w:rPr>
        <w:t xml:space="preserve">As indicated above, we have 24 months from the closing of this offering to consummate an initial business combination. It is possible that a claim in the future could be made that we have been operating as an unregistered investment company. It is also possible that the investment of funds from this offering and private placement of units during our life as a blank check company, and the earning and use of interest from such investment, both of which will likely continue until we consummate an initial business combination, could increase the likelihood of us being found to have been operating as an unregistered investment company more than if we sought to potentially mitigate this risk by holding such funds as cash. Furthermore, the longer the funds are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the greater the risk could be that we are considered an investment company. If we are deemed to be an investment company for purposes of the Investment Company Act and found to have been operating as an unregistered investment company, it could cause us to liquidate. If we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forced to liquidate, investors in our company would not be able to participate in any benefits of owning stock in an operating business, including the potential appreciation of our stock following a business combination and our rights would expire worthless. </w:t>
      </w:r>
    </w:p>
    <w:p>
      <w:pPr>
        <w:pStyle w:val="TextBody"/>
        <w:bidi w:val="0"/>
        <w:spacing w:before="240" w:after="0"/>
        <w:jc w:val="left"/>
        <w:rPr>
          <w:rFonts w:ascii="Times New Roman" w:hAnsi="Times New Roman"/>
          <w:i/>
          <w:sz w:val="20"/>
        </w:rPr>
      </w:pPr>
      <w:r>
        <w:rPr>
          <w:rFonts w:ascii="Times New Roman" w:hAnsi="Times New Roman"/>
          <w:i/>
          <w:sz w:val="20"/>
        </w:rPr>
        <w:t xml:space="preserve">Our rights agreement will designate the courts of the State of New York located in the County of New York or the United States District Court for the Southern District of New York as the sole and exclusive forum for certain types of actions and proceedings that may be initiated by holders of our rights, as applicable, which could limit the ability of rights holders to obtain a favorable judicial forum for disputes with our company. </w:t>
      </w:r>
    </w:p>
    <w:p>
      <w:pPr>
        <w:pStyle w:val="TextBody"/>
        <w:bidi w:val="0"/>
        <w:spacing w:before="240" w:after="0"/>
        <w:jc w:val="left"/>
        <w:rPr>
          <w:rFonts w:ascii="Times New Roman" w:hAnsi="Times New Roman"/>
          <w:sz w:val="20"/>
        </w:rPr>
      </w:pPr>
      <w:r>
        <w:rPr>
          <w:rFonts w:ascii="Times New Roman" w:hAnsi="Times New Roman"/>
          <w:sz w:val="20"/>
        </w:rPr>
        <w:t xml:space="preserve">Our rights agreement will provide that, subject to applicable law, (i) any action, proceeding or claim against us arising out of or relating in any way to the rights agreement, including under the Securities Act, will be brought and enforced in the courts of the State of New York located in the County of New York or the United States District Court for the Southern District of New York, (ii)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 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 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 </w:t>
      </w:r>
    </w:p>
    <w:p>
      <w:pPr>
        <w:pStyle w:val="TextBody"/>
        <w:bidi w:val="0"/>
        <w:spacing w:before="240" w:after="0"/>
        <w:jc w:val="left"/>
        <w:rPr>
          <w:rFonts w:ascii="Times New Roman" w:hAnsi="Times New Roman"/>
          <w:sz w:val="20"/>
        </w:rPr>
      </w:pPr>
      <w:r>
        <w:rPr>
          <w:rFonts w:ascii="Times New Roman" w:hAnsi="Times New Roman"/>
          <w:sz w:val="20"/>
        </w:rPr>
        <w:t xml:space="preserve">This choice-of-forum provision may limit a right holder’s ability to bring a claim in a judicial forum that it finds favorable for disputes with our company, which may discourage such lawsuits. Right holders who are unable to bring their claims in the judicial forum of their choosing may be required to incur additional costs in pursuit of actions which are subject to our choice-of-forum provisions. Alternatively, if a court were to find this provision of our rights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t>
      </w:r>
    </w:p>
    <w:p>
      <w:pPr>
        <w:pStyle w:val="TextBody"/>
        <w:bidi w:val="0"/>
        <w:spacing w:before="240" w:after="0"/>
        <w:jc w:val="left"/>
        <w:rPr>
          <w:rFonts w:ascii="Times New Roman" w:hAnsi="Times New Roman"/>
          <w:i/>
          <w:sz w:val="20"/>
        </w:rPr>
      </w:pPr>
      <w:r>
        <w:rPr>
          <w:rFonts w:ascii="Times New Roman" w:hAnsi="Times New Roman"/>
          <w:i/>
          <w:sz w:val="20"/>
        </w:rPr>
        <w:t xml:space="preserve">The determination of the offering price of our public units and the size of this offering is more arbitrary than the pricing of securities and size of an offering of an operating company in a particular industry.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been no public market for any of our securities. The public offering price of the public units and the terms of the rights were negotiated between us and the underwriters. In determining the size of this offering, management held customary organizational meetings with the Representative, with respect to the state of capital markets, generally, and the amount the underwriters believed they reasonably could raise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behalf. Factors considered in determining the size of this offering, prices and terms of the public units, including the public shares and public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history and prospects of companies whose principal business is the acquisition of other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offerings of those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for acquiring an operating business at attractive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review of debt-to-equity ratios in leveraged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assessment of our management and their experience in identifying operating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conditions of the securities markets at the time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as were deemed relevant.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these factors were considered, the determination of our offering price is more arbitrary than the pricing of securities of an operating company in a particular industry since we have no historical operations or financial results. </w:t>
      </w:r>
    </w:p>
    <w:p>
      <w:pPr>
        <w:pStyle w:val="TextBody"/>
        <w:bidi w:val="0"/>
        <w:spacing w:before="240" w:after="0"/>
        <w:jc w:val="left"/>
        <w:rPr>
          <w:rFonts w:ascii="Times New Roman" w:hAnsi="Times New Roman"/>
          <w:i/>
          <w:sz w:val="20"/>
        </w:rPr>
      </w:pPr>
      <w:r>
        <w:rPr>
          <w:rFonts w:ascii="Times New Roman" w:hAnsi="Times New Roman"/>
          <w:i/>
          <w:sz w:val="20"/>
        </w:rPr>
        <w:t xml:space="preserve">There is currently no market for our securities and a market for our securities may not develop, which would adversely affect the liquidity and price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Although we have applied to list our securities on Nasdaq, as of the date of this prospectus there is currently no market for our securities. Prospective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 OTCID Basic Market, the Pink Limited Market or the Expert Limited Market systems for quotations of equity securities not listed on a national exchange, the liquidity and price of our securities may be more limited than if our securities were listed on Nasdaq or another national exchange. You may be unable to sell your securities unless a market can be established and sustained. </w:t>
      </w:r>
    </w:p>
    <w:p>
      <w:pPr>
        <w:pStyle w:val="TextBody"/>
        <w:bidi w:val="0"/>
        <w:spacing w:before="240" w:after="0"/>
        <w:jc w:val="left"/>
        <w:rPr>
          <w:rFonts w:ascii="Times New Roman" w:hAnsi="Times New Roman"/>
          <w:i/>
          <w:sz w:val="20"/>
        </w:rPr>
      </w:pPr>
      <w:r>
        <w:rPr>
          <w:rFonts w:ascii="Times New Roman" w:hAnsi="Times New Roman"/>
          <w:i/>
          <w:sz w:val="20"/>
        </w:rPr>
        <w:t xml:space="preserve">We may issue our shares to investors in connection with our initial business combination at a price which is less than the prevailing market price of our shares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securities, and certain subsequent transactions with respect to our securities, may result in uncertain or adverse U.S. federal income tax consequences for an investor.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and certain subsequent transactions with respect to our securities, may result in uncertain or adverse U.S. federal income tax consequences for an investor. For instance, because there is no authority that directly addresses the U.S. federal income tax implications of instruments similar to the public units we are issuing in this offering, the allocation an investor makes of the purchase price of a public unit between the public share and the public rights included in each unit could be challenged by the Internal Revenue Service (the “IRS”) or the courts. Furthermore, the U.S. federal income tax consequences of a cashless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public rights is unclear under current law. Additionally, it is unclear whether the redemption rights with respect to our public shares suspend the running of a U.S. Holder’s (as defined in the section captioned “Taxation—Material United States Federal Income Tax Considerations—U.S. Holders” below) holding period for purposes of determining whether any gain or loss realized by such holder on the sale or exchange of public shares is long-term capital gain or loss and for determining whether any dividend we pay would be eligible for favorable U.S. federal income tax treatment. See “Taxation—Material United States Federal Income Tax Considerations” below for a summary of the principal U.S. federal income tax consequences of an investment in our securities. Each prospective investor is urged to consult with and rely solely upon its own tax advisors with respect to these and other tax consequences when purchasing, holding or disposing of our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Whether a redemption of public shares will be treated as a sale of such public shares for U.S. federal income tax purposes will depend on a shareholder’s specific facts. </w:t>
      </w:r>
    </w:p>
    <w:p>
      <w:pPr>
        <w:pStyle w:val="TextBody"/>
        <w:bidi w:val="0"/>
        <w:spacing w:before="240" w:after="0"/>
        <w:jc w:val="left"/>
        <w:rPr>
          <w:rFonts w:ascii="Times New Roman" w:hAnsi="Times New Roman"/>
          <w:sz w:val="20"/>
        </w:rPr>
      </w:pPr>
      <w:r>
        <w:rPr>
          <w:rFonts w:ascii="Times New Roman" w:hAnsi="Times New Roman"/>
          <w:sz w:val="20"/>
        </w:rPr>
        <w:t>The U.S. federal income tax treatment of a redemption of public shares will depend on whether the redemption qualifies as a sale of such public shares under Section 302(a) of the Internal Revenue Code of 1986, as amended (the “Code”), which will depend largely on the total number of our shares treated as held by the shareholder electing to redeem public shares (including any shares constructively owned by the holder as a result of owning private placement rights or public rights or otherwise) relative to all of our shares outstanding both before and after the redemption. If such redemption is not treated as a sale of public shares for U.S. federal income tax purposes, the redemption will instead be treated as a corporate distribution of cash from us. For more information about the U.S. federal income tax treatment of the redemption of public shares, see the sections entitled “</w:t>
      </w:r>
      <w:r>
        <w:rPr>
          <w:rFonts w:ascii="Times New Roman" w:hAnsi="Times New Roman"/>
          <w:i/>
          <w:sz w:val="20"/>
        </w:rPr>
        <w:t>Taxation—Material United States Federal Income Tax Considerations—U.S. Holders—Redemption or Repurchase of public Shares</w:t>
      </w:r>
      <w:r>
        <w:rPr>
          <w:rFonts w:ascii="Times New Roman" w:hAnsi="Times New Roman"/>
          <w:sz w:val="20"/>
        </w:rPr>
        <w:t>” or “</w:t>
      </w:r>
      <w:r>
        <w:rPr>
          <w:rFonts w:ascii="Times New Roman" w:hAnsi="Times New Roman"/>
          <w:i/>
          <w:sz w:val="20"/>
        </w:rPr>
        <w:t>Taxation—Material United States Federal Income Tax Considerations—Non-U.S. Holders</w:t>
      </w:r>
      <w:r>
        <w:rPr>
          <w:rFonts w:ascii="Times New Roman" w:hAnsi="Times New Roman"/>
          <w:sz w:val="20"/>
        </w:rPr>
        <w:t xml:space="preserve">,” as applicable. </w:t>
      </w:r>
    </w:p>
    <w:p>
      <w:pPr>
        <w:pStyle w:val="TextBody"/>
        <w:bidi w:val="0"/>
        <w:spacing w:before="240" w:after="0"/>
        <w:jc w:val="left"/>
        <w:rPr>
          <w:rFonts w:ascii="Times New Roman" w:hAnsi="Times New Roman"/>
          <w:i/>
          <w:sz w:val="20"/>
        </w:rPr>
      </w:pPr>
      <w:r>
        <w:rPr>
          <w:rFonts w:ascii="Times New Roman" w:hAnsi="Times New Roman"/>
          <w:i/>
          <w:sz w:val="20"/>
        </w:rPr>
        <w:t xml:space="preserve">We are likely to be treated as a passive foreign investment company (“PFIC”), which could result in adverse U.S. federal income tax consequences to U.S. investors. </w:t>
      </w:r>
    </w:p>
    <w:p>
      <w:pPr>
        <w:pStyle w:val="TextBody"/>
        <w:bidi w:val="0"/>
        <w:spacing w:before="240" w:after="0"/>
        <w:jc w:val="left"/>
        <w:rPr>
          <w:rFonts w:ascii="Times New Roman" w:hAnsi="Times New Roman"/>
          <w:sz w:val="20"/>
        </w:rPr>
      </w:pPr>
      <w:r>
        <w:rPr>
          <w:rFonts w:ascii="Times New Roman" w:hAnsi="Times New Roman"/>
          <w:sz w:val="20"/>
        </w:rPr>
        <w:t xml:space="preserve">If we are treated as a PFIC for any taxable year in which a U.S. Holder holds our Class A ordinary shares or rights (regardless of whether we remain a PFIC for subsequent taxable years), such U.S. Holder may be subject to certain adverse U.S. federal income tax consequences and may be subject to additional reporting requirements. Our PFIC status for our current and subsequent taxable years may depend on, among other things, the timing of our business combination, the amount of our passive income and assets in the year of the business combination, whether we combine with a U.S. or non-U.S. target company, and the amount of passive income and assets of the acquired business. Our actual PFIC status for our current taxable year or any subsequent taxable year will not be determinable until after the end of such taxable year. However, we anticipate that we are likely to be treated as a PFIC in our current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we determine we are a PFIC for any taxable year, upon written request by a U.S. Holder, we will endeavor to provide to such U.S. Holder such information as the IRS may require, including a PFIC annual information statement, in order to enable such U.S. Holder to make and maintain a “qualified electing fund” (“QEF”) election with respect to its Class A ordinary shares, but there is no assurance that we will timely provide such required information. Furthermore, a U.S. Holder may not make a QEF election with respect to its rights to acquire our Class A ordinary shares. The rules dealing with PFICs and with the QEF election are very complex and are affected by various factors in addition to those described in this prospectus. Accordingly, U.S. investors are strongly urged to consult with and rely solely upon their own tax advisors regarding the application of the PFIC rules to them in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For a more detailed discussion of the PFIC rules and the related tax considerations for U.S. Holders, see the section of this prospectus captioned “Taxation—Material United States Federal Income Tax Considerations—U.S. Holders—Passive Foreign Investment Company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Inflation Reduction Act of 2022 provides for, among other things, a new 1% U.S. federal excise tax on certain repurchases (including redemptions) of stock by publicly traded U.S. corporations after December 31, 2022 (the “stock buyback tax”), subject to certain exceptions. If applicable, the amount of the stock buyback tax is generally 1% of the aggregate fair market value of any stock repurchased by the corporation during a taxable year, net of the aggregate fair market value of certain new stock issuances by the repurchasing corporation during the same taxable year. The Biden administration has proposed increasing the stock buyback tax rate from 1% to 4%; however, it is unclear whether such a change will be enacted and, if enacted, how soon it could take effect. In addition, the U.S. Treasury Department and IRS have released preliminary guidance that would potentially cause a non-U.S. corporation’s U.S. subsidiaries to be subject to the stock buyback tax with respect to any share repurchases made by the non-U.S. corporation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As an entity incorporated as a Cayman Islands exempted company, the stock buyback tax is currently not expected to apply to redemptions of our public shares (absent any regulations or other additional guidance that may be issued in the future). However, in connection with an initial business combination involving a company organized under the laws of the United States (or any subdivision thereof), it is possible that we domesticate and continue as a Delaware corporation prior to certain redemptions. Because we expect that, following such a domestication, our securities would continue to trade on Nasdaq, in such a case we could be subject to the stock buyback tax with respect to any subsequent redemptions (including redemptions in connection with the initial business combination) that are treated as repurchases for this purpose. In all cases, whether and to what extent we would be subject to the stock buyback tax will depend on a number of factors, including (i) the structure of the initial business combination, including the extent to which the initial business combination involves a U.S. corporation and the extent to which we issue shares in the initial business combination or otherwise during the same taxable year that are eligible to offset any redemptions or other repurchases, (ii) the fair market value of the shares redeemed and (iii) the extent such redemptions could be treated as dividends and not as repurchases. The applicability of the stock buyback tax to us could be further affected by the content of any regulations, clarifications or other additional guidance from the U.S. Treasury Department that may be issued and applicable to the redemptions. </w:t>
      </w:r>
    </w:p>
    <w:p>
      <w:pPr>
        <w:pStyle w:val="TextBody"/>
        <w:bidi w:val="0"/>
        <w:spacing w:before="240" w:after="0"/>
        <w:jc w:val="left"/>
        <w:rPr>
          <w:rFonts w:ascii="Times New Roman" w:hAnsi="Times New Roman"/>
          <w:sz w:val="20"/>
        </w:rPr>
      </w:pPr>
      <w:r>
        <w:rPr>
          <w:rFonts w:ascii="Times New Roman" w:hAnsi="Times New Roman"/>
          <w:sz w:val="20"/>
        </w:rPr>
        <w:t xml:space="preserve">Any stock buyback tax that becomes payable as a result of any redemptions of our public shares (or other shares into which such public shares may be converted) in connection with our initial business combination or otherwise would be payable by us and not by the redeeming holder. To the extent such taxes are applicable, the amount of cash available to pay redemptions or to transfer to the target business in connection with our initial business combination may be reduced, which could result in our inability to meet conditions in the agreement relating to our initial business combination related to a minimum cash requirement, if any, or otherwise result in the shareholders of the combined company (including any of our shareholders who do not exercise their redemption rights in connection with the initial business combination) to economically bear the impact of such stock buyback tax.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i/>
          <w:sz w:val="20"/>
        </w:rPr>
      </w:pPr>
      <w:r>
        <w:rPr>
          <w:rFonts w:ascii="Times New Roman" w:hAnsi="Times New Roman"/>
          <w:i/>
          <w:sz w:val="20"/>
        </w:rPr>
        <w:t xml:space="preserve">We are a blank check company with no operating history and no revenues, and you have no basis on which to evaluate our ability to achieve our business objective. </w:t>
      </w:r>
    </w:p>
    <w:p>
      <w:pPr>
        <w:pStyle w:val="TextBody"/>
        <w:bidi w:val="0"/>
        <w:spacing w:before="240" w:after="0"/>
        <w:jc w:val="left"/>
        <w:rPr>
          <w:rFonts w:ascii="Times New Roman" w:hAnsi="Times New Roman"/>
          <w:sz w:val="20"/>
        </w:rPr>
      </w:pPr>
      <w:r>
        <w:rPr>
          <w:rFonts w:ascii="Times New Roman" w:hAnsi="Times New Roman"/>
          <w:sz w:val="20"/>
        </w:rPr>
        <w:t xml:space="preserve">We are a blank check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To date, our efforts have been limited to organizational activities as well as activities related to this offering. We have not selected any specific business combination target and may be unable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complete our initial business combination. If we fail to complete our initial business combination, we will never generate any operating revenues. </w:t>
      </w:r>
    </w:p>
    <w:p>
      <w:pPr>
        <w:pStyle w:val="TextBody"/>
        <w:bidi w:val="0"/>
        <w:spacing w:before="240" w:after="0"/>
        <w:jc w:val="left"/>
        <w:rPr>
          <w:rFonts w:ascii="Times New Roman" w:hAnsi="Times New Roman"/>
          <w:i/>
          <w:sz w:val="20"/>
        </w:rPr>
      </w:pPr>
      <w:r>
        <w:rPr>
          <w:rFonts w:ascii="Times New Roman" w:hAnsi="Times New Roman"/>
          <w:i/>
          <w:sz w:val="20"/>
        </w:rPr>
        <w:t xml:space="preserve">Our sponsor has the ability to remove itself as the Company’s sponsor or to substantially reduce its interests in the Company before identifying a business combination, which may result in change in the strategy and focus of our Company in pursuing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In addition, the members of our sponsor could, with the permission of the sponsor’s managing member, transfer their membership interests in the sponsor, thereby transferring control of our sponsor to a third party. Through the forgoing means, our sponsor may remove itself as the Company’s sponsor, substantially reduce its interests in the Company, or have its control transferred to a third party before we identify a business combination. Any such reduction of the interests of our sponsor in the securities of the Company or transfer of sponsor interests may lead to the sponsor’s managing member no longer having voting power and control over the affairs of the Company in pursuing a business combination. This could also result in a change to our management team, acquisition strategy and criteria and our industry focus without shareholders having the ability to consider the merits of a change in the management team. Additionally, there can be no assurance that any replacement sponsor will successfully identify a business combination target for us, or, even if one is so identified, successfully complete such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We are an “emerging growth company” and we cannot be certain if the reduced disclosure requirements applicable to emerging growth companies will make our securities less attractive to investors.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public shares held by non-affiliates exceeds $700 million as of any June 30 before that time, in which case we would no longer be an emerging growth company as of the following January 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a comparison of our financial statements with another public company, unless it is an emerging growth company that has not opted out of using the extended transition period, difficult or impossible because of the potential differences in accounting standards 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equals or exceeds $220 million as of the prior June 30, and (2) our annual revenues equaled or exceeded $100 million during such completed fiscal year or the market value of our ordinary shares held by non-affiliates equals or exceeds $700 million as of the prior June 30. To the extent we take advantage of such reduced disclosure obligations, it may also make comparison of our financial statements with other public companies difficult or impossible. </w:t>
      </w:r>
    </w:p>
    <w:p>
      <w:pPr>
        <w:pStyle w:val="TextBody"/>
        <w:bidi w:val="0"/>
        <w:spacing w:before="240" w:after="0"/>
        <w:jc w:val="left"/>
        <w:rPr>
          <w:rFonts w:ascii="Times New Roman" w:hAnsi="Times New Roman"/>
          <w:i/>
          <w:sz w:val="20"/>
        </w:rPr>
      </w:pPr>
      <w:r>
        <w:rPr>
          <w:rFonts w:ascii="Times New Roman" w:hAnsi="Times New Roman"/>
          <w:i/>
          <w:sz w:val="20"/>
        </w:rPr>
        <w:t xml:space="preserve">Because we are incorporated under the laws of the Cayman Islands, you may face difficulties in protecting your interests, and your ability to protect your rights through the U.S. federal courts may be limited. </w:t>
      </w:r>
    </w:p>
    <w:p>
      <w:pPr>
        <w:pStyle w:val="TextBody"/>
        <w:bidi w:val="0"/>
        <w:spacing w:before="240" w:after="0"/>
        <w:jc w:val="left"/>
        <w:rPr>
          <w:rFonts w:ascii="Times New Roman" w:hAnsi="Times New Roman"/>
          <w:sz w:val="20"/>
        </w:rPr>
      </w:pPr>
      <w:r>
        <w:rPr>
          <w:rFonts w:ascii="Times New Roman" w:hAnsi="Times New Roman"/>
          <w:sz w:val="20"/>
        </w:rPr>
        <w:t xml:space="preserve">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 </w:t>
      </w:r>
    </w:p>
    <w:p>
      <w:pPr>
        <w:pStyle w:val="TextBody"/>
        <w:bidi w:val="0"/>
        <w:spacing w:before="240" w:after="0"/>
        <w:jc w:val="left"/>
        <w:rPr>
          <w:rFonts w:ascii="Times New Roman" w:hAnsi="Times New Roman"/>
          <w:sz w:val="20"/>
        </w:rPr>
      </w:pPr>
      <w:r>
        <w:rPr>
          <w:rFonts w:ascii="Times New Roman" w:hAnsi="Times New Roman"/>
          <w:sz w:val="20"/>
        </w:rPr>
        <w:t>Our corporate affairs and the rights of shareholders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For a more detailed discussion of the principal differences between the provisions of the Companies Act applicable to us and, for example, the laws applicable to companies incorporated in the United States and their shareholders, see the section of this prospectus captioned “</w:t>
      </w:r>
      <w:r>
        <w:rPr>
          <w:rFonts w:ascii="Times New Roman" w:hAnsi="Times New Roman"/>
          <w:i/>
          <w:sz w:val="20"/>
        </w:rPr>
        <w:t>Description of Securities — Certain Differences in Corporate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judgment has been given </w:t>
      </w:r>
      <w:r>
        <w:rPr>
          <w:rFonts w:ascii="Times New Roman" w:hAnsi="Times New Roman"/>
          <w:i/>
          <w:sz w:val="20"/>
        </w:rPr>
        <w:t>provided</w:t>
      </w:r>
      <w:r>
        <w:rPr>
          <w:rFonts w:ascii="Times New Roman" w:hAnsi="Times New Roman"/>
          <w:sz w:val="20"/>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all of the above, public shareholders may have more difficulty in protecting their interests in the face of actions taken by management, members of the board of directors or controlling shareholders than they would as public shareholders of a United States company. </w:t>
      </w:r>
    </w:p>
    <w:p>
      <w:pPr>
        <w:pStyle w:val="TextBody"/>
        <w:bidi w:val="0"/>
        <w:spacing w:before="240" w:after="0"/>
        <w:jc w:val="left"/>
        <w:rPr>
          <w:rFonts w:ascii="Times New Roman" w:hAnsi="Times New Roman"/>
          <w:i/>
          <w:sz w:val="20"/>
        </w:rPr>
      </w:pPr>
      <w:r>
        <w:rPr>
          <w:rFonts w:ascii="Times New Roman" w:hAnsi="Times New Roman"/>
          <w:i/>
          <w:sz w:val="20"/>
        </w:rPr>
        <w:t xml:space="preserve">Compliance obligations under the Sarbanes-Oxley Act may make it more difficult for us to effectuate our initial business combination, require substantial financial and management resources, and increase the time and costs of completing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404 of the Sarbanes-Oxley Act requires that we evaluate and report on our system of internal controls beginning with our Annual Report on Form 10-K for the year ending December 31, 2025.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Provisions in our amended and restated memorandum and articles of association may inhibit a takeover of us, which could limit the price investors might be willing to pay in the future for our ordinary shares and could entrench management.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Our amended and restated memorandum and articles of association provide that the courts of the Cayman Islands will be the exclusive forums for certain disputes between us and our shareholders, which could limit our shareholders’ ability to obtain a favorable judicial forum for complaints against us or our directors, officers or employees.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memorandum and articles of association provide that unless we consent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w:t>
      </w:r>
    </w:p>
    <w:p>
      <w:pPr>
        <w:pStyle w:val="TextBody"/>
        <w:bidi w:val="0"/>
        <w:spacing w:before="240" w:after="0"/>
        <w:jc w:val="left"/>
        <w:rPr>
          <w:rFonts w:ascii="Times New Roman" w:hAnsi="Times New Roman"/>
          <w:sz w:val="20"/>
        </w:rPr>
      </w:pPr>
      <w:r>
        <w:rPr>
          <w:rFonts w:ascii="Times New Roman" w:hAnsi="Times New Roman"/>
          <w:sz w:val="20"/>
        </w:rPr>
        <w:t xml:space="preserve">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 </w:t>
      </w:r>
    </w:p>
    <w:p>
      <w:pPr>
        <w:pStyle w:val="TextBody"/>
        <w:bidi w:val="0"/>
        <w:spacing w:before="240" w:after="0"/>
        <w:jc w:val="left"/>
        <w:rPr>
          <w:rFonts w:ascii="Times New Roman" w:hAnsi="Times New Roman"/>
          <w:i/>
          <w:sz w:val="20"/>
        </w:rPr>
      </w:pPr>
      <w:r>
        <w:rPr>
          <w:rFonts w:ascii="Times New Roman" w:hAnsi="Times New Roman"/>
          <w:i/>
          <w:sz w:val="20"/>
        </w:rPr>
        <w:t xml:space="preserve">Our independent registered public accounting firm’s report contains an explanatory paragraph that expresses substantial doubt about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As of July 21, 2025, we had $125,000 in cash and working capital of $5,668. Further, we expect to incur significant costs in pursuit of our acquisition plans. Management’s plans to address this need for capital through this offering are discussed in the section of this prospectus titled “</w:t>
      </w:r>
      <w:r>
        <w:rPr>
          <w:rFonts w:ascii="Times New Roman" w:hAnsi="Times New Roman"/>
          <w:i/>
          <w:sz w:val="20"/>
        </w:rPr>
        <w:t>Management’s Discussion and Analysis of Financial Condition and Results of Operations</w:t>
      </w:r>
      <w:r>
        <w:rPr>
          <w:rFonts w:ascii="Times New Roman" w:hAnsi="Times New Roman"/>
          <w:sz w:val="20"/>
        </w:rPr>
        <w:t xml:space="preserve">.” Our plans to raise capital and to consummate our initial business combination may not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 </w:t>
      </w:r>
    </w:p>
    <w:p>
      <w:pPr>
        <w:pStyle w:val="TextBody"/>
        <w:bidi w:val="0"/>
        <w:spacing w:before="240" w:after="0"/>
        <w:jc w:val="left"/>
        <w:rPr>
          <w:rFonts w:ascii="Times New Roman" w:hAnsi="Times New Roman"/>
          <w:i/>
          <w:sz w:val="20"/>
        </w:rPr>
      </w:pPr>
      <w:r>
        <w:rPr>
          <w:rFonts w:ascii="Times New Roman" w:hAnsi="Times New Roman"/>
          <w:i/>
          <w:sz w:val="20"/>
        </w:rPr>
        <w:t xml:space="preserve">Changes in laws or regulations, or a failure to comply with any laws and regulations, may adversely affect our business, investments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We are subject to changing law and regulations regarding regulatory matters, corporate governance and public disclosure that have increased both our costs and the risk of non-compliance.</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 </w:t>
      </w:r>
    </w:p>
    <w:p>
      <w:pPr>
        <w:pStyle w:val="TextBody"/>
        <w:bidi w:val="0"/>
        <w:spacing w:before="240" w:after="0"/>
        <w:jc w:val="left"/>
        <w:rPr>
          <w:rFonts w:ascii="Times New Roman" w:hAnsi="Times New Roman"/>
          <w:sz w:val="20"/>
        </w:rPr>
      </w:pPr>
      <w:r>
        <w:rPr>
          <w:rFonts w:ascii="Times New Roman" w:hAnsi="Times New Roman"/>
          <w:sz w:val="20"/>
        </w:rPr>
        <w:t xml:space="preserve">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w:t>
      </w:r>
    </w:p>
    <w:p>
      <w:pPr>
        <w:pStyle w:val="TextBody"/>
        <w:bidi w:val="0"/>
        <w:spacing w:before="240" w:after="0"/>
        <w:jc w:val="left"/>
        <w:rPr>
          <w:rFonts w:ascii="Times New Roman" w:hAnsi="Times New Roman"/>
          <w:i/>
          <w:sz w:val="20"/>
        </w:rPr>
      </w:pPr>
      <w:r>
        <w:rPr>
          <w:rFonts w:ascii="Times New Roman" w:hAnsi="Times New Roman"/>
          <w:i/>
          <w:sz w:val="20"/>
        </w:rPr>
        <w:t xml:space="preserve">Changes to laws or regulations or in how such laws or regulations are interpreted or applied, or a failure to comply with any laws, regulations, interpretations or applications may adversely affect our business, including our ability to negotiate and complete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laws and regulations, and interpretations and applications of such laws and regulations, of national, regional, state and local governments and applicable non-U.S. jurisdictions. In particular, we are required to comply with certain SEC and potentially other legal and regulatory requirements, and our consummation of an initial business combination may be contingent upon our ability to comply with certain laws, regulations, interpretations and applications and any post-business combination company may be subject to additional laws, regulations, interpretations and applications. Compliance with, and monitoring of, the foregoing may be difficult, time consuming and costly. Those laws and regulations and their interpretation and application may also change from time to time, and those changes could have a material adverse effect on our business, including our ability to negotiate and complete an initial business combination. A failure to comply with applicable laws or regulations, as interpreted and applied, could have a material adverse effect on our business, including our ability to negotiate and complete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24, 2024, the SEC issued final rules (the “2024 SPAC Rules”), which became effective on July 1, 2024, that formally adopted some of the SEC’s proposed rules for SPACs that were released on March 30, 2022. The 2024 SPAC Rules, among other items, impose additional disclosure requirements in initial public offerings by SPACs and business combination transactions involving SPACs and private operating companies; amend the financial statement requirements applicable to business combination transactions involving such companies; update and expand guidance regarding the general use of projections in SEC filings, as well as when projections are disclosed in connection with proposed business combination transactions; increase the potential liability of certain participants in proposed business combination transactions; and could impact the extent to which SPACs could become subject to regulation under the Investment Company Act of 1940. The 2024 SPAC Rules may materially adversely affect our business, including our ability to negotiate and complete, and the costs associated with, our initial business combination,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We may reincorporate in another jurisdiction in connection with our initial business combination and such reincorporation may result in taxes imposed on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may, in connection with our initial business combination,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Our initial business combination or reincorporation may result in taxes imposed on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may, subject to requisite shareholder approval under the Companies Act, effect a business combination with a target company in another jurisdiction, reincorporate in the jurisdiction in which the target company or business is located, or reincorporate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taxes attributable to such income. Shareholders may be subject to withholding taxes or other taxes with respect to their ownership of us after the reincorporation. </w:t>
      </w:r>
    </w:p>
    <w:p>
      <w:pPr>
        <w:pStyle w:val="TextBody"/>
        <w:bidi w:val="0"/>
        <w:spacing w:before="240" w:after="0"/>
        <w:jc w:val="left"/>
        <w:rPr>
          <w:rFonts w:ascii="Times New Roman" w:hAnsi="Times New Roman"/>
          <w:i/>
          <w:sz w:val="20"/>
        </w:rPr>
      </w:pPr>
      <w:r>
        <w:rPr>
          <w:rFonts w:ascii="Times New Roman" w:hAnsi="Times New Roman"/>
          <w:i/>
          <w:sz w:val="20"/>
        </w:rPr>
        <w:t xml:space="preserve">Neither the underwriters nor any of their affiliates have an obligation to provide us with potential investment opportunities or to devote any specified amount of time or support to our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Neither the underwriters nor any of their affiliates have any legal or contractual obligation to seek on our behalf or to present to us investment opportunities that might be suitable for our business, and may allocate any such opportunities at their discretion to us or other parties. We have no investment management, advisory, consulting or other agreement in place with the underwriters or any of its affiliates that obligates them to undertake efforts on our behalf or that govern the manner in which they will allocate investment opportunities. Even if the underwriters or one of their affiliates refer an opportunity to us, no assurance can be given that such opportunity will result in an acquisition agreement or our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We intend to offer each public shareholder the option to vote in favor of the proposed business combination and still seek redemption of such shareholders’ public shares.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meeting held to approve an initial business combination, we will offer each public shareholder (but not our sponsor, executive officers and directors) the right to have his, her or its public shares redeemed for cash (subject to the limitations described elsewhere in this prospectus) regardless of whether such shareholder votes for or against such proposed business combination or votes at all. This is different than other similarly structured blank check companies where shareholders are offered the right to redeem their shares only when they vote against a proposed business combination. This threshold and the ability to seek redemption while voting in favor of a proposed business combination may make it more likely that we will consummate our initial business combination. </w:t>
      </w:r>
    </w:p>
    <w:p>
      <w:pPr>
        <w:pStyle w:val="TextBody"/>
        <w:bidi w:val="0"/>
        <w:spacing w:before="240" w:after="0"/>
        <w:jc w:val="left"/>
        <w:rPr>
          <w:rFonts w:ascii="Times New Roman" w:hAnsi="Times New Roman"/>
          <w:i/>
          <w:sz w:val="20"/>
        </w:rPr>
      </w:pPr>
      <w:r>
        <w:rPr>
          <w:rFonts w:ascii="Times New Roman" w:hAnsi="Times New Roman"/>
          <w:i/>
          <w:sz w:val="20"/>
        </w:rPr>
        <w:t xml:space="preserve">Because of our structure, other companies may have a competitive advantage and we may not be able to consummate an attractive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We expect to encounter intense competition from entities other than blank check companies having a business objective similar to ours, including private equity groups,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shareholder approval of our initial business combination may delay the consummation of a transaction. Any of the foregoing may place us at a competitive disadvantage in successfully negotiating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do not intend to hold an annual meeting of shareholders to elect new directors prior to the completion of our business combination. Unless we hold an annual meeting, all of the current directors will continue in office until at least the completion of the business combination. If there is an annual meeting, the entire board of directors will be considered for election, however our initial shareholders, because of their ownership position, will have considerable influence regarding the outcome. Accordingly, our initial shareholders will continue to exert control at least until the completion of our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Cyber incidents or attacks directed at us could result in information theft, data corruption, operational disruption and/or financial loss. </w:t>
      </w:r>
    </w:p>
    <w:p>
      <w:pPr>
        <w:pStyle w:val="TextBody"/>
        <w:bidi w:val="0"/>
        <w:spacing w:before="240" w:after="0"/>
        <w:jc w:val="left"/>
        <w:rPr>
          <w:rFonts w:ascii="Times New Roman" w:hAnsi="Times New Roman"/>
          <w:sz w:val="20"/>
        </w:rPr>
      </w:pPr>
      <w:r>
        <w:rPr>
          <w:rFonts w:ascii="Times New Roman" w:hAnsi="Times New Roman"/>
          <w:sz w:val="20"/>
        </w:rPr>
        <w:t xml:space="preserve">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 </w:t>
      </w:r>
    </w:p>
    <w:p>
      <w:pPr>
        <w:pStyle w:val="TextBody"/>
        <w:bidi w:val="0"/>
        <w:spacing w:before="240" w:after="0"/>
        <w:jc w:val="left"/>
        <w:rPr>
          <w:rFonts w:ascii="Times New Roman" w:hAnsi="Times New Roman"/>
          <w:i/>
          <w:sz w:val="20"/>
        </w:rPr>
      </w:pPr>
      <w:r>
        <w:rPr>
          <w:rFonts w:ascii="Times New Roman" w:hAnsi="Times New Roman"/>
          <w:i/>
          <w:sz w:val="20"/>
        </w:rPr>
        <w:t xml:space="preserve">We may face risks related to companies in the A&amp;D, cybersecurity, encryption and quantum technologies, satellite and drone technologies for commercial and defense applications, and semiconductor “system on a chip” (SOC) industry. </w:t>
      </w:r>
    </w:p>
    <w:p>
      <w:pPr>
        <w:pStyle w:val="TextBody"/>
        <w:bidi w:val="0"/>
        <w:spacing w:before="240" w:after="0"/>
        <w:jc w:val="left"/>
        <w:rPr>
          <w:rFonts w:ascii="Times New Roman" w:hAnsi="Times New Roman"/>
          <w:sz w:val="20"/>
        </w:rPr>
      </w:pPr>
      <w:r>
        <w:rPr>
          <w:rFonts w:ascii="Times New Roman" w:hAnsi="Times New Roman"/>
          <w:sz w:val="20"/>
        </w:rPr>
        <w:t xml:space="preserve">Business combinations with companies in the A&amp;D, cybersecurity, encryption and quantum technologies, satellite and drone technologies for commercial and defense applications, and semiconductor “system on a chip” (SOC) industry entail special considerations and risks. If we are successful in completing a business combination with such a target business, we may be subject to, and possibly adversely affected by, the following risks: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compete effectively in a highly competitive environment with many incumbents having substantially greater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manage rapid change, increasing consumer expectations and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build strong brand identity and improve subscriber or customer satisfaction and loyalty;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reliance on proprietary technology to provide services and to manage our operations, and the failure of this technology to operate effectively, or our failure to use such technology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deal with our subscribers’ or customers’ privacy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attract and retain subscribers or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license or enforce intellectual property rights on which our business may depend;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significant disruption in our computer systems or those of third parties that we would utilize in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by us, or a refusal by third parties, to license intellectual property to us upon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for negligence, copyright, or trademark infringement or other claims based on the nature and content of materials that we may distribute;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for the leisure and entertainment time and discretionary spending of subscribers or customers, which may intensify in part due to advances in technology and changes in consumer expectations and behavior;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or failure of our networks, systems or technology as a result of computer viruses, “cyber-attacks,” misappropriation of data or other malfeasance, as well as outages, natural disasters, terrorist attacks, accidental releases of information or similar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obtain necessary hardware, software and operational support;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reliance on third-party vendors or service providers.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 foregoing could have an adverse impact on our operations following a business combination. However, our efforts in identifying prospective target businesses will not be limited to the A&amp;D, cybersecurity, encryption and quantum technologies, satellite and drone technologies for commercial and defense applications, and semiconductor “system on a chip” (SOC) industry. Accordingly, if we acquire a target business in another industry, we will be subject to risks attendant with the specific industry in which the target business we acquire operates, which may or may not be different than those risks listed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92969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22,000,000 units at an offering price of $10.00 per unit. We estimate that the net proceeds of this offering together with the funds we will receive from the sale of the private investor shares and private placement units will be used as set forth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76"/>
        <w:gridCol w:w="357"/>
        <w:gridCol w:w="147"/>
        <w:gridCol w:w="1387"/>
        <w:gridCol w:w="60"/>
        <w:gridCol w:w="357"/>
        <w:gridCol w:w="165"/>
        <w:gridCol w:w="1642"/>
        <w:gridCol w:w="64"/>
      </w:tblGrid>
      <w:tr>
        <w:trPr/>
        <w:tc>
          <w:tcPr>
            <w:tcW w:w="3576"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576"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Over-</w:t>
              <w:br/>
              <w:t>Allotment</w:t>
              <w:br/>
              <w:t>Option</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Over-Allotment</w:t>
              <w:br/>
              <w:t>Option</w:t>
              <w:br/>
              <w:t>Exercised</w:t>
            </w:r>
          </w:p>
        </w:tc>
        <w:tc>
          <w:tcPr>
            <w:tcW w:w="64" w:type="dxa"/>
            <w:tcBorders/>
            <w:vAlign w:val="bottom"/>
          </w:tcPr>
          <w:p>
            <w:pPr>
              <w:pStyle w:val="TableContents"/>
              <w:bidi w:val="0"/>
              <w:spacing w:before="0" w:after="283"/>
              <w:jc w:val="left"/>
              <w:rPr/>
            </w:pPr>
            <w:r>
              <w:rPr/>
              <w:t> </w:t>
            </w:r>
          </w:p>
        </w:tc>
      </w:tr>
      <w:tr>
        <w:trPr/>
        <w:tc>
          <w:tcPr>
            <w:tcW w:w="357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Gross proceeds</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64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Offering(1)</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220,000,000</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253,000,000</w:t>
            </w:r>
          </w:p>
        </w:tc>
        <w:tc>
          <w:tcPr>
            <w:tcW w:w="64" w:type="dxa"/>
            <w:tcBorders/>
            <w:vAlign w:val="bottom"/>
          </w:tcPr>
          <w:p>
            <w:pPr>
              <w:pStyle w:val="TableContents"/>
              <w:bidi w:val="0"/>
              <w:spacing w:before="0" w:after="283"/>
              <w:jc w:val="left"/>
              <w:rPr/>
            </w:pPr>
            <w:r>
              <w:rPr/>
              <w:t> </w:t>
            </w:r>
          </w:p>
        </w:tc>
      </w:tr>
      <w:tr>
        <w:trPr/>
        <w:tc>
          <w:tcPr>
            <w:tcW w:w="35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 of private placement units and private investor shares(2)</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3,357,006</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42" w:type="dxa"/>
            <w:tcBorders/>
            <w:shd w:fill="CCEEFF" w:val="clear"/>
            <w:vAlign w:val="bottom"/>
          </w:tcPr>
          <w:p>
            <w:pPr>
              <w:pStyle w:val="TableContents"/>
              <w:bidi w:val="0"/>
              <w:spacing w:before="0" w:after="283"/>
              <w:jc w:val="right"/>
              <w:rPr/>
            </w:pPr>
            <w:r>
              <w:rPr/>
              <w:t>3,551,266</w:t>
            </w:r>
          </w:p>
        </w:tc>
        <w:tc>
          <w:tcPr>
            <w:tcW w:w="64" w:type="dxa"/>
            <w:tcBorders/>
            <w:shd w:fill="CCEEFF" w:val="clear"/>
            <w:vAlign w:val="bottom"/>
          </w:tcPr>
          <w:p>
            <w:pPr>
              <w:pStyle w:val="TableContents"/>
              <w:bidi w:val="0"/>
              <w:spacing w:before="0" w:after="283"/>
              <w:jc w:val="left"/>
              <w:rPr/>
            </w:pPr>
            <w:r>
              <w:rPr/>
              <w:t> </w:t>
            </w:r>
          </w:p>
        </w:tc>
      </w:tr>
      <w:tr>
        <w:trPr/>
        <w:tc>
          <w:tcPr>
            <w:tcW w:w="357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6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Total gross proceeds</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223,357,006</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256,551,266</w:t>
            </w:r>
          </w:p>
        </w:tc>
        <w:tc>
          <w:tcPr>
            <w:tcW w:w="64" w:type="dxa"/>
            <w:tcBorders/>
            <w:vAlign w:val="bottom"/>
          </w:tcPr>
          <w:p>
            <w:pPr>
              <w:pStyle w:val="TableContents"/>
              <w:bidi w:val="0"/>
              <w:spacing w:before="0" w:after="283"/>
              <w:jc w:val="left"/>
              <w:rPr/>
            </w:pPr>
            <w:r>
              <w:rPr/>
              <w:t> </w:t>
            </w:r>
          </w:p>
        </w:tc>
      </w:tr>
      <w:tr>
        <w:trPr/>
        <w:tc>
          <w:tcPr>
            <w:tcW w:w="357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6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7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Offering expenses(3)</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64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 and commissions(4)(5)</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1,025,000</w:t>
            </w:r>
          </w:p>
        </w:tc>
        <w:tc>
          <w:tcPr>
            <w:tcW w:w="64" w:type="dxa"/>
            <w:tcBorders/>
            <w:vAlign w:val="bottom"/>
          </w:tcPr>
          <w:p>
            <w:pPr>
              <w:pStyle w:val="TableContents"/>
              <w:bidi w:val="0"/>
              <w:spacing w:before="0" w:after="283"/>
              <w:jc w:val="left"/>
              <w:rPr/>
            </w:pPr>
            <w:r>
              <w:rPr/>
              <w:t> </w:t>
            </w:r>
          </w:p>
        </w:tc>
      </w:tr>
      <w:tr>
        <w:trPr/>
        <w:tc>
          <w:tcPr>
            <w:tcW w:w="35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350,000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42" w:type="dxa"/>
            <w:tcBorders/>
            <w:shd w:fill="CCEEFF" w:val="clear"/>
            <w:vAlign w:val="bottom"/>
          </w:tcPr>
          <w:p>
            <w:pPr>
              <w:pStyle w:val="TableContents"/>
              <w:bidi w:val="0"/>
              <w:spacing w:before="0" w:after="283"/>
              <w:jc w:val="right"/>
              <w:rPr/>
            </w:pPr>
            <w:r>
              <w:rPr/>
              <w:t>350,000</w:t>
            </w:r>
          </w:p>
        </w:tc>
        <w:tc>
          <w:tcPr>
            <w:tcW w:w="64" w:type="dxa"/>
            <w:tcBorders/>
            <w:shd w:fill="CCEEFF" w:val="clear"/>
            <w:vAlign w:val="bottom"/>
          </w:tcPr>
          <w:p>
            <w:pPr>
              <w:pStyle w:val="TableContents"/>
              <w:bidi w:val="0"/>
              <w:spacing w:before="0" w:after="283"/>
              <w:jc w:val="left"/>
              <w:rPr/>
            </w:pPr>
            <w:r>
              <w:rPr/>
              <w:t> </w:t>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Printing</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30,000</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30,000</w:t>
            </w:r>
          </w:p>
        </w:tc>
        <w:tc>
          <w:tcPr>
            <w:tcW w:w="64" w:type="dxa"/>
            <w:tcBorders/>
            <w:vAlign w:val="bottom"/>
          </w:tcPr>
          <w:p>
            <w:pPr>
              <w:pStyle w:val="TableContents"/>
              <w:bidi w:val="0"/>
              <w:spacing w:before="0" w:after="283"/>
              <w:jc w:val="left"/>
              <w:rPr/>
            </w:pPr>
            <w:r>
              <w:rPr/>
              <w:t> </w:t>
            </w:r>
          </w:p>
        </w:tc>
      </w:tr>
      <w:tr>
        <w:trPr/>
        <w:tc>
          <w:tcPr>
            <w:tcW w:w="35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110,000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42" w:type="dxa"/>
            <w:tcBorders/>
            <w:shd w:fill="CCEEFF" w:val="clear"/>
            <w:vAlign w:val="bottom"/>
          </w:tcPr>
          <w:p>
            <w:pPr>
              <w:pStyle w:val="TableContents"/>
              <w:bidi w:val="0"/>
              <w:spacing w:before="0" w:after="283"/>
              <w:jc w:val="right"/>
              <w:rPr/>
            </w:pPr>
            <w:r>
              <w:rPr/>
              <w:t>110,000</w:t>
            </w:r>
          </w:p>
        </w:tc>
        <w:tc>
          <w:tcPr>
            <w:tcW w:w="64" w:type="dxa"/>
            <w:tcBorders/>
            <w:shd w:fill="CCEEFF" w:val="clear"/>
            <w:vAlign w:val="bottom"/>
          </w:tcPr>
          <w:p>
            <w:pPr>
              <w:pStyle w:val="TableContents"/>
              <w:bidi w:val="0"/>
              <w:spacing w:before="0" w:after="283"/>
              <w:jc w:val="left"/>
              <w:rPr/>
            </w:pPr>
            <w:r>
              <w:rPr/>
              <w:t> </w:t>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38,299</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38,299</w:t>
            </w:r>
          </w:p>
        </w:tc>
        <w:tc>
          <w:tcPr>
            <w:tcW w:w="64" w:type="dxa"/>
            <w:tcBorders/>
            <w:vAlign w:val="bottom"/>
          </w:tcPr>
          <w:p>
            <w:pPr>
              <w:pStyle w:val="TableContents"/>
              <w:bidi w:val="0"/>
              <w:spacing w:before="0" w:after="283"/>
              <w:jc w:val="left"/>
              <w:rPr/>
            </w:pPr>
            <w:r>
              <w:rPr/>
              <w:t> </w:t>
            </w:r>
          </w:p>
        </w:tc>
      </w:tr>
      <w:tr>
        <w:trPr/>
        <w:tc>
          <w:tcPr>
            <w:tcW w:w="35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42,608</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42" w:type="dxa"/>
            <w:tcBorders/>
            <w:shd w:fill="CCEEFF" w:val="clear"/>
            <w:vAlign w:val="bottom"/>
          </w:tcPr>
          <w:p>
            <w:pPr>
              <w:pStyle w:val="TableContents"/>
              <w:bidi w:val="0"/>
              <w:spacing w:before="0" w:after="283"/>
              <w:jc w:val="right"/>
              <w:rPr/>
            </w:pPr>
            <w:r>
              <w:rPr/>
              <w:t xml:space="preserve">42,608 </w:t>
            </w:r>
          </w:p>
        </w:tc>
        <w:tc>
          <w:tcPr>
            <w:tcW w:w="64" w:type="dxa"/>
            <w:tcBorders/>
            <w:shd w:fill="CCEEFF" w:val="clear"/>
            <w:vAlign w:val="bottom"/>
          </w:tcPr>
          <w:p>
            <w:pPr>
              <w:pStyle w:val="TableContents"/>
              <w:bidi w:val="0"/>
              <w:spacing w:before="0" w:after="283"/>
              <w:jc w:val="left"/>
              <w:rPr/>
            </w:pPr>
            <w:r>
              <w:rPr/>
              <w:t> </w:t>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Nasdaq listing fee</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85,000</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85,000</w:t>
            </w:r>
          </w:p>
        </w:tc>
        <w:tc>
          <w:tcPr>
            <w:tcW w:w="64" w:type="dxa"/>
            <w:tcBorders/>
            <w:vAlign w:val="bottom"/>
          </w:tcPr>
          <w:p>
            <w:pPr>
              <w:pStyle w:val="TableContents"/>
              <w:bidi w:val="0"/>
              <w:spacing w:before="0" w:after="283"/>
              <w:jc w:val="left"/>
              <w:rPr/>
            </w:pPr>
            <w:r>
              <w:rPr/>
              <w:t> </w:t>
            </w:r>
          </w:p>
        </w:tc>
      </w:tr>
      <w:tr>
        <w:trPr/>
        <w:tc>
          <w:tcPr>
            <w:tcW w:w="35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r>
              <w:rPr>
                <w:rFonts w:ascii="Times New Roman" w:hAnsi="Times New Roman"/>
                <w:i/>
                <w:sz w:val="20"/>
              </w:rPr>
              <w:t>(6)</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301,099</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42" w:type="dxa"/>
            <w:tcBorders/>
            <w:shd w:fill="CCEEFF" w:val="clear"/>
            <w:vAlign w:val="bottom"/>
          </w:tcPr>
          <w:p>
            <w:pPr>
              <w:pStyle w:val="TableContents"/>
              <w:bidi w:val="0"/>
              <w:spacing w:before="0" w:after="283"/>
              <w:jc w:val="right"/>
              <w:rPr/>
            </w:pPr>
            <w:r>
              <w:rPr/>
              <w:t>363,359</w:t>
            </w:r>
          </w:p>
        </w:tc>
        <w:tc>
          <w:tcPr>
            <w:tcW w:w="64" w:type="dxa"/>
            <w:tcBorders/>
            <w:shd w:fill="CCEEFF" w:val="clear"/>
            <w:vAlign w:val="bottom"/>
          </w:tcPr>
          <w:p>
            <w:pPr>
              <w:pStyle w:val="TableContents"/>
              <w:bidi w:val="0"/>
              <w:spacing w:before="0" w:after="283"/>
              <w:jc w:val="left"/>
              <w:rPr/>
            </w:pPr>
            <w:r>
              <w:rPr/>
              <w:t> </w:t>
            </w:r>
          </w:p>
        </w:tc>
      </w:tr>
      <w:tr>
        <w:trPr/>
        <w:tc>
          <w:tcPr>
            <w:tcW w:w="357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6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Total offering expenses</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1,957,006</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2,044,266</w:t>
            </w:r>
          </w:p>
        </w:tc>
        <w:tc>
          <w:tcPr>
            <w:tcW w:w="64" w:type="dxa"/>
            <w:tcBorders/>
            <w:vAlign w:val="bottom"/>
          </w:tcPr>
          <w:p>
            <w:pPr>
              <w:pStyle w:val="TableContents"/>
              <w:bidi w:val="0"/>
              <w:spacing w:before="0" w:after="283"/>
              <w:jc w:val="left"/>
              <w:rPr/>
            </w:pPr>
            <w:r>
              <w:rPr/>
              <w:t> </w:t>
            </w:r>
          </w:p>
        </w:tc>
      </w:tr>
      <w:tr>
        <w:trPr/>
        <w:tc>
          <w:tcPr>
            <w:tcW w:w="357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6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offering expenses (excluding underwriting discount and commissions)</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957,006</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1,019,266</w:t>
            </w:r>
          </w:p>
        </w:tc>
        <w:tc>
          <w:tcPr>
            <w:tcW w:w="64" w:type="dxa"/>
            <w:tcBorders/>
            <w:shd w:fill="CCEEFF" w:val="clear"/>
            <w:vAlign w:val="bottom"/>
          </w:tcPr>
          <w:p>
            <w:pPr>
              <w:pStyle w:val="TableContents"/>
              <w:bidi w:val="0"/>
              <w:spacing w:before="0" w:after="283"/>
              <w:jc w:val="left"/>
              <w:rPr/>
            </w:pPr>
            <w:r>
              <w:rPr/>
              <w:t> </w:t>
            </w:r>
          </w:p>
        </w:tc>
      </w:tr>
      <w:tr>
        <w:trPr/>
        <w:tc>
          <w:tcPr>
            <w:tcW w:w="357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64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76" w:type="dxa"/>
            <w:tcBorders/>
          </w:tcPr>
          <w:p>
            <w:pPr>
              <w:pStyle w:val="TableContents"/>
              <w:bidi w:val="0"/>
              <w:spacing w:before="0" w:after="0"/>
              <w:jc w:val="left"/>
              <w:rPr>
                <w:rFonts w:ascii="Times New Roman" w:hAnsi="Times New Roman"/>
                <w:i/>
                <w:sz w:val="20"/>
              </w:rPr>
            </w:pPr>
            <w:r>
              <w:rPr>
                <w:rFonts w:ascii="Times New Roman" w:hAnsi="Times New Roman"/>
                <w:i/>
                <w:sz w:val="20"/>
              </w:rPr>
              <w:t>Net proceeds of the offering and private placement</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64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5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Held in the trust(7)</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220,000,000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253,000,000</w:t>
            </w:r>
          </w:p>
        </w:tc>
        <w:tc>
          <w:tcPr>
            <w:tcW w:w="64" w:type="dxa"/>
            <w:tcBorders/>
            <w:shd w:fill="CCEEFF" w:val="clear"/>
            <w:vAlign w:val="bottom"/>
          </w:tcPr>
          <w:p>
            <w:pPr>
              <w:pStyle w:val="TableContents"/>
              <w:bidi w:val="0"/>
              <w:spacing w:before="0" w:after="283"/>
              <w:jc w:val="left"/>
              <w:rPr/>
            </w:pPr>
            <w:r>
              <w:rPr/>
              <w:t> </w:t>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Not held in the trust account</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1,400,000</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1,507,000</w:t>
            </w:r>
          </w:p>
        </w:tc>
        <w:tc>
          <w:tcPr>
            <w:tcW w:w="64" w:type="dxa"/>
            <w:tcBorders/>
            <w:vAlign w:val="bottom"/>
          </w:tcPr>
          <w:p>
            <w:pPr>
              <w:pStyle w:val="TableContents"/>
              <w:bidi w:val="0"/>
              <w:spacing w:before="0" w:after="283"/>
              <w:jc w:val="left"/>
              <w:rPr/>
            </w:pPr>
            <w:r>
              <w:rPr/>
              <w:t> </w:t>
            </w:r>
          </w:p>
        </w:tc>
      </w:tr>
      <w:tr>
        <w:trPr/>
        <w:tc>
          <w:tcPr>
            <w:tcW w:w="357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6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proceeds</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221,400,000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254,507,000</w:t>
            </w:r>
          </w:p>
        </w:tc>
        <w:tc>
          <w:tcPr>
            <w:tcW w:w="64" w:type="dxa"/>
            <w:tcBorders/>
            <w:shd w:fill="CCEEFF" w:val="clear"/>
            <w:vAlign w:val="bottom"/>
          </w:tcPr>
          <w:p>
            <w:pPr>
              <w:pStyle w:val="TableContents"/>
              <w:bidi w:val="0"/>
              <w:spacing w:before="0" w:after="283"/>
              <w:jc w:val="left"/>
              <w:rPr/>
            </w:pPr>
            <w:r>
              <w:rPr/>
              <w:t> </w:t>
            </w:r>
          </w:p>
        </w:tc>
      </w:tr>
      <w:tr>
        <w:trPr/>
        <w:tc>
          <w:tcPr>
            <w:tcW w:w="357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6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76" w:type="dxa"/>
            <w:tcBorders/>
          </w:tcPr>
          <w:p>
            <w:pPr>
              <w:pStyle w:val="TableContents"/>
              <w:bidi w:val="0"/>
              <w:spacing w:before="0" w:after="0"/>
              <w:jc w:val="left"/>
              <w:rPr>
                <w:rFonts w:ascii="Times New Roman" w:hAnsi="Times New Roman"/>
                <w:i/>
                <w:sz w:val="20"/>
              </w:rPr>
            </w:pPr>
            <w:r>
              <w:rPr>
                <w:rFonts w:ascii="Times New Roman" w:hAnsi="Times New Roman"/>
                <w:i/>
                <w:sz w:val="20"/>
              </w:rPr>
              <w:t>Use of cash not held in the trust account</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64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5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accounting and other third-party expenses related to business combination(8)</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125,000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232,000</w:t>
            </w:r>
          </w:p>
        </w:tc>
        <w:tc>
          <w:tcPr>
            <w:tcW w:w="64" w:type="dxa"/>
            <w:tcBorders/>
            <w:shd w:fill="CCEEFF" w:val="clear"/>
            <w:vAlign w:val="bottom"/>
          </w:tcPr>
          <w:p>
            <w:pPr>
              <w:pStyle w:val="TableContents"/>
              <w:bidi w:val="0"/>
              <w:spacing w:before="0" w:after="283"/>
              <w:jc w:val="left"/>
              <w:rPr/>
            </w:pPr>
            <w:r>
              <w:rPr/>
              <w:t> </w:t>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SEC filing and other legal and accounting fees related to regulatory reporting obligations</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160,000</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160,000</w:t>
            </w:r>
          </w:p>
        </w:tc>
        <w:tc>
          <w:tcPr>
            <w:tcW w:w="64" w:type="dxa"/>
            <w:tcBorders/>
            <w:vAlign w:val="bottom"/>
          </w:tcPr>
          <w:p>
            <w:pPr>
              <w:pStyle w:val="TableContents"/>
              <w:bidi w:val="0"/>
              <w:spacing w:before="0" w:after="283"/>
              <w:jc w:val="left"/>
              <w:rPr/>
            </w:pPr>
            <w:r>
              <w:rPr/>
              <w:t> </w:t>
            </w:r>
          </w:p>
        </w:tc>
      </w:tr>
      <w:tr>
        <w:trPr/>
        <w:tc>
          <w:tcPr>
            <w:tcW w:w="35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Office space and other administrative expenses ($30,000 per month for up to 24 months)</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720,000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42" w:type="dxa"/>
            <w:tcBorders/>
            <w:shd w:fill="CCEEFF" w:val="clear"/>
            <w:vAlign w:val="bottom"/>
          </w:tcPr>
          <w:p>
            <w:pPr>
              <w:pStyle w:val="TableContents"/>
              <w:bidi w:val="0"/>
              <w:spacing w:before="0" w:after="283"/>
              <w:jc w:val="right"/>
              <w:rPr/>
            </w:pPr>
            <w:r>
              <w:rPr/>
              <w:t>720,000</w:t>
            </w:r>
          </w:p>
        </w:tc>
        <w:tc>
          <w:tcPr>
            <w:tcW w:w="64" w:type="dxa"/>
            <w:tcBorders/>
            <w:shd w:fill="CCEEFF" w:val="clear"/>
            <w:vAlign w:val="bottom"/>
          </w:tcPr>
          <w:p>
            <w:pPr>
              <w:pStyle w:val="TableContents"/>
              <w:bidi w:val="0"/>
              <w:spacing w:before="0" w:after="283"/>
              <w:jc w:val="left"/>
              <w:rPr/>
            </w:pPr>
            <w:r>
              <w:rPr/>
              <w:t> </w:t>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D&amp;O insurance</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215,000</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right"/>
              <w:rPr/>
            </w:pPr>
            <w:r>
              <w:rPr/>
              <w:t>215,000</w:t>
            </w:r>
          </w:p>
        </w:tc>
        <w:tc>
          <w:tcPr>
            <w:tcW w:w="64" w:type="dxa"/>
            <w:tcBorders/>
            <w:vAlign w:val="bottom"/>
          </w:tcPr>
          <w:p>
            <w:pPr>
              <w:pStyle w:val="TableContents"/>
              <w:bidi w:val="0"/>
              <w:spacing w:before="0" w:after="283"/>
              <w:jc w:val="left"/>
              <w:rPr/>
            </w:pPr>
            <w:r>
              <w:rPr/>
              <w:t> </w:t>
            </w:r>
          </w:p>
        </w:tc>
      </w:tr>
      <w:tr>
        <w:trPr/>
        <w:tc>
          <w:tcPr>
            <w:tcW w:w="35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to Chief Financial Officer ($15,000 per month)(9)</w:t>
            </w:r>
          </w:p>
        </w:tc>
        <w:tc>
          <w:tcPr>
            <w:tcW w:w="3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642" w:type="dxa"/>
            <w:tcBorders/>
            <w:shd w:fill="CCEEFF" w:val="clear"/>
            <w:vAlign w:val="bottom"/>
          </w:tcPr>
          <w:p>
            <w:pPr>
              <w:pStyle w:val="TableContents"/>
              <w:bidi w:val="0"/>
              <w:spacing w:before="0" w:after="283"/>
              <w:jc w:val="right"/>
              <w:rPr/>
            </w:pPr>
            <w:r>
              <w:rPr/>
              <w:t>180,000</w:t>
            </w:r>
          </w:p>
        </w:tc>
        <w:tc>
          <w:tcPr>
            <w:tcW w:w="64" w:type="dxa"/>
            <w:tcBorders/>
            <w:shd w:fill="CCEEFF" w:val="clear"/>
            <w:vAlign w:val="bottom"/>
          </w:tcPr>
          <w:p>
            <w:pPr>
              <w:pStyle w:val="TableContents"/>
              <w:bidi w:val="0"/>
              <w:spacing w:before="0" w:after="283"/>
              <w:jc w:val="left"/>
              <w:rPr/>
            </w:pPr>
            <w:r>
              <w:rPr/>
              <w:t> </w:t>
            </w:r>
          </w:p>
        </w:tc>
      </w:tr>
      <w:tr>
        <w:trPr/>
        <w:tc>
          <w:tcPr>
            <w:tcW w:w="357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6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1,400,000</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1,507,000</w:t>
            </w:r>
          </w:p>
        </w:tc>
        <w:tc>
          <w:tcPr>
            <w:tcW w:w="64" w:type="dxa"/>
            <w:tcBorders/>
            <w:vAlign w:val="bottom"/>
          </w:tcPr>
          <w:p>
            <w:pPr>
              <w:pStyle w:val="TableContents"/>
              <w:bidi w:val="0"/>
              <w:spacing w:before="0" w:after="283"/>
              <w:jc w:val="left"/>
              <w:rPr/>
            </w:pPr>
            <w:r>
              <w:rPr/>
              <w:t> </w:t>
            </w:r>
          </w:p>
        </w:tc>
      </w:tr>
      <w:tr>
        <w:trPr/>
        <w:tc>
          <w:tcPr>
            <w:tcW w:w="357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64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amounts payable to public shareholders who properly redeem their shares in connection with our successful completion of our initial business combination.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$3,357,006 (or $3,551,266 if the underwriters exercise pursuant to the Unit Purchase Agreement their over-allotment option) from the sale of (i) 95,200 private placement units to the insiders and Lynrock at a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of $9.7374 per private placement unit, and (ii)(A) 2,964,203 private investor shares (of which 386,681 private investor shares remain subject to forfeiture depending on the extent to which the underwriters’ over-allotment option is exercised in full) at a price of $0.023254 per share, and (B) 242,475 private placement units (or 262,425 private placement units if the underwriters exercise their over-allotment option) to the non-managing investors at a price of $9.7374 per private placement unit.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portion of the offering expenses will be paid from the proceeds of a loan from our sponsor of up to $100,000 as described in this prospectus. This loan will be repaid upon completion of this offering as part of the estimated $957,006 (or $1,019,266 if the underwriters exercise their over-allotment option) of offering proceeds that has been allocated for the payment of offering expenses (other than underwriting discounts and commissions) and amounts not to be held in the trust account. These expenses are estimates only. In the event that offering expenses are less than set forth in this table, any such amounts will be used for post-closing working capital expenses. In the event that offering expenses are more than as set forth in this table, they will be repaid using a portion of the $1,400,000 offering proceeds (or $1,507,000 if the underwriters exercise their over-allotment option) not held in the trust account and set aside for post-closing working capital expenses.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underwriters’ over-allotment option is exercised, the underwriting discount applicable to each unit sold pursuant to the over-allotment option will be approximately $0.0405. No discounts or commissions will be paid with respect to the purchase of the private placement units.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 $250,000 referral fee to be paid by the underwriters to United First Partners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organizational and administrative expenses and may include amounts related to above-listed expenses in the event actual amounts exceed estimates.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an initial business combination, this amount (plus accrued interest, but minus permitted withdrawals),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expenses are estimates only. Our actual expenditures for some or all of these items may differ from the estimates set forth in this prospectus.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first year of payments.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Nasdaq rules provide that at least 90% of the gross proceeds from this offering and the sale of the private placement units be deposited in a trust account. Of the gross proceeds of this offering and the sale of the private placement units described in this prospectus, $220,000,000 ($10.00 per unit), or $253,000,000 if the underwriters’ over-allotment option is exercised in full ($10.00 per unit), will be placed in a segregated trust account located in the United States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Except for (x) permitted withdrawals, and (y) up to $100,000 to pay dissolution expenses, as discussed below, none of the funds held in the trust account will be released from the trust account until the earlier of: (1) the completion of our initial business combination within the required time period; (2) our redemption of 100% of the outstanding public shares if we have not completed an initial business combination within 24 months from the closing of this offering; and (3) the redemption of any public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properly tendered in connection with a shareholder vote to amend our amended and restated memorandum and articles of association (A) to modify the substance or timing of our obligation to redeem 100% of our public shares if we do not complete our initial business combination within the required time period or (B) with respect to any other provision relating to our pre-business combination activity and related shareholders’ rights.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 We believe that amounts not held in trust along with permitted withdrawals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we may be required to raise additional capital, the amount, availability and cost of which is currently unascertainable. In this event, we could seek such additional capital through loans or additional investments from members of our sponsor or an affiliate of our sponsor or our executive officers and directors, but such members of our management team are not under any obligation to advance funds to, or invest in, us. </w:t>
      </w:r>
    </w:p>
    <w:p>
      <w:pPr>
        <w:pStyle w:val="TextBody"/>
        <w:bidi w:val="0"/>
        <w:spacing w:before="240" w:after="0"/>
        <w:jc w:val="left"/>
        <w:rPr>
          <w:rFonts w:ascii="Times New Roman" w:hAnsi="Times New Roman"/>
          <w:sz w:val="20"/>
        </w:rPr>
      </w:pPr>
      <w:r>
        <w:rPr>
          <w:rFonts w:ascii="Times New Roman" w:hAnsi="Times New Roman"/>
          <w:sz w:val="20"/>
        </w:rPr>
        <w:t xml:space="preserve">Commencing on the date that our securities are first listed on Nasdaq, we have agreed to pay GigManagement, LLC, an affiliate of our sponsor, a monthly fee of $30,000 for office space, utilities and secretarial and administrative services. Upon completion of our initial business combination or our liquidation, we will cease paying these monthly fees.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order to finance transaction costs in connection with an intended initial business combination, our sponsor, executive officers, directors or their affiliates may, but are not obligated to, loan us funds as may be required. If we consummate our initial business combination, we would repay such loaned amounts. In the event that the initial business combination does not close, we may use a portion of the offering proceeds held outside the trust account to repay such loaned amounts but no proceeds from our trust account would be used to repay such loaned amounts. Up to $1,500,000 of such loans may be convertible into units of the post business combination entity at a price of $10.00 per unit at the option of the lender. The units and their underlying securities would be identical to the private placement units.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w:t>
      </w:r>
    </w:p>
    <w:p>
      <w:pPr>
        <w:pStyle w:val="TextBody"/>
        <w:bidi w:val="0"/>
        <w:spacing w:before="240" w:after="0"/>
        <w:jc w:val="left"/>
        <w:rPr>
          <w:rFonts w:ascii="Times New Roman" w:hAnsi="Times New Roman"/>
          <w:sz w:val="20"/>
        </w:rPr>
      </w:pPr>
      <w:r>
        <w:rPr>
          <w:rFonts w:ascii="Times New Roman" w:hAnsi="Times New Roman"/>
          <w:sz w:val="20"/>
        </w:rPr>
        <w:t xml:space="preserve">If too many public shareholders exercise their redemption rights so that we cannot satisfy any net worth or cash requirements, we would not proceed with the redemption of our public shares or the business combination and instead may search for an alternate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we seek shareholder approval of our initial business combination and we do not conduct redemptions in connection with our business combination pursuant to the tender offer rules, our sponsor, directors, officers, advisors or their affiliates may purchase shares in privately negotiated transactions either prior to or following the completion of our initial business combination. There is no limit on the number of shares our sponsor,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Such persons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restrictions in making any such purchases when they are in possession of any material non-public information not disclosed to the seller or if such purchases are prohibited by Regulation M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t>
      </w:r>
    </w:p>
    <w:p>
      <w:pPr>
        <w:pStyle w:val="TextBody"/>
        <w:bidi w:val="0"/>
        <w:spacing w:before="240" w:after="0"/>
        <w:jc w:val="left"/>
        <w:rPr>
          <w:rFonts w:ascii="Times New Roman" w:hAnsi="Times New Roman"/>
          <w:sz w:val="20"/>
        </w:rPr>
      </w:pPr>
      <w:r>
        <w:rPr>
          <w:rFonts w:ascii="Times New Roman" w:hAnsi="Times New Roman"/>
          <w:sz w:val="20"/>
        </w:rPr>
        <w:t xml:space="preserve">A public shareholder will be entitled to receive funds from the trust account only upon the earlier to occur of: (i) our consummation of our initial business combination, and then only in connection with those public shares that such shareholder properly elected to redeem, subject to the limitations described herein, (ii) the redemption of our public shares if we are unable to consummate our initial business combination within 24 months from the closing of this offering or, if our amended and restated memorandum and articles of association are amended to so provide, (iii) the redemption of our public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any extended period of time that we may have to consummate an initial business combination as a result of an amendment to our amended and restated memorandum and articles of association), or (B) with respect to any other provision relating to shareholders’ rights or pre-business combination activity, subject to applicable law. In no other circumstances will a public shareholder have any right or interest of any kind to or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Our initial shareholders have each entered into agreements with us, pursuant to which they will agree: (1) to waive their redemption rights with respect to their founder shares, private investor shares and private placement shares held by them in connection with the consummation of our initial business combination or a tender offer conducted prior to a business combination or in connection with it; and (2) to waive their rights to liquidating distributions from the trust account with respect to their founder shares, private investor shares and private placement shares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and (3) to waive their redemption rights with respect to their founder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929696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Our board of directors is not currently contemplating and does not anticipate declaring any share dividends in the foreseeable future, except if we increase the size of this offering pursuant to Rule 462(b) under the Securities Act, in which case we will effect a share dividend immediately prior to the consummation of the offering in such amount as to maintain the collective ownership of our sponsor’s ownership through its ownership of the founder shares, together with the private investor shares, at least at 30% of the issued and outstanding ordinary shares upon the consummation of this offering (assuming no purchase in this offering and not taking into account ownership of the private placement shares). Further, if we incur any indebtedness in connection with our initial business combination, our ability to declare dividends may be limited by restrictive covenants we may agree to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929696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The difference between the public offering price per unit and the net tangible book value (“NTBV”) per Class A ordinary share after this offering constitutes the dilution to investors in this offering. NTBV per share is determined by dividing our NTBV, which is our total tangible assets less total liabilities (including the value of Class A ordinary shares that may be redeemed for cash), by the number of outstanding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below calculations (A) assume that (i) no ordinary shares are issued to shareholders of a potential business combination target as consideration or issuable by a post-business combination company, for instance under an equity or employee share purchase plan, (ii) no ordinary shares and convertible equity or debt securities are issued in connection with additional financing that we may seek in connection with an initial business combination, (iii) no working capital loans are converted into private placement units, as further described in this prospectus and (iv) no value is attributed to the rights, and (B) assume the issuance of 22,000,000 Class A ordinary shares (or 25,300,000 Class A ordinary shares if the over-allotment option is exercised in full), 2,964,203 Class B ordinary shares (up to 1,410,624 of which are assumed to be forfeited in the scenario in which the over-allotment option is not exercised in full) to our initial shareholders, and 337,675 private placement shares (or 357,625 private placement shares if the over-allotment option is exercised in full) to our initial shareholders. Such calculation does not reflect any dilution associated with the sale and exercise of rights, including the private placement units, which would cause the actual dilution to the public shareholders to be higher. Further, we may need to issue additional securities as we intend to seek an initial business combination with a target company with an enterprise value greater than the net proceeds of the offering and the sale of private placement units and the issuance of the issuance of additional ordinary or preferred shares may significantly dilute the equity interest of public shareholders, which dilution would even further increase if the anti-dilution provisions in the Class B ordinary shares resulted in the issuance of Class A ordinary shares on a greater than one-to-one basis upon conversion of the Class B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the difference between the public offering price and our NTBV, as adjusted to give effect to this offering and assuming redemption of our public shares at varying levels and the full exercise and no exercise of the over-allotment option: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the difference between the public offering price per unit and our NTBV per share, as adjusted to give effect to this offering and assuming redemption of our public shares at varying levels and the full exercise and no exercise of the over-allotment option: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33"/>
        <w:gridCol w:w="146"/>
        <w:gridCol w:w="194"/>
        <w:gridCol w:w="517"/>
        <w:gridCol w:w="60"/>
        <w:gridCol w:w="146"/>
        <w:gridCol w:w="280"/>
        <w:gridCol w:w="888"/>
        <w:gridCol w:w="60"/>
        <w:gridCol w:w="146"/>
        <w:gridCol w:w="194"/>
        <w:gridCol w:w="517"/>
        <w:gridCol w:w="60"/>
        <w:gridCol w:w="146"/>
        <w:gridCol w:w="280"/>
        <w:gridCol w:w="887"/>
        <w:gridCol w:w="60"/>
        <w:gridCol w:w="146"/>
        <w:gridCol w:w="194"/>
        <w:gridCol w:w="517"/>
        <w:gridCol w:w="60"/>
        <w:gridCol w:w="146"/>
        <w:gridCol w:w="280"/>
        <w:gridCol w:w="888"/>
        <w:gridCol w:w="60"/>
        <w:gridCol w:w="146"/>
        <w:gridCol w:w="171"/>
        <w:gridCol w:w="539"/>
        <w:gridCol w:w="60"/>
        <w:gridCol w:w="146"/>
        <w:gridCol w:w="280"/>
        <w:gridCol w:w="887"/>
        <w:gridCol w:w="71"/>
      </w:tblGrid>
      <w:tr>
        <w:trPr/>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10134" w:type="dxa"/>
            <w:gridSpan w:val="32"/>
            <w:tcBorders/>
            <w:vAlign w:val="bottom"/>
          </w:tcPr>
          <w:p>
            <w:pPr>
              <w:pStyle w:val="TableContents"/>
              <w:bidi w:val="0"/>
              <w:spacing w:before="0" w:after="283"/>
              <w:jc w:val="center"/>
              <w:rPr>
                <w:b/>
              </w:rPr>
            </w:pPr>
            <w:r>
              <w:rPr>
                <w:b/>
              </w:rPr>
              <w:t>As of July 21, 2025</w:t>
            </w:r>
          </w:p>
        </w:tc>
        <w:tc>
          <w:tcPr>
            <w:tcW w:w="71" w:type="dxa"/>
            <w:tcBorders/>
            <w:vAlign w:val="bottom"/>
          </w:tcPr>
          <w:p>
            <w:pPr>
              <w:pStyle w:val="TableContents"/>
              <w:bidi w:val="0"/>
              <w:spacing w:before="0" w:after="283"/>
              <w:jc w:val="left"/>
              <w:rPr/>
            </w:pPr>
            <w:r>
              <w:rPr/>
              <w:t> </w:t>
            </w:r>
          </w:p>
        </w:tc>
      </w:tr>
      <w:tr>
        <w:trPr/>
        <w:tc>
          <w:tcPr>
            <w:tcW w:w="10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Offering </w:t>
              <w:br/>
              <w:t xml:space="preserve">Price of </w:t>
              <w:br/>
              <w:t>$10.00</w:t>
            </w:r>
          </w:p>
        </w:tc>
        <w:tc>
          <w:tcPr>
            <w:tcW w:w="146" w:type="dxa"/>
            <w:tcBorders/>
            <w:vAlign w:val="bottom"/>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25% of Maximum</w:t>
              <w:br/>
              <w:t>Redemption</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50% of Maximum</w:t>
              <w:br/>
              <w:t>Redemption</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75% of Maximum</w:t>
              <w:br/>
              <w:t>Redemption</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Maximum</w:t>
              <w:br/>
              <w:t>Redemption</w:t>
            </w:r>
          </w:p>
        </w:tc>
        <w:tc>
          <w:tcPr>
            <w:tcW w:w="71" w:type="dxa"/>
            <w:tcBorders/>
            <w:vAlign w:val="bottom"/>
          </w:tcPr>
          <w:p>
            <w:pPr>
              <w:pStyle w:val="TableContents"/>
              <w:bidi w:val="0"/>
              <w:spacing w:before="0" w:after="283"/>
              <w:jc w:val="left"/>
              <w:rPr/>
            </w:pPr>
            <w:r>
              <w:rPr/>
              <w:t> </w:t>
            </w:r>
          </w:p>
        </w:tc>
      </w:tr>
      <w:tr>
        <w:trPr/>
        <w:tc>
          <w:tcPr>
            <w:tcW w:w="10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NTBV</w:t>
            </w:r>
          </w:p>
        </w:tc>
        <w:tc>
          <w:tcPr>
            <w:tcW w:w="146"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NTBV</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Difference</w:t>
              <w:br/>
              <w:t>between</w:t>
              <w:br/>
              <w:t>NTBV and</w:t>
              <w:br/>
              <w:t>Offering</w:t>
              <w:br/>
              <w:t>Price</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NTBV</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Difference</w:t>
              <w:br/>
              <w:t>between</w:t>
              <w:br/>
              <w:t>NTBV and</w:t>
              <w:br/>
              <w:t>Offering</w:t>
              <w:br/>
              <w:t>Price</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NTBV</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Difference</w:t>
              <w:br/>
              <w:t>between</w:t>
              <w:br/>
              <w:t>NTBV and</w:t>
              <w:br/>
              <w:t>Offering</w:t>
              <w:br/>
              <w:t>Price</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NTBV</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Difference</w:t>
              <w:br/>
              <w:t>between</w:t>
              <w:br/>
              <w:t>NTBV and</w:t>
              <w:br/>
              <w:t>Offering</w:t>
              <w:br/>
              <w:t>Price</w:t>
            </w:r>
          </w:p>
        </w:tc>
        <w:tc>
          <w:tcPr>
            <w:tcW w:w="71" w:type="dxa"/>
            <w:tcBorders/>
            <w:vAlign w:val="bottom"/>
          </w:tcPr>
          <w:p>
            <w:pPr>
              <w:pStyle w:val="TableContents"/>
              <w:bidi w:val="0"/>
              <w:spacing w:before="0" w:after="283"/>
              <w:jc w:val="left"/>
              <w:rPr/>
            </w:pPr>
            <w:r>
              <w:rPr/>
              <w:t> </w:t>
            </w:r>
          </w:p>
        </w:tc>
      </w:tr>
      <w:tr>
        <w:trPr/>
        <w:tc>
          <w:tcPr>
            <w:tcW w:w="10134" w:type="dxa"/>
            <w:gridSpan w:val="32"/>
            <w:tcBorders/>
            <w:shd w:fill="CCEEFF" w:val="clear"/>
          </w:tcPr>
          <w:p>
            <w:pPr>
              <w:pStyle w:val="TableContents"/>
              <w:bidi w:val="0"/>
              <w:spacing w:before="0" w:after="0"/>
              <w:jc w:val="center"/>
              <w:rPr>
                <w:rFonts w:ascii="Times New Roman" w:hAnsi="Times New Roman"/>
                <w:i/>
                <w:sz w:val="20"/>
              </w:rPr>
            </w:pPr>
            <w:r>
              <w:rPr>
                <w:rFonts w:ascii="Times New Roman" w:hAnsi="Times New Roman"/>
                <w:i/>
                <w:sz w:val="20"/>
              </w:rPr>
              <w:t>Assuming No Exercise of Over-Allotment Option</w:t>
            </w:r>
          </w:p>
        </w:tc>
        <w:tc>
          <w:tcPr>
            <w:tcW w:w="71" w:type="dxa"/>
            <w:tcBorders/>
            <w:shd w:fill="CCEEFF" w:val="clear"/>
          </w:tcPr>
          <w:p>
            <w:pPr>
              <w:pStyle w:val="TableContents"/>
              <w:bidi w:val="0"/>
              <w:spacing w:before="0" w:after="0"/>
              <w:jc w:val="left"/>
              <w:rPr/>
            </w:pPr>
            <w:r>
              <w:rPr/>
              <w:t> </w:t>
            </w:r>
          </w:p>
        </w:tc>
      </w:tr>
      <w:tr>
        <w:trPr/>
        <w:tc>
          <w:tcPr>
            <w:tcW w:w="1033" w:type="dxa"/>
            <w:tcBorders/>
          </w:tcPr>
          <w:p>
            <w:pPr>
              <w:pStyle w:val="TableContents"/>
              <w:bidi w:val="0"/>
              <w:spacing w:before="0" w:after="0"/>
              <w:jc w:val="left"/>
              <w:rPr>
                <w:rFonts w:ascii="Times New Roman" w:hAnsi="Times New Roman"/>
                <w:sz w:val="20"/>
              </w:rPr>
            </w:pPr>
            <w:r>
              <w:rPr>
                <w:rFonts w:ascii="Times New Roman" w:hAnsi="Times New Roman"/>
                <w:sz w:val="20"/>
              </w:rPr>
              <w:t>$6.96</w:t>
            </w:r>
          </w:p>
        </w:tc>
        <w:tc>
          <w:tcPr>
            <w:tcW w:w="14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6.33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888" w:type="dxa"/>
            <w:tcBorders/>
            <w:vAlign w:val="bottom"/>
          </w:tcPr>
          <w:p>
            <w:pPr>
              <w:pStyle w:val="TableContents"/>
              <w:bidi w:val="0"/>
              <w:spacing w:before="0" w:after="283"/>
              <w:jc w:val="right"/>
              <w:rPr/>
            </w:pPr>
            <w:r>
              <w:rPr/>
              <w:t>3.67</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5.35</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4.65</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888" w:type="dxa"/>
            <w:tcBorders/>
            <w:vAlign w:val="bottom"/>
          </w:tcPr>
          <w:p>
            <w:pPr>
              <w:pStyle w:val="TableContents"/>
              <w:bidi w:val="0"/>
              <w:spacing w:before="0" w:after="283"/>
              <w:jc w:val="right"/>
              <w:rPr/>
            </w:pPr>
            <w:r>
              <w:rPr/>
              <w:t>6.32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539" w:type="dxa"/>
            <w:tcBorders/>
            <w:vAlign w:val="bottom"/>
          </w:tcPr>
          <w:p>
            <w:pPr>
              <w:pStyle w:val="TableContents"/>
              <w:bidi w:val="0"/>
              <w:spacing w:before="0" w:after="283"/>
              <w:jc w:val="right"/>
              <w:rPr/>
            </w:pPr>
            <w:r>
              <w:rPr/>
              <w:t>0.11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9.89</w:t>
            </w:r>
          </w:p>
        </w:tc>
        <w:tc>
          <w:tcPr>
            <w:tcW w:w="71" w:type="dxa"/>
            <w:tcBorders/>
            <w:vAlign w:val="bottom"/>
          </w:tcPr>
          <w:p>
            <w:pPr>
              <w:pStyle w:val="TableContents"/>
              <w:bidi w:val="0"/>
              <w:spacing w:before="0" w:after="283"/>
              <w:jc w:val="left"/>
              <w:rPr/>
            </w:pPr>
            <w:r>
              <w:rPr/>
              <w:t> </w:t>
            </w:r>
          </w:p>
        </w:tc>
      </w:tr>
      <w:tr>
        <w:trPr/>
        <w:tc>
          <w:tcPr>
            <w:tcW w:w="10134" w:type="dxa"/>
            <w:gridSpan w:val="32"/>
            <w:tcBorders/>
            <w:shd w:fill="CCEEFF" w:val="clear"/>
          </w:tcPr>
          <w:p>
            <w:pPr>
              <w:pStyle w:val="TableContents"/>
              <w:bidi w:val="0"/>
              <w:spacing w:before="0" w:after="0"/>
              <w:jc w:val="center"/>
              <w:rPr>
                <w:rFonts w:ascii="Times New Roman" w:hAnsi="Times New Roman"/>
                <w:i/>
                <w:sz w:val="20"/>
              </w:rPr>
            </w:pPr>
            <w:r>
              <w:rPr>
                <w:rFonts w:ascii="Times New Roman" w:hAnsi="Times New Roman"/>
                <w:i/>
                <w:sz w:val="20"/>
              </w:rPr>
              <w:t>Assuming Full Exercise of Over-Allotment Option</w:t>
            </w:r>
          </w:p>
        </w:tc>
        <w:tc>
          <w:tcPr>
            <w:tcW w:w="71" w:type="dxa"/>
            <w:tcBorders/>
            <w:shd w:fill="CCEEFF" w:val="clear"/>
          </w:tcPr>
          <w:p>
            <w:pPr>
              <w:pStyle w:val="TableContents"/>
              <w:bidi w:val="0"/>
              <w:spacing w:before="0" w:after="0"/>
              <w:jc w:val="left"/>
              <w:rPr/>
            </w:pPr>
            <w:r>
              <w:rPr/>
              <w:t> </w:t>
            </w:r>
          </w:p>
        </w:tc>
      </w:tr>
      <w:tr>
        <w:trPr/>
        <w:tc>
          <w:tcPr>
            <w:tcW w:w="1033" w:type="dxa"/>
            <w:tcBorders/>
          </w:tcPr>
          <w:p>
            <w:pPr>
              <w:pStyle w:val="TableContents"/>
              <w:bidi w:val="0"/>
              <w:spacing w:before="0" w:after="0"/>
              <w:jc w:val="left"/>
              <w:rPr>
                <w:rFonts w:ascii="Times New Roman" w:hAnsi="Times New Roman"/>
                <w:sz w:val="20"/>
              </w:rPr>
            </w:pPr>
            <w:r>
              <w:rPr>
                <w:rFonts w:ascii="Times New Roman" w:hAnsi="Times New Roman"/>
                <w:sz w:val="20"/>
              </w:rPr>
              <w:t>$6.98</w:t>
            </w:r>
          </w:p>
        </w:tc>
        <w:tc>
          <w:tcPr>
            <w:tcW w:w="14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6.34</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888" w:type="dxa"/>
            <w:tcBorders/>
            <w:vAlign w:val="bottom"/>
          </w:tcPr>
          <w:p>
            <w:pPr>
              <w:pStyle w:val="TableContents"/>
              <w:bidi w:val="0"/>
              <w:spacing w:before="0" w:after="283"/>
              <w:jc w:val="right"/>
              <w:rPr/>
            </w:pPr>
            <w:r>
              <w:rPr/>
              <w:t>3.66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5.37</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4.63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3.70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888" w:type="dxa"/>
            <w:tcBorders/>
            <w:vAlign w:val="bottom"/>
          </w:tcPr>
          <w:p>
            <w:pPr>
              <w:pStyle w:val="TableContents"/>
              <w:bidi w:val="0"/>
              <w:spacing w:before="0" w:after="283"/>
              <w:jc w:val="right"/>
              <w:rPr/>
            </w:pPr>
            <w:r>
              <w:rPr/>
              <w:t>6.30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539" w:type="dxa"/>
            <w:tcBorders/>
            <w:vAlign w:val="bottom"/>
          </w:tcPr>
          <w:p>
            <w:pPr>
              <w:pStyle w:val="TableContents"/>
              <w:bidi w:val="0"/>
              <w:spacing w:before="0" w:after="283"/>
              <w:jc w:val="right"/>
              <w:rPr/>
            </w:pPr>
            <w:r>
              <w:rPr/>
              <w:t>0.14</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9.86</w:t>
            </w:r>
          </w:p>
        </w:tc>
        <w:tc>
          <w:tcPr>
            <w:tcW w:w="7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16"/>
        </w:rPr>
      </w:pPr>
      <w:r>
        <w:rPr>
          <w:rFonts w:ascii="Times New Roman" w:hAnsi="Times New Roman"/>
          <w:sz w:val="16"/>
        </w:rPr>
        <w:t xml:space="preserve">For each of the redemption scenarios above, the NTBV was calculated as follows: </w:t>
      </w:r>
    </w:p>
    <w:p>
      <w:pPr>
        <w:pStyle w:val="TextBody"/>
        <w:bidi w:val="0"/>
        <w:spacing w:before="0" w:after="0"/>
        <w:jc w:val="left"/>
        <w:rPr/>
      </w:pPr>
      <w:r>
        <w:rPr/>
        <w:t> </w:t>
      </w:r>
    </w:p>
    <w:tbl>
      <w:tblPr>
        <w:tblW w:w="18440" w:type="dxa"/>
        <w:jc w:val="center"/>
        <w:tblInd w:w="0" w:type="dxa"/>
        <w:tblLayout w:type="fixed"/>
        <w:tblCellMar>
          <w:top w:w="0" w:type="dxa"/>
          <w:left w:w="0" w:type="dxa"/>
          <w:bottom w:w="0" w:type="dxa"/>
          <w:right w:w="0" w:type="dxa"/>
        </w:tblCellMar>
      </w:tblPr>
      <w:tblGrid>
        <w:gridCol w:w="1040"/>
        <w:gridCol w:w="60"/>
        <w:gridCol w:w="140"/>
        <w:gridCol w:w="1220"/>
        <w:gridCol w:w="275"/>
        <w:gridCol w:w="60"/>
        <w:gridCol w:w="140"/>
        <w:gridCol w:w="1220"/>
        <w:gridCol w:w="275"/>
        <w:gridCol w:w="60"/>
        <w:gridCol w:w="140"/>
        <w:gridCol w:w="1220"/>
        <w:gridCol w:w="275"/>
        <w:gridCol w:w="60"/>
        <w:gridCol w:w="140"/>
        <w:gridCol w:w="1220"/>
        <w:gridCol w:w="275"/>
        <w:gridCol w:w="60"/>
        <w:gridCol w:w="140"/>
        <w:gridCol w:w="1295"/>
        <w:gridCol w:w="275"/>
        <w:gridCol w:w="60"/>
        <w:gridCol w:w="140"/>
        <w:gridCol w:w="1295"/>
        <w:gridCol w:w="275"/>
        <w:gridCol w:w="60"/>
        <w:gridCol w:w="140"/>
        <w:gridCol w:w="1295"/>
        <w:gridCol w:w="275"/>
        <w:gridCol w:w="60"/>
        <w:gridCol w:w="140"/>
        <w:gridCol w:w="1295"/>
        <w:gridCol w:w="275"/>
        <w:gridCol w:w="60"/>
        <w:gridCol w:w="140"/>
        <w:gridCol w:w="1295"/>
        <w:gridCol w:w="275"/>
        <w:gridCol w:w="60"/>
        <w:gridCol w:w="140"/>
        <w:gridCol w:w="1295"/>
        <w:gridCol w:w="275"/>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No Redemption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25% of Maximum</w:t>
              <w:br/>
              <w:t>Redemption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50% of Maximum</w:t>
              <w:br/>
              <w:t>Redemption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75% of Maximum</w:t>
              <w:br/>
              <w:t>Redemption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Maximum</w:t>
              <w:br/>
              <w:t>Redemption</w:t>
            </w:r>
          </w:p>
        </w:tc>
        <w:tc>
          <w:tcPr>
            <w:tcW w:w="275"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Over-</w:t>
              <w:br/>
              <w:t>Allotment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w:t>
              <w:br/>
              <w:t>Over-</w:t>
              <w:br/>
              <w:t>Allotment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Over-</w:t>
              <w:br/>
              <w:t>Allotment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w:t>
              <w:br/>
              <w:t>Over-</w:t>
              <w:br/>
              <w:t>Allotment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Over-</w:t>
              <w:br/>
              <w:t>Allotment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w:t>
              <w:br/>
              <w:t>Over-</w:t>
              <w:br/>
              <w:t>Allotment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Over-</w:t>
              <w:br/>
              <w:t>Allotment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w:t>
              <w:br/>
              <w:t>Over-</w:t>
              <w:br/>
              <w:t>Allotment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Over-</w:t>
              <w:br/>
              <w:t>Allotment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w:t>
              <w:br/>
              <w:t>Over-</w:t>
              <w:br/>
              <w:t>Allotment</w:t>
            </w:r>
          </w:p>
        </w:tc>
        <w:tc>
          <w:tcPr>
            <w:tcW w:w="27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Public offering price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Net tangible book value before this offering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Increase attributable to public shareholders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6.96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5.35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5.37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3.70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pPr>
            <w:r>
              <w:rPr/>
              <w:t> </w:t>
            </w:r>
          </w:p>
        </w:tc>
        <w:tc>
          <w:tcPr>
            <w:tcW w:w="1295" w:type="dxa"/>
            <w:tcBorders/>
            <w:shd w:fill="CCEEFF" w:val="clear"/>
            <w:vAlign w:val="bottom"/>
          </w:tcPr>
          <w:p>
            <w:pPr>
              <w:pStyle w:val="TableContents"/>
              <w:bidi w:val="0"/>
              <w:spacing w:before="0" w:after="20"/>
              <w:jc w:val="right"/>
              <w:rPr>
                <w:rFonts w:ascii="Times New Roman" w:hAnsi="Times New Roman"/>
                <w:sz w:val="16"/>
              </w:rPr>
            </w:pPr>
            <w:r>
              <w:rPr>
                <w:rFonts w:ascii="Times New Roman" w:hAnsi="Times New Roman"/>
                <w:sz w:val="16"/>
              </w:rPr>
              <w:t>0.11</w:t>
            </w:r>
          </w:p>
        </w:tc>
        <w:tc>
          <w:tcPr>
            <w:tcW w:w="275" w:type="dxa"/>
            <w:tcBorders/>
            <w:shd w:fill="CCEEFF" w:val="clear"/>
            <w:vAlign w:val="bottom"/>
          </w:tcPr>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0.14</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Pro forms net tangible book value after this offering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6.98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6.33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6.34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5.35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5.37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0.11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0.14</w:t>
            </w:r>
          </w:p>
        </w:tc>
        <w:tc>
          <w:tcPr>
            <w:tcW w:w="275"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Dilution to public shareholders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3.67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3.66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4.65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4.63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6.32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6.30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9.89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9.86</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Percentage of dilution to public shareholders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36.60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46.50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46.30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63.20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63.00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98.90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98.60</w:t>
            </w:r>
          </w:p>
        </w:tc>
        <w:tc>
          <w:tcPr>
            <w:tcW w:w="275"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Numerator: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Net tangible book value before this offering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5,668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5,668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5,668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5,668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5,668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5,668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5,668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5,668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5,668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5,668</w:t>
            </w:r>
          </w:p>
        </w:tc>
        <w:tc>
          <w:tcPr>
            <w:tcW w:w="27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proceeds from this offering and the sale of the private placement units (1)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221,400,000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254,507,000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221,400,000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254,507,000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221,400,000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254,507,000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221,400,000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254,507,000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221,400,000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254,507,000</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Plus: Offering costs accrued for or paid in advance, excluded from tangible book value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Less: Over-allotment liability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(339,200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(339,200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(339,200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(339,200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(339,200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Less: Amounts paid for redemptions (2)</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(55,000,000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(63,250,000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(110,000,000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(126,500,000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(165,000,000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(189,750,000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(220,000,000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(253,000,000</w:t>
            </w:r>
          </w:p>
        </w:tc>
        <w:tc>
          <w:tcPr>
            <w:tcW w:w="275"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221,066,468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254,512,668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166,066,468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191,262,668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111,066,468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128,012,668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56,066,468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64,762,668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1,066,468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1,512,668</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Denominator: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Ordinary shares outstanding prior to this offering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7,850,229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7,850,229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7,850,229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7,850,229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7,850,229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7,850,229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7,850,229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7,850,229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7,850,229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7,850,229</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Ordinary shares forfeited if over-allotment is not exercised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(1,023,943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(1,023,943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(1,023,943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(1,023,943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(1,023,943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Ordinary shares offered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25,300,000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25,300,000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22,000,000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25,300,000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22,000,000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25,300,000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22,000,000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25,300,000</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Private placement and private investor shares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3,301,878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3,321,828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3,301,878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3,321,828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3,301,878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3,321,828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3,301,878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3,321,828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3,301,878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3,321,828</w:t>
            </w:r>
          </w:p>
        </w:tc>
        <w:tc>
          <w:tcPr>
            <w:tcW w:w="27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Ordinary shares forfeited from private investor shares if over-allotment is not exercised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(386,681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(386,681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(386,681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(386,681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(386,681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Less: ordinary shares redeemed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(5,500,000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(6,325,000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(11,000,000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(12,650,000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(16,500,000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(18,975,000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(22,000,000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(25,300,000</w:t>
            </w:r>
          </w:p>
        </w:tc>
        <w:tc>
          <w:tcPr>
            <w:tcW w:w="275"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31,741,483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36,472,057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26,241,483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30,147,057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20,741,483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23,822,057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15,241,483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17,497,057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9,741,483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11,172,057</w:t>
            </w:r>
          </w:p>
        </w:tc>
        <w:tc>
          <w:tcPr>
            <w:tcW w:w="275" w:type="dxa"/>
            <w:tcBorders/>
            <w:shd w:fill="CCEEFF" w:val="clear"/>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Expenses applied against gross proceeds include offering expenses of approximately $957,006 (or $1,019,266 if the underwriters exercise the over-allotment option in full). See “</w:t>
            </w:r>
            <w:r>
              <w:rPr>
                <w:rFonts w:ascii="Times New Roman" w:hAnsi="Times New Roman"/>
                <w:i/>
                <w:sz w:val="16"/>
              </w:rPr>
              <w:t>Use of Proceeds.</w:t>
            </w:r>
            <w:r>
              <w:rPr>
                <w:rFonts w:ascii="Times New Roman" w:hAnsi="Times New Roman"/>
                <w:sz w:val="16"/>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If we seek shareholder approval of our initial business combination and we do not conduct redemptions in connection with our initial business combination pursuant to the tender offer rules, our initial shareholders, directors, executive officers, advisors or their affiliates may purchase public shares or public rights in privately negotiated transactions or in the open market either prior to or following the completion of our initial business combination. In the event of any such purchases of our shares prior to the completion of our initial business combination, the number of ordinary shares subject to redemption will be reduced by the amount of any such purchases, increasing the pro forma net tangible book value per share. See “</w:t>
            </w:r>
            <w:r>
              <w:rPr>
                <w:rFonts w:ascii="Times New Roman" w:hAnsi="Times New Roman"/>
                <w:i/>
                <w:sz w:val="16"/>
              </w:rPr>
              <w:t>Proposed Business.</w:t>
            </w:r>
            <w:r>
              <w:rPr>
                <w:rFonts w:ascii="Times New Roman" w:hAnsi="Times New Roman"/>
                <w:sz w:val="16"/>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929696_9"/>
      <w:bookmarkEnd w:id="11"/>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capitalization as of July 21, 2025 and as adjusted to give effect to the sale of our public units offered by this prospectus and the sale of the private investor shares and private placement shares in the private placement, the application of the estimated net proceeds derived from the sale of such securities, and the issuance of the private investor shares and private placement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21"/>
        <w:gridCol w:w="333"/>
        <w:gridCol w:w="147"/>
        <w:gridCol w:w="806"/>
        <w:gridCol w:w="157"/>
        <w:gridCol w:w="333"/>
        <w:gridCol w:w="147"/>
        <w:gridCol w:w="1448"/>
        <w:gridCol w:w="163"/>
      </w:tblGrid>
      <w:tr>
        <w:trPr/>
        <w:tc>
          <w:tcPr>
            <w:tcW w:w="4221"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2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30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July 21, 2025</w:t>
            </w:r>
          </w:p>
        </w:tc>
        <w:tc>
          <w:tcPr>
            <w:tcW w:w="163" w:type="dxa"/>
            <w:tcBorders/>
            <w:vAlign w:val="bottom"/>
          </w:tcPr>
          <w:p>
            <w:pPr>
              <w:pStyle w:val="TableContents"/>
              <w:bidi w:val="0"/>
              <w:spacing w:before="0" w:after="283"/>
              <w:jc w:val="left"/>
              <w:rPr/>
            </w:pPr>
            <w:r>
              <w:rPr/>
              <w:t> </w:t>
            </w:r>
          </w:p>
        </w:tc>
      </w:tr>
      <w:tr>
        <w:trPr/>
        <w:tc>
          <w:tcPr>
            <w:tcW w:w="422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7"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Adjusted(2)(3)</w:t>
            </w:r>
          </w:p>
        </w:tc>
        <w:tc>
          <w:tcPr>
            <w:tcW w:w="163" w:type="dxa"/>
            <w:tcBorders/>
            <w:vAlign w:val="bottom"/>
          </w:tcPr>
          <w:p>
            <w:pPr>
              <w:pStyle w:val="TableContents"/>
              <w:bidi w:val="0"/>
              <w:spacing w:before="0" w:after="283"/>
              <w:jc w:val="left"/>
              <w:rPr/>
            </w:pPr>
            <w:r>
              <w:rPr/>
              <w:t> </w:t>
            </w:r>
          </w:p>
        </w:tc>
      </w:tr>
      <w:tr>
        <w:trPr/>
        <w:tc>
          <w:tcPr>
            <w:tcW w:w="4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Promissory note to related party (1)</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100,000</w:t>
            </w:r>
          </w:p>
        </w:tc>
        <w:tc>
          <w:tcPr>
            <w:tcW w:w="157"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44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221" w:type="dxa"/>
            <w:tcBorders/>
          </w:tcPr>
          <w:p>
            <w:pPr>
              <w:pStyle w:val="TableContents"/>
              <w:bidi w:val="0"/>
              <w:spacing w:before="0" w:after="0"/>
              <w:jc w:val="left"/>
              <w:rPr>
                <w:rFonts w:ascii="Times New Roman" w:hAnsi="Times New Roman"/>
                <w:sz w:val="20"/>
              </w:rPr>
            </w:pPr>
            <w:r>
              <w:rPr>
                <w:rFonts w:ascii="Times New Roman" w:hAnsi="Times New Roman"/>
                <w:sz w:val="20"/>
              </w:rPr>
              <w:t>Over-allotment liability</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339,200</w:t>
            </w:r>
          </w:p>
        </w:tc>
        <w:tc>
          <w:tcPr>
            <w:tcW w:w="163" w:type="dxa"/>
            <w:tcBorders/>
            <w:vAlign w:val="bottom"/>
          </w:tcPr>
          <w:p>
            <w:pPr>
              <w:pStyle w:val="TableContents"/>
              <w:bidi w:val="0"/>
              <w:spacing w:before="0" w:after="283"/>
              <w:jc w:val="left"/>
              <w:rPr/>
            </w:pPr>
            <w:r>
              <w:rPr/>
              <w:t> </w:t>
            </w:r>
          </w:p>
        </w:tc>
      </w:tr>
      <w:tr>
        <w:trPr/>
        <w:tc>
          <w:tcPr>
            <w:tcW w:w="422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par value $0.0001 per share, subject to redemption, no shares subject to possible redemption, actual; 22,000,000 shares subject to redemption, as adjusted</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220,000,000</w:t>
            </w:r>
          </w:p>
        </w:tc>
        <w:tc>
          <w:tcPr>
            <w:tcW w:w="163" w:type="dxa"/>
            <w:tcBorders/>
            <w:shd w:fill="CCEEFF" w:val="clear"/>
            <w:vAlign w:val="bottom"/>
          </w:tcPr>
          <w:p>
            <w:pPr>
              <w:pStyle w:val="TableContents"/>
              <w:bidi w:val="0"/>
              <w:spacing w:before="0" w:after="283"/>
              <w:jc w:val="left"/>
              <w:rPr/>
            </w:pPr>
            <w:r>
              <w:rPr/>
              <w:t> </w:t>
            </w:r>
          </w:p>
        </w:tc>
      </w:tr>
      <w:tr>
        <w:trPr/>
        <w:tc>
          <w:tcPr>
            <w:tcW w:w="422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21"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4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 par value $0.0001 per share, 1,000,000 authorized; none issued or outstanding, actual and adjusted</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221"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par value $0.0001 per share, 200,000,000 shares authorized, no shares issued and outstanding, actual; 337,675 shares issued and outstanding, as adjusted</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34</w:t>
            </w:r>
          </w:p>
        </w:tc>
        <w:tc>
          <w:tcPr>
            <w:tcW w:w="163" w:type="dxa"/>
            <w:tcBorders/>
            <w:vAlign w:val="bottom"/>
          </w:tcPr>
          <w:p>
            <w:pPr>
              <w:pStyle w:val="TableContents"/>
              <w:bidi w:val="0"/>
              <w:spacing w:before="0" w:after="283"/>
              <w:jc w:val="left"/>
              <w:rPr/>
            </w:pPr>
            <w:r>
              <w:rPr/>
              <w:t> </w:t>
            </w:r>
          </w:p>
        </w:tc>
      </w:tr>
      <w:tr>
        <w:trPr/>
        <w:tc>
          <w:tcPr>
            <w:tcW w:w="4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ordinary shares, par value $0.0001 per share, 20,000,000 shares authorized, actual and as adjusted; 7,850,229 shares issued and outstanding, actual; 9,403,808 shares issued and outstanding, as adjusted(4)</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785</w:t>
            </w:r>
          </w:p>
        </w:tc>
        <w:tc>
          <w:tcPr>
            <w:tcW w:w="157"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940</w:t>
            </w:r>
          </w:p>
        </w:tc>
        <w:tc>
          <w:tcPr>
            <w:tcW w:w="163" w:type="dxa"/>
            <w:tcBorders/>
            <w:shd w:fill="CCEEFF" w:val="clear"/>
            <w:vAlign w:val="bottom"/>
          </w:tcPr>
          <w:p>
            <w:pPr>
              <w:pStyle w:val="TableContents"/>
              <w:bidi w:val="0"/>
              <w:spacing w:before="0" w:after="283"/>
              <w:jc w:val="left"/>
              <w:rPr/>
            </w:pPr>
            <w:r>
              <w:rPr/>
              <w:t> </w:t>
            </w:r>
          </w:p>
        </w:tc>
      </w:tr>
      <w:tr>
        <w:trPr/>
        <w:tc>
          <w:tcPr>
            <w:tcW w:w="422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24,215</w:t>
            </w:r>
          </w:p>
        </w:tc>
        <w:tc>
          <w:tcPr>
            <w:tcW w:w="157"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1,084,826</w:t>
            </w:r>
          </w:p>
        </w:tc>
        <w:tc>
          <w:tcPr>
            <w:tcW w:w="163" w:type="dxa"/>
            <w:tcBorders/>
            <w:vAlign w:val="bottom"/>
          </w:tcPr>
          <w:p>
            <w:pPr>
              <w:pStyle w:val="TableContents"/>
              <w:bidi w:val="0"/>
              <w:spacing w:before="0" w:after="283"/>
              <w:jc w:val="left"/>
              <w:rPr/>
            </w:pPr>
            <w:r>
              <w:rPr/>
              <w:t> </w:t>
            </w:r>
          </w:p>
        </w:tc>
      </w:tr>
      <w:tr>
        <w:trPr/>
        <w:tc>
          <w:tcPr>
            <w:tcW w:w="4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(19,332</w:t>
            </w:r>
          </w:p>
        </w:tc>
        <w:tc>
          <w:tcPr>
            <w:tcW w:w="157"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(19,332</w:t>
            </w:r>
          </w:p>
        </w:tc>
        <w:tc>
          <w:tcPr>
            <w:tcW w:w="163" w:type="dxa"/>
            <w:tcBorders/>
            <w:shd w:fill="CCEEFF" w:val="clear"/>
            <w:vAlign w:val="bottom"/>
          </w:tcPr>
          <w:p>
            <w:pPr>
              <w:pStyle w:val="TableContents"/>
              <w:bidi w:val="0"/>
              <w:spacing w:before="0" w:after="283"/>
              <w:jc w:val="left"/>
              <w:rPr/>
            </w:pPr>
            <w:r>
              <w:rPr/>
              <w:t>) </w:t>
            </w:r>
          </w:p>
        </w:tc>
      </w:tr>
      <w:tr>
        <w:trPr/>
        <w:tc>
          <w:tcPr>
            <w:tcW w:w="422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21"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5,668</w:t>
            </w:r>
          </w:p>
        </w:tc>
        <w:tc>
          <w:tcPr>
            <w:tcW w:w="157"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448" w:type="dxa"/>
            <w:tcBorders/>
            <w:vAlign w:val="bottom"/>
          </w:tcPr>
          <w:p>
            <w:pPr>
              <w:pStyle w:val="TableContents"/>
              <w:bidi w:val="0"/>
              <w:spacing w:before="0" w:after="283"/>
              <w:jc w:val="right"/>
              <w:rPr/>
            </w:pPr>
            <w:r>
              <w:rPr/>
              <w:t>1,066,468</w:t>
            </w:r>
          </w:p>
        </w:tc>
        <w:tc>
          <w:tcPr>
            <w:tcW w:w="163" w:type="dxa"/>
            <w:tcBorders/>
            <w:vAlign w:val="bottom"/>
          </w:tcPr>
          <w:p>
            <w:pPr>
              <w:pStyle w:val="TableContents"/>
              <w:bidi w:val="0"/>
              <w:spacing w:before="0" w:after="283"/>
              <w:jc w:val="left"/>
              <w:rPr/>
            </w:pPr>
            <w:r>
              <w:rPr/>
              <w:t> </w:t>
            </w:r>
          </w:p>
        </w:tc>
      </w:tr>
      <w:tr>
        <w:trPr/>
        <w:tc>
          <w:tcPr>
            <w:tcW w:w="422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105,668</w:t>
            </w:r>
          </w:p>
        </w:tc>
        <w:tc>
          <w:tcPr>
            <w:tcW w:w="157"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448" w:type="dxa"/>
            <w:tcBorders/>
            <w:shd w:fill="CCEEFF" w:val="clear"/>
            <w:vAlign w:val="bottom"/>
          </w:tcPr>
          <w:p>
            <w:pPr>
              <w:pStyle w:val="TableContents"/>
              <w:bidi w:val="0"/>
              <w:spacing w:before="0" w:after="283"/>
              <w:jc w:val="right"/>
              <w:rPr/>
            </w:pPr>
            <w:r>
              <w:rPr/>
              <w:t>221,405,668</w:t>
            </w:r>
          </w:p>
        </w:tc>
        <w:tc>
          <w:tcPr>
            <w:tcW w:w="163" w:type="dxa"/>
            <w:tcBorders/>
            <w:shd w:fill="CCEEFF" w:val="clear"/>
            <w:vAlign w:val="bottom"/>
          </w:tcPr>
          <w:p>
            <w:pPr>
              <w:pStyle w:val="TableContents"/>
              <w:bidi w:val="0"/>
              <w:spacing w:before="0" w:after="283"/>
              <w:jc w:val="left"/>
              <w:rPr/>
            </w:pPr>
            <w:r>
              <w:rPr/>
              <w:t> </w:t>
            </w:r>
          </w:p>
        </w:tc>
      </w:tr>
      <w:tr>
        <w:trPr/>
        <w:tc>
          <w:tcPr>
            <w:tcW w:w="422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4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sponsor has loaned us an aggregate of $100,000 as of July 21, 2025 to be used for a portion of the expenses of the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$927,000 we will receive from the sale pursuant to the Unit Purchase Agreement of the 95,200 private placement units to our insiders and Lynrock at $9.7374 per private placement unit. Also includes $2,430,006 we will receive from the sale of 2,964,203 private investor shares and 242,475 private placement units to the non-managing investors. Assumes the forfeiture of 1,410,624 Class B ordinary shares that are subject to forfeiture depending on the extent to which the underwriters’ option to purchase additional public units is exercised.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completion of our initial business combination, we will provide our public shareholders with the opportunity to redeem their public shares, regardless of whether they abstain, vote for, or against, or our initial business combination, for cash at a per share price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any limitations (including, but not limited to, cash requirements) created by the terms of the proposed business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share amount is prior to any forfeiture of founder shares by our initial shareholders and as adjusted assumes the forfeiture of 1,410,624 Class B ordinary shares that are subject to forfeiture depending on the extent to which the underwriters’ option to purchase additional shares is exercised.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929696_10"/>
      <w:bookmarkEnd w:id="12"/>
      <w:r>
        <w:rPr>
          <w:rFonts w:ascii="Times New Roman" w:hAnsi="Times New Roman"/>
          <w:b/>
          <w:sz w:val="20"/>
        </w:rPr>
        <w:t xml:space="preserve">MANAGEMENT’S DISCUSSION AND ANALYSIS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AND RESULTS OF OPERATIONS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newly organized Private-to-Public Equity (PPE) company, also known as a blank check company or special purpose acquisition company (SPAC), incorporated in the Cayman Islands and formed by an affiliate of the serial SPAC issuer GigCapital Global, for the purpose of acquiring, engaging in a share exchange, share reconstruction and amalgamation with, purchasing all or substantially all of the assets of, or engaging in any other similar business combination with one or more businesses or entities. We have not selected any specific business combination target. To date, our efforts have been limited to organizational activities as well as activities related to this offering. Our efforts to identify a prospective target business will not be limited to a particular industry or geographic region, although we intend to focus on companies in A&amp;D, cybersecurity, encryption and quantum technologies, satellite and drone technologies for commercial and defense applications, and semiconductor “system on a chip” (SOC) industries.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 </w:t>
      </w:r>
    </w:p>
    <w:p>
      <w:pPr>
        <w:pStyle w:val="TextBody"/>
        <w:bidi w:val="0"/>
        <w:spacing w:before="200" w:after="0"/>
        <w:jc w:val="left"/>
        <w:rPr>
          <w:rFonts w:ascii="Times New Roman" w:hAnsi="Times New Roman"/>
          <w:sz w:val="20"/>
        </w:rPr>
      </w:pPr>
      <w:r>
        <w:rPr>
          <w:rFonts w:ascii="Times New Roman" w:hAnsi="Times New Roman"/>
          <w:sz w:val="20"/>
        </w:rPr>
        <w:t xml:space="preserve">We will seek to capitalize on the significant experience and contacts of our management team to complete our initial business combination. GigCapital8 is our eighth SPAC affiliated with GigCapital Global, with five of the other seven having completed business combinations; GIG1, which successfully completed its business combination with Kaleyra S.p.A., following which it was renamed as Kaleyra, Inc. (NYSE American: KLR) in November 2019 (and since that time, Kaleyra uplisted to NYSE), and Kaleyra, Inc. was then acquired in November 2023 by Tata Communications in a $320 million cash deal; GIG2, which successfully completed its business combination with UpHealth Holding, Inc. and Cloudbreak Health, LLC, following which it was renamed as UpHealth, Inc. (OTC Expert Market: UPHL) in June 2021, and UpHealth, Inc. sold its subsidiaries Innovations Group Incorporated in June 2023 to Belmar Pharma Solutions in a $58 million cash deal, and Cloudbreak Health in March 2024 to an affiliate of GTCR, LLC in a $180 million cash deal (some subsidiaries of UpHealth, Inc., such as UpHealth Holdings, Inc. and its wholly-owned subsidiaries, Thrasys, Inc. and Behavioral Health Services, LLC, and each of their subsidiaries filed voluntary petitions for relief under Chapter 11 of U.S. Bankruptcy Code in 2023); GIG3, which successfully completed its business combination with Lightning Systems, Inc. (doing business as Lightning eMotors), following which it was renamed as Lightning eMotors, Inc. (OTC Expert Market: ZEVY) in May 2021 (Lightning eMotors went into receivership in December 2023, and as a result, the assets of Lightning eMotors were sold to GERCO LLC, a subsidiary of GILLIG, in February 2024); GIG4, which successfully completed its business combination with BigBear.ai Holdings, LLC, following which it was renamed as BigBear.ai Holdings, Inc. (NYSE: BBAI) in December 2021; and GIG5, which successfully completed its business combination with QT Imaging, Inc., following which it was renamed as QT Imaging Holdings, Inc. (OTCQB: QTIH) in March 2024. </w:t>
      </w:r>
    </w:p>
    <w:p>
      <w:pPr>
        <w:pStyle w:val="TextBody"/>
        <w:bidi w:val="0"/>
        <w:spacing w:before="200" w:after="0"/>
        <w:jc w:val="left"/>
        <w:rPr>
          <w:rFonts w:ascii="Times New Roman" w:hAnsi="Times New Roman"/>
          <w:sz w:val="20"/>
        </w:rPr>
      </w:pPr>
      <w:r>
        <w:rPr>
          <w:rFonts w:ascii="Times New Roman" w:hAnsi="Times New Roman"/>
          <w:sz w:val="20"/>
        </w:rPr>
        <w:t xml:space="preserve">We believe our management team’s distinctive background and record of acquisition and operational success could have a significant impact on target businesses. Although we may pursue our initial business combination in any business, industry or geographic location, we currently intend to focus on opportunities to capitalize on the ability of our management team, particularly our executive officers, to identify, acquire and operate a business in the A&amp;D, cybersecurity, encryption and quantum technologies, AI and ML, satellite and drone technologies for commercial and defense applications, and semiconductor “system on a chip” (SOC) industries. </w:t>
      </w:r>
    </w:p>
    <w:p>
      <w:pPr>
        <w:pStyle w:val="TextBody"/>
        <w:bidi w:val="0"/>
        <w:spacing w:before="200" w:after="0"/>
        <w:jc w:val="left"/>
        <w:rPr>
          <w:rFonts w:ascii="Times New Roman" w:hAnsi="Times New Roman"/>
          <w:sz w:val="20"/>
        </w:rPr>
      </w:pPr>
      <w:r>
        <w:rPr>
          <w:rFonts w:ascii="Times New Roman" w:hAnsi="Times New Roman"/>
          <w:sz w:val="20"/>
        </w:rPr>
        <w:t xml:space="preserve">Based on few megatrends in the world, we believe that our new SPAC is timely and relevant to support enhancement of public capital investments in growing and commercializing innovative small and middle-cap exceptional technology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one, urban population is expected to increase from today’s 53% to 70% by 2050. Based on United Nations data, overall growth of the world’s population will add close to 2.5 billion people to urban areas by 2050.1 The number of new mega-cities will increase rapidly, particularly in developing countries, requiring massive investments in smart and sustainable city infrastructures. These trends will be further emphasized and challenged by the ongoing demographic shift and new population age structure. In addition, climate change and consequent environmental and social impacts are some of the world’s greatest concerns. The United Nations Sustainable Development Goals and the Paris Climate Agreement are driving the agenda and world’s efforts toward a green economy and sustainable solutions.2 Consumer sensitivity to sustainable-marketed products grew substantially in the last 5 years, representing today more than 50% of total Consumer Packaged Goods (CPG) market growth.3 Capital allocation in funds embracing Environmental, Social and Governance principles reached record numbers in the last few years.412</w:t>
      </w:r>
    </w:p>
    <w:p>
      <w:pPr>
        <w:pStyle w:val="TextBody"/>
        <w:bidi w:val="0"/>
        <w:spacing w:before="240" w:after="0"/>
        <w:jc w:val="left"/>
        <w:rPr>
          <w:rFonts w:ascii="Times New Roman" w:hAnsi="Times New Roman"/>
          <w:sz w:val="20"/>
        </w:rPr>
      </w:pPr>
      <w:r>
        <w:rPr>
          <w:rFonts w:ascii="Times New Roman" w:hAnsi="Times New Roman"/>
          <w:sz w:val="20"/>
        </w:rPr>
        <w:t xml:space="preserve">Another megatrend is that data has become many enterprises’ most valuable asset. Digital transformation, built on cloud-based platforms and enabled with new technologies, including AI, the internet of things (IoT), mobile and robotics, offer companies across all industries new opportunities to drive new business models, with the scalability, flexibility, agility, and dynamism heretofore infeasible. These transformations, in turn, are powering the movements to address the other megatrends. The focus of global growth has been shifting. Developing countries, particularly in Asia Pacific and Latin America, are starting to bring their economies to the forefront of interlinked global trade and investment flows. The emerging markets are not only transitioning to more consumption-oriented economies, but also starting to export capital and innovation. Enterprises that are prepared and able to adapt and capitalize on the evolving global competitive landscape will be the winners of the 21st century. Our focus will be on companies with sustainable business and solid corporate governance that may have high impact on the world’s Sustainable Development Goals (SDG) and are determined to better society and the environment. </w:t>
      </w:r>
    </w:p>
    <w:p>
      <w:pPr>
        <w:pStyle w:val="TextBody"/>
        <w:bidi w:val="0"/>
        <w:spacing w:before="240" w:after="0"/>
        <w:jc w:val="left"/>
        <w:rPr>
          <w:rFonts w:ascii="Times New Roman" w:hAnsi="Times New Roman"/>
          <w:sz w:val="20"/>
        </w:rPr>
      </w:pPr>
      <w:r>
        <w:rPr>
          <w:rFonts w:ascii="Times New Roman" w:hAnsi="Times New Roman"/>
          <w:sz w:val="20"/>
        </w:rPr>
        <w:t xml:space="preserve">We intend to effectuate our initial business combination using cash from the proceeds of this offering, our common equity or any preferred equity that we may create in accordance with the terms of our amended and restated memorandum and articles of association, debt, or a combination of cash, common or preferred equity and debt.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additional ordinary shares or the creation of one or more classes of preferred shares during our initial business combination: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significantly dilute the equity interest of investors in this offering who would not have pre-emption rights in respect of any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subordinate the rights of holders of ordinary shares if the rights, preferences, designations and limitations attaching to the preferred shares are senior to those afforded our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could cause a change in control if a substantial number of ordinary shares are issued, which may affect, among other things, our ability to use our net operating loss carry forwards, if any, and could result in the resignation or removal of our present officers and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have the effect of delaying or preventing a change of control of us by diluting the share ownership or voting rights of a person seeking to obtain control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adversely affect prevailing market prices for our public shares.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 of the UN Economist Network for the UN 75th Anniversary—Sept. 2020.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UN Framework Convention on Climate Change-FCC/CP/2-15/L.9/Rev1.</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York University, Stern School of Business, Center for Sustainable Business. Research on 2015-2020 IRI Purchasing Data Reveals Sustainability Drives Growth, Survives the Pandemic, July 2020.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Blackrock -Sustainability: The tectonic shift transforming investing, Feb. 2020.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Similarly, if we issue debt securities or otherwise incur significant indebtedness, it could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and foreclosure on our assets if our operating revenues after our initial business combination are insufficient to repay our debt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acceleration of our obligations to repay the indebtedness even if we make all principal and interest payments when due if we breach certain covenants that require the maintenance of certain financial ratios or reserves without a waiver or renegotiation of that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immediate payment of all principal and accrued interest, if any, if the debt is payable on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obtain necessary additional financing if any document governing such debt contains covenants restricting our ability to obtain such financing while the debt security is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pay dividends on our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a substantial portion of our cash flow to pay principal and interest on our debt, which will reduce the funds available for dividends on our ordinary shares if declared, expenses, capital expenditures, acquisitions and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flexibility in planning for and reacting to changes in our business and in the industry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vulnerability to adverse changes in general economic, industry and competitive conditions and adverse changes in government regulation;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ability to borrow additional amounts for expenses, capital expenditures, acquisitions, debt service requirements, execution of our strategy and other purposes and other disadvantages compared to our competitors who have less debt.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indicated in the accompanying financial statements as of July 21, 2025, we had $125,000 in cash and working capital of $5,668. Further, we expect to incur significant costs in the pursuit of our acquisition plans. We cannot assure you that our plans to raise capital or to complete our initial business combination will be successful. These factors, among others, raise substantial doubt about our ability to continue as a going concern.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and Known Trends or Future Events </w:t>
      </w:r>
    </w:p>
    <w:p>
      <w:pPr>
        <w:pStyle w:val="TextBody"/>
        <w:bidi w:val="0"/>
        <w:spacing w:before="120" w:after="0"/>
        <w:jc w:val="left"/>
        <w:rPr>
          <w:rFonts w:ascii="Times New Roman" w:hAnsi="Times New Roman"/>
          <w:sz w:val="20"/>
        </w:rPr>
      </w:pPr>
      <w:r>
        <w:rPr>
          <w:rFonts w:ascii="Times New Roman" w:hAnsi="Times New Roman"/>
          <w:sz w:val="20"/>
        </w:rPr>
        <w:t xml:space="preserve">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liquidity needs have been satisfied to date through receipt of $125,000 from the sale of the founder shares and a related party loan of $100,000. We estimate that the net proceeds from (1) the sale of the public units in this offering, after deducting net offering expenses of approximately $1,957,006, which includes underwriting discounts and commissions of $1,000,000 (including a $250,000 referral fee to be paid by the underwriters to United First Partners LLC) (or in the event that the underwriters exercise the over-allotment option in full, expenses of approximately $2,044,266, which includes underwriting discounts and commissions of $1,025,000), (2) the sale of the private placement units to our insiders (or non-affiliated investors to which our sponsor assigns the subscription for such private placement units) for a purchase price of $927,000, and (3) the sale of the private placement units and the private investor shares to the non-managing investors for a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 of $2,430,006 (or $2,624,266 in the event that the underwriters exercise the over-allotment option in full), will be $221,400,000 (or $254,507,000 if the over-allotment option is exercised in full), of which $220,000,000 (or $253,000,000 if the over-allotment option is exercised in full) will be held in the trust account. The remaining estimated $1,400,000 (or $1,507,000 if the over-allotment option is exercised in full), plus an additional $125,000 that we already have, will not be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substantially all of the funds held in the trust account (less permitted withdrawals), including any amounts representing interest earned on the trust account (which interest shall be net of taxes permitted withdrawals by us), to acquire a target business or businesses and to pay our expenses relating thereto. </w:t>
      </w:r>
    </w:p>
    <w:p>
      <w:pPr>
        <w:pStyle w:val="TextBody"/>
        <w:bidi w:val="0"/>
        <w:spacing w:before="0" w:after="0"/>
        <w:jc w:val="left"/>
        <w:rPr>
          <w:rFonts w:ascii="Times New Roman" w:hAnsi="Times New Roman"/>
          <w:sz w:val="20"/>
        </w:rPr>
      </w:pPr>
      <w:r>
        <w:rPr>
          <w:rFonts w:ascii="Times New Roman" w:hAnsi="Times New Roman"/>
          <w:sz w:val="20"/>
        </w:rPr>
        <w:t xml:space="preserve">We may withdraw interest to pay our taxes, if any.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upon consummation of this offering, the estimated $1,400,000 (or $1,507,000 if the over-allotment option is exercised in full) of cash not held in the trust account along with permitted withdrawals will be sufficient to allow us to operate for at least the next 24 months from the closing of this offering, assuming that a business combination is not consummated during that time. Over this time period, we will be using these funds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We anticipate that we will incur the following approximate expenses to be paid from the $1,400,000 (or $1,507,000 if the over-allotment option is exercised in full) not held in the trust account: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$125,000 of expenses for the legal, accounting and other third-party expenses attendant to the structuring and negotiating of our initial business combination (or $232,000 if the over-allotment option is exercised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$160,000 of expenses for SEC filing and other legal and accounting fees related to regulatory reporting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$720,000 (equal to $30,000 per month for up to 24 months) for office space and administrative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$215,000 for directors and officers insurance;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$180,000 (equal to $15,000 per month for up to 12 months) for payments to our Chief Financial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 </w:t>
      </w:r>
    </w:p>
    <w:p>
      <w:pPr>
        <w:pStyle w:val="TextBody"/>
        <w:bidi w:val="0"/>
        <w:spacing w:before="240" w:after="0"/>
        <w:jc w:val="left"/>
        <w:rPr>
          <w:rFonts w:ascii="Times New Roman" w:hAnsi="Times New Roman"/>
          <w:sz w:val="20"/>
        </w:rPr>
      </w:pPr>
      <w:r>
        <w:rPr>
          <w:rFonts w:ascii="Times New Roman" w:hAnsi="Times New Roman"/>
          <w:sz w:val="20"/>
        </w:rPr>
        <w:t xml:space="preserve">As of July 21, 2025, we had $125,000 in cash and working capital of $5,668. We have incurred and expect to continue to incur significant costs in pursuit of our acquisition plans. Our plans to raise capital and to consummate our initial business combination may not be successful. These factors among others raise substantial doubt about our ability to continue as a going concern.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are not currently required to maintain an effective system of internal controls as defined by Section 404 of the Sarbanes-Oxley Act. We will be required to comply with the internal control requirements of the Sarbanes-Oxley Act for the fiscal year ending December 31, 2025.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 </w:t>
      </w:r>
    </w:p>
    <w:p>
      <w:pPr>
        <w:pStyle w:val="TextBody"/>
        <w:bidi w:val="0"/>
        <w:spacing w:before="220" w:after="0"/>
        <w:jc w:val="left"/>
        <w:rPr>
          <w:rFonts w:ascii="Times New Roman" w:hAnsi="Times New Roman"/>
          <w:sz w:val="20"/>
        </w:rPr>
      </w:pPr>
      <w:r>
        <w:rPr>
          <w:rFonts w:ascii="Times New Roman" w:hAnsi="Times New Roman"/>
          <w:sz w:val="20"/>
        </w:rPr>
        <w:t xml:space="preserve">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 Oxley Act regarding the adequacy of internal controls. Many small and mid-sized target businesses we may consider for our initial business combination may have internal controls that need improvement in areas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staffing for financial, accounting and external reporting areas, including segregation of duties;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reconciliation of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 recording of expenses and liabilities in the period to which they relate;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of internal review and approval of accounting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documentation of processes, assumptions and conclusions underlying significant estimates;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documentation of accounting policies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also may take longer than we expect, thus increasing our exposure to financial fraud or erroneous financing reporting. </w:t>
      </w:r>
    </w:p>
    <w:p>
      <w:pPr>
        <w:pStyle w:val="TextBody"/>
        <w:bidi w:val="0"/>
        <w:spacing w:before="220" w:after="0"/>
        <w:jc w:val="left"/>
        <w:rPr>
          <w:rFonts w:ascii="Times New Roman" w:hAnsi="Times New Roman"/>
          <w:sz w:val="20"/>
        </w:rPr>
      </w:pPr>
      <w:r>
        <w:rPr>
          <w:rFonts w:ascii="Times New Roman" w:hAnsi="Times New Roman"/>
          <w:sz w:val="20"/>
        </w:rPr>
        <w:t xml:space="preserve">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 </w:t>
      </w:r>
    </w:p>
    <w:p>
      <w:pPr>
        <w:pStyle w:val="TextBody"/>
        <w:bidi w:val="0"/>
        <w:spacing w:before="220" w:after="0"/>
        <w:jc w:val="left"/>
        <w:rPr>
          <w:rFonts w:ascii="Times New Roman" w:hAnsi="Times New Roman"/>
          <w:b/>
          <w:i/>
          <w:sz w:val="20"/>
        </w:rPr>
      </w:pPr>
      <w:r>
        <w:rPr>
          <w:rFonts w:ascii="Times New Roman" w:hAnsi="Times New Roman"/>
          <w:b/>
          <w:i/>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Class B ordinary shares remain subject to forfeiture depending on the extent to which the underwriters’ over-allotment option is exercised during this offering. Prior to the making of this offering, the sponsor transferred 5,000 founder shares to Christine Marshall, our Chief Financial Officer, solely in consideration of future services to us. The 5,000 founder shares granted to Ms. Marshall are subject to forfeiture back to the sponsor in the event she resigns or is removed for cause from her position with us prior to consummation of our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sponsor intends at the time of the consummation of this offering to sell 375,397 founder shares in the aggregate to Messrs. Greene, Machuca, Timm and Horowitz at an aggregate price of $9,244 and 1,416,665 founder shares to Lynrock at an aggregate price of $13,130, or $0.00927 per share. Following this sale of shares, the sponsor will hold 6,053,167 founder shares, and the price paid by our sponsor for the 6,053,167 founder shares which it is retaining will be reduced to $2,626, or $0.000434 per share. The purchase price per founder share was determined by dividing the amount of cash contributed to the company by the number of founder shares issued. Prior to the initial investment of $25,000 by our sponsor and four other directors, the company had no assets, tangible or intangible. In connection with this offering, up to 1,023,943 founder shares are subject to forfeiture by our initial shareholders depending on the extent to which the underwriters’ over-allotment option is exercised during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On July 18, 2025, we also entered into a promissory note with our sponsor with a principal amount of $100,000, all of which remained outstanding as of July 21, 2025, to be used for the payment of expenses related to this offering. The promissory note is non-interest bearing, unsecured and is due on the earlier of (i) December 31, 2025 or (ii) the date on which we consummate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Dr. Katz, our Chief Executive Officer and Chairman, formed our sponsor, which 100% is owned equally by Drs. Katz and Dinu, who are husband and wife, and have the sole financial and voting interest in our sponsor that entitles them to participate in any economic return that the sponsor receives for its investment in the company. Accordingly, Drs. Katz and Dinu will benefit from the transaction to the extent of their interest in our sponsor. </w:t>
      </w:r>
    </w:p>
    <w:p>
      <w:pPr>
        <w:pStyle w:val="TextBody"/>
        <w:bidi w:val="0"/>
        <w:spacing w:before="240" w:after="0"/>
        <w:jc w:val="left"/>
        <w:rPr>
          <w:rFonts w:ascii="Times New Roman" w:hAnsi="Times New Roman"/>
          <w:sz w:val="20"/>
        </w:rPr>
      </w:pPr>
      <w:r>
        <w:rPr>
          <w:rFonts w:ascii="Times New Roman" w:hAnsi="Times New Roman"/>
          <w:sz w:val="20"/>
        </w:rPr>
        <w:t xml:space="preserve">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this prospectus, to pay GigManagement, LLC a monthly fee of $30,000 per month for office space and general and administrative services until the consummation of an initial business combination. In conjunction with our services agreement with GigManagement, LLC, we have rights that permit us to use the trademark “Private-to-Public Equity (PPE).” </w:t>
      </w:r>
    </w:p>
    <w:p>
      <w:pPr>
        <w:pStyle w:val="TextBody"/>
        <w:bidi w:val="0"/>
        <w:spacing w:before="240" w:after="0"/>
        <w:jc w:val="left"/>
        <w:rPr>
          <w:rFonts w:ascii="Times New Roman" w:hAnsi="Times New Roman"/>
          <w:sz w:val="20"/>
        </w:rPr>
      </w:pPr>
      <w:r>
        <w:rPr>
          <w:rFonts w:ascii="Times New Roman" w:hAnsi="Times New Roman"/>
          <w:sz w:val="20"/>
        </w:rPr>
        <w:t xml:space="preserve">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board of directors may also approve the payment of advisory fees to directors in connection with such activities, including board committee service and extraordinary administrative and analytical services.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 </w:t>
      </w:r>
    </w:p>
    <w:p>
      <w:pPr>
        <w:pStyle w:val="TextBody"/>
        <w:bidi w:val="0"/>
        <w:spacing w:before="240" w:after="0"/>
        <w:jc w:val="left"/>
        <w:rPr>
          <w:rFonts w:ascii="Times New Roman" w:hAnsi="Times New Roman"/>
          <w:sz w:val="20"/>
        </w:rPr>
      </w:pPr>
      <w:r>
        <w:rPr>
          <w:rFonts w:ascii="Times New Roman" w:hAnsi="Times New Roman"/>
          <w:sz w:val="20"/>
        </w:rPr>
        <w:t xml:space="preserve">We do not believe we will need to raise additional funds following this offering in order to meet the expenditures required for operating our business. However, in order to finance transaction costs in connection with an intended initial business combination, our sponsor, executive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a registration rights agreement we have entered into an agreement with each of our initial shareholders on or prior to the closing of this offering, we may be required to register certain securities for sale under the Securities Act. These holders are entitled under the registration rights agreement to make up to three demands that we register certain of our securities held by them under the Securities Act and to have the securities covered thereby registered for resale pursuant to Rule 415 under the Securities Act. In addition, these holders have the right to include their securities in any other registration statement filed by us. However,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rights agreement provides that we will not permit any registration statement filed under the Securities Act to become effective until the securities covered thereby are released from their respective lock-up restrictions, as described herein. We will bear the costs and expenses of filing any such registration statements. See “</w:t>
      </w:r>
      <w:r>
        <w:rPr>
          <w:rFonts w:ascii="Times New Roman" w:hAnsi="Times New Roman"/>
          <w:i/>
          <w:sz w:val="20"/>
        </w:rPr>
        <w:t>Certain Relationships and Related Party Transactions</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The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 </w:t>
      </w:r>
    </w:p>
    <w:p>
      <w:pPr>
        <w:pStyle w:val="TextBody"/>
        <w:bidi w:val="0"/>
        <w:spacing w:before="360" w:after="0"/>
        <w:jc w:val="left"/>
        <w:rPr>
          <w:rFonts w:ascii="Times New Roman" w:hAnsi="Times New Roman"/>
          <w:i/>
          <w:sz w:val="20"/>
        </w:rPr>
      </w:pPr>
      <w:r>
        <w:rPr>
          <w:rFonts w:ascii="Times New Roman" w:hAnsi="Times New Roman"/>
          <w:i/>
          <w:sz w:val="20"/>
        </w:rPr>
        <w:t xml:space="preserve">Off-Balance Sheet Arrangements; Commitments and Contractual Obligations; Quarterly Results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did not have any off-balance sheet arrangements as defined in Item 303(a)(4)(ii) of Regulation S-K and did not have any commitments or contractual obligations. No unaudited quarterly operating data is included in this prospectus, as we have conducted no operations to date. </w:t>
      </w:r>
    </w:p>
    <w:p>
      <w:pPr>
        <w:pStyle w:val="TextBody"/>
        <w:bidi w:val="0"/>
        <w:spacing w:before="360" w:after="0"/>
        <w:jc w:val="left"/>
        <w:rPr>
          <w:rFonts w:ascii="Times New Roman" w:hAnsi="Times New Roman"/>
          <w:i/>
          <w:sz w:val="20"/>
        </w:rPr>
      </w:pPr>
      <w:r>
        <w:rPr>
          <w:rFonts w:ascii="Times New Roman" w:hAnsi="Times New Roman"/>
          <w:i/>
          <w:sz w:val="20"/>
        </w:rPr>
        <w:t xml:space="preserve">JOBS Act </w:t>
      </w:r>
    </w:p>
    <w:p>
      <w:pPr>
        <w:pStyle w:val="TextBody"/>
        <w:bidi w:val="0"/>
        <w:spacing w:before="120" w:after="0"/>
        <w:jc w:val="left"/>
        <w:rPr>
          <w:rFonts w:ascii="Times New Roman" w:hAnsi="Times New Roman"/>
          <w:sz w:val="20"/>
        </w:rPr>
      </w:pPr>
      <w:r>
        <w:rPr>
          <w:rFonts w:ascii="Times New Roman" w:hAnsi="Times New Roman"/>
          <w:sz w:val="20"/>
        </w:rPr>
        <w:t xml:space="preserve">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including but not limited to reduced disclosure obligations regarding executive compensation in our periodic reports and proxy statements, exemptions from the requirements of holding a non-binding advisory vote on executive compensation and shareholder approval of any golden parachute payments not previously approved,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are no longer an “emerging growth company,” whichever is earlier.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929696_11"/>
      <w:bookmarkEnd w:id="13"/>
      <w:r>
        <w:rPr>
          <w:rFonts w:ascii="Times New Roman" w:hAnsi="Times New Roman"/>
          <w:b/>
          <w:sz w:val="20"/>
        </w:rPr>
        <w:t xml:space="preserve">PROPOSED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a newly organized Private-to-Public Equity (PPE) company, also known as a blank check company or special purpose acquisition company, formed by an affiliate of the serial SPAC issuer GigCapital Global, and incorporated in the Cayman Islands on June 30, 2025 for the purpose of effecting a merger, share exchange, asset acquisition, stock purchase, recapitalization, reorganization or other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To date, our efforts have been limited to organizational activities as well as activities related to this offering.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 </w:t>
      </w:r>
    </w:p>
    <w:p>
      <w:pPr>
        <w:pStyle w:val="TextBody"/>
        <w:bidi w:val="0"/>
        <w:spacing w:before="240" w:after="0"/>
        <w:jc w:val="left"/>
        <w:rPr>
          <w:rFonts w:ascii="Times New Roman" w:hAnsi="Times New Roman"/>
          <w:sz w:val="20"/>
        </w:rPr>
      </w:pPr>
      <w:r>
        <w:rPr>
          <w:rFonts w:ascii="Times New Roman" w:hAnsi="Times New Roman"/>
          <w:sz w:val="20"/>
        </w:rPr>
        <w:t xml:space="preserve">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A&amp;D services, cybersecurity and secured communications and quantum-based command and control systems, and AI and ML industries.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team believes there is a backlog of companies that are interested in becoming public companies. We believe that because this backlog is substantial, there may be a number of attractive companies that will not be able to list via a traditional IPO in the near-term, and therefore may opt to pursue a listing via a SPAC instead. Moreover, we believe current market conditions are causing middle-market financial sponsors and venture capital firms to consider alternative methods for providing liquidity to their limited partners.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Our acquisition and value creation strategy is to identify, acquire and, after our initial business combination, further accelerate the growth of a company at the intersection of the A&amp;D services, cybersecurity and secured communications and quantum-based command and control systems, and AI and ML, and to contribute to the global A&amp;D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services, cybersecurity and secured communications and quantum-based command and control systems industries, as well as in AI and ML. Market size, growth potential, competition, and barriers to entry are all essential factors to consider as we identify the acquisition target. Our team intends to utilize an in-depth evaluation process of potential acquisition targets based on financial performance, strategic fit, and potential synergies as well as the company’s products, and services to ensure our target is aligned. Although, the global A&amp;D economy is highly regulated, and there are many legal and regulatory considerations that companies must consider, such as licensing requirements, export controls, and liability issues; our management team’s expertise and track record in the A&amp;D ecosystem, and all related technologies, will help mitigate these factors by proactively advising potential target companies on navigating these issues. </w:t>
      </w:r>
    </w:p>
    <w:p>
      <w:pPr>
        <w:pStyle w:val="TextBody"/>
        <w:bidi w:val="0"/>
        <w:spacing w:before="240" w:after="0"/>
        <w:jc w:val="left"/>
        <w:rPr>
          <w:rFonts w:ascii="Times New Roman" w:hAnsi="Times New Roman"/>
          <w:sz w:val="20"/>
        </w:rPr>
      </w:pPr>
      <w:r>
        <w:rPr>
          <w:rFonts w:ascii="Times New Roman" w:hAnsi="Times New Roman"/>
          <w:sz w:val="20"/>
        </w:rPr>
        <w:t xml:space="preserve">Overall, an acquisition and value creation strategy impacting the global A&amp;D economy requires a careful and strategic approach, the potential benefits can be significant for companies with the ability to identify and acquire complementary businesses and technologies with synergies through effective integration.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team believes that the global A&amp;D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 </w:t>
      </w:r>
    </w:p>
    <w:p>
      <w:pPr>
        <w:pStyle w:val="TextBody"/>
        <w:bidi w:val="0"/>
        <w:spacing w:before="240" w:after="0"/>
        <w:jc w:val="left"/>
        <w:rPr>
          <w:rFonts w:ascii="Times New Roman" w:hAnsi="Times New Roman"/>
          <w:sz w:val="20"/>
        </w:rPr>
      </w:pPr>
      <w:r>
        <w:rPr>
          <w:rFonts w:ascii="Times New Roman" w:hAnsi="Times New Roman"/>
          <w:sz w:val="20"/>
        </w:rPr>
        <w:t xml:space="preserve">We expect to distinguish ourselves with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Tap into our vast international network of relationships to develop a distinctive pipeline of acquisition opportunities.</w:t>
            </w:r>
            <w:r>
              <w:rPr>
                <w:rFonts w:ascii="Times New Roman" w:hAnsi="Times New Roman"/>
                <w:sz w:val="20"/>
              </w:rPr>
              <w:t xml:space="preserve"> We believe the combination of our Chief Executive Officer’s industry experience and our directors’ and management’s ability and network of relationships with CEOs, founders, family offices, private equity, hedge-funds, venture capitalists, sponsors and investment banks will help us to identify and evaluate suitable target businesses that could benefit from our operational and strategic expertise and from management’s experience in structuring complex transactions and accessing capital for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Revitalize the acquisition target and generate value for shareholders after the business combination.</w:t>
            </w:r>
            <w:r>
              <w:rPr>
                <w:rFonts w:ascii="Times New Roman" w:hAnsi="Times New Roman"/>
                <w:sz w:val="20"/>
              </w:rPr>
              <w:t xml:space="preserve"> Given our management’s experience, we are confident that our officers and directors will be able to drive value after the combination. By implementing strategies that have proven successful in the past, they intend to focus on accelerating revenue growth, improving profit margins and fostering a results-driven culture.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Show a proven record of successful completions of business combinations</w:t>
            </w:r>
            <w:r>
              <w:rPr>
                <w:rFonts w:ascii="Times New Roman" w:hAnsi="Times New Roman"/>
                <w:sz w:val="20"/>
              </w:rPr>
              <w:t xml:space="preserve">. We believe that our management team’s track record and experience will provide a distinct advantage for identifying, valuing and completing a business combination that will meet our investors’ expectations. GigCapital8 is our eighth SPAC affiliated with GigCapital Global, with five out of seven prior SPACs having completed business combinations and one SPAC looking for a suitable business target, as summarized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2"/>
        <w:gridCol w:w="102"/>
        <w:gridCol w:w="8881"/>
      </w:tblGrid>
      <w:tr>
        <w:trPr/>
        <w:tc>
          <w:tcPr>
            <w:tcW w:w="1020"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GIG1 — a Private-to-Public Equity (PPE) company formed for the purpose of acquiring a company in the technology, media, and telecommunications (“TMT”) industry,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GIG2 —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UpHealth, Inc. closed down certain of its subsidiaries sold subsidiaries Innovations Group Incorporated to Belmar Pharma Solutions in June 2023 and Cloudbreak Health to an affiliate of GTCR, LLC in March 2024. Following an adverse legal judgement, in September 2023, UpHealth Holdings, Inc., a subsidiary of UpHealth, Inc., filed a voluntary petition for relief under Chapter 11 of the U.S. Bankruptcy Code. In addition, in October 2023, two of </w:t>
            </w:r>
            <w:r>
              <w:rPr>
                <w:rFonts w:ascii="Times New Roman" w:hAnsi="Times New Roman"/>
                <w:sz w:val="20"/>
                <w:u w:val="single"/>
              </w:rPr>
              <w:t>UpHealth</w:t>
            </w:r>
            <w:r>
              <w:rPr>
                <w:rFonts w:ascii="Times New Roman" w:hAnsi="Times New Roman"/>
                <w:sz w:val="20"/>
              </w:rPr>
              <w:t xml:space="preserve"> Holdings’ wholly-owned subsidiaries, Thrasys, Inc. and Behavioral Health Services, LLC, and each of their subsidiaries filed voluntary petitions for relief under Chapter 11 of the U.S. Bankruptcy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GIG3 —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successfully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In October 2021, Dr. Katz left Lightning eMotors as he did not stand for reelection to the board of directors. Lightning eMotors went into receivership in December 2023, and as a result, the assets of Lightning eMotors were sold to GERCO LLC, a subsidiary of GILLIG, in February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GIG4 —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On December 9, 2021, GIG4 successfully completed its business combination with BigBear.ai Holdings, LLC, following which it was renamed as BigBear.ai Holdings, Inc. (NYSE: BBAI).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GIG5 — a Private-to-Public Equity (PPE) company formed for the purpose of acquiring a company in the TMT, A&amp;D, advanced medical equipment, intelligent automation and sustainable industries,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the NYSE under the symbol “GIA” and then subsequently transferred to Nasdaq and later, to the OTCQB Venture Market. In March 2024, GIG5 successfully completed its business combination with QT Imaging, Inc., following which it was renamed as QT Imaging Holdings, Inc. (OTCQB: QTIH).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GIW —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GIG7 —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7"/>
        <w:gridCol w:w="8878"/>
      </w:tblGrid>
      <w:tr>
        <w:trPr/>
        <w:tc>
          <w:tcPr>
            <w:tcW w:w="1327" w:type="dxa"/>
            <w:tcBorders/>
            <w:vAlign w:val="center"/>
          </w:tcPr>
          <w:p>
            <w:pPr>
              <w:pStyle w:val="TableContents"/>
              <w:bidi w:val="0"/>
              <w:spacing w:before="0" w:after="283"/>
              <w:jc w:val="left"/>
              <w:rPr/>
            </w:pPr>
            <w:r>
              <w:rPr/>
              <w:t> </w:t>
            </w:r>
          </w:p>
        </w:tc>
        <w:tc>
          <w:tcPr>
            <w:tcW w:w="88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one Class A ordinary share of GIG7, generating $200 million. GIG7 listed on Nasdaq under the symbol “GIG” and is currently looking for a suitable acquisition target.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foregoing examples, the past performance of the members of our management team or their affiliates, including with respect to GIG1, GIG2, GIG3, GIG4, GIG5 and GIG7, and their engagement in the TMT and other markets, is not a guarantee that we will be able to identify a suitable candidate for our initial 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 interested U.S. and foreign acquisition targets from extensive screening with previous GigCapital PPE platforms. Our management team’s expertise in data-driven identification, evaluation and engagement with potential targets will facilitate and efficient de-SPAC process. You should not rely on the historical record of the performance of our management or any of its affiliates’ performance, including GIG1, GIG2, GIG3, GIG4, and GIG5, as indicative of our future performance. Members of our management team and their affiliates are likely to form other Private-to-Public Equity (PPE) companies prior to the completion of our initial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management team’s knowledge, decades of experience and relationships across various industries can effect a positive transformation or augmentation of an existing business model through implementing proven business strategies within A&amp;D services, cybersecurity and secured communications and quantum-based command and control systems, and AI and ML. Our team is well positioned to originate attractive investment opportunities and has a history of executing various business transactions in multiple geographies and under varying economic and financial market conditions. </w:t>
      </w:r>
    </w:p>
    <w:p>
      <w:pPr>
        <w:pStyle w:val="TextBody"/>
        <w:bidi w:val="0"/>
        <w:spacing w:before="240" w:after="0"/>
        <w:jc w:val="left"/>
        <w:rPr>
          <w:rFonts w:ascii="Times New Roman" w:hAnsi="Times New Roman"/>
          <w:sz w:val="20"/>
        </w:rPr>
      </w:pPr>
      <w:r>
        <w:rPr>
          <w:rFonts w:ascii="Times New Roman" w:hAnsi="Times New Roman"/>
          <w:sz w:val="20"/>
        </w:rPr>
        <w:t xml:space="preserve">We have assembled a strong management team with a broad network of connections and corporate relationships across the A&amp;D, cybersecurity and secured communications and quantum-based command and control systems, and AI and ML industries. We are confident that we will be able to use our individual experiences as well as our networks to achieve success. Together, we will formulate an all-encompassing plan for growth, one that accounts for both organic expansion and expansion via mergers and acquisitions. In the end, we will attempt to transform our target company into a widely respected industry leader by leveraging the benefits of becoming a public company, including access to finance and equity for expansion. </w:t>
      </w:r>
    </w:p>
    <w:p>
      <w:pPr>
        <w:pStyle w:val="TextBody"/>
        <w:bidi w:val="0"/>
        <w:spacing w:before="240" w:after="0"/>
        <w:jc w:val="left"/>
        <w:rPr>
          <w:rFonts w:ascii="Times New Roman" w:hAnsi="Times New Roman"/>
          <w:sz w:val="20"/>
        </w:rPr>
      </w:pPr>
      <w:r>
        <w:rPr>
          <w:rFonts w:ascii="Times New Roman" w:hAnsi="Times New Roman"/>
          <w:sz w:val="20"/>
        </w:rPr>
        <w:t>Any experience or performance of our management team and their respective affiliates is not a guarantee of either (i) our ability to successfully identify and execute a transaction or (ii) success with respect to any business combination that we may consummate. You should not rely on the historical record of our management team or their respective affiliates as an assurance of the future performance of an investment in us or the returns we will, or are likely to, generate going forward. Moreover, although some of our key personnel may remain with a target business in senior management or advisory positions following a business combination, it is likely that some or all of the management of the target business will remain in place. Additionally, our management team members are subject to certain conflicts of interest</w:t>
      </w:r>
      <w:r>
        <w:rPr>
          <w:rFonts w:ascii="Times New Roman" w:hAnsi="Times New Roman"/>
          <w:b/>
          <w:sz w:val="20"/>
        </w:rPr>
        <w:t xml:space="preserve">. For more information, please refer to </w:t>
      </w:r>
      <w:r>
        <w:rPr>
          <w:rFonts w:ascii="Times New Roman" w:hAnsi="Times New Roman"/>
          <w:sz w:val="20"/>
        </w:rPr>
        <w:t>“</w:t>
      </w:r>
      <w:r>
        <w:rPr>
          <w:rFonts w:ascii="Times New Roman" w:hAnsi="Times New Roman"/>
          <w:b/>
          <w:i/>
          <w:sz w:val="20"/>
        </w:rPr>
        <w:t>Risk Factors</w:t>
      </w:r>
      <w:r>
        <w:rPr>
          <w:rFonts w:ascii="Times New Roman" w:hAnsi="Times New Roman"/>
          <w:sz w:val="20"/>
        </w:rPr>
        <w:t> — </w:t>
      </w:r>
      <w:r>
        <w:rPr>
          <w:rFonts w:ascii="Times New Roman" w:hAnsi="Times New Roman"/>
          <w:b/>
          <w:i/>
          <w:sz w:val="20"/>
        </w:rPr>
        <w:t>Risks Related to Management Team.”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b/>
          <w:sz w:val="20"/>
        </w:rPr>
        <w:t>Dr.</w:t>
      </w:r>
      <w:r>
        <w:rPr>
          <w:rFonts w:ascii="Times New Roman" w:hAnsi="Times New Roman"/>
          <w:sz w:val="20"/>
        </w:rPr>
        <w:t> </w:t>
      </w:r>
      <w:r>
        <w:rPr>
          <w:rFonts w:ascii="Times New Roman" w:hAnsi="Times New Roman"/>
          <w:b/>
          <w:sz w:val="20"/>
        </w:rPr>
        <w:t>Avi</w:t>
      </w:r>
      <w:r>
        <w:rPr>
          <w:rFonts w:ascii="Times New Roman" w:hAnsi="Times New Roman"/>
          <w:sz w:val="20"/>
        </w:rPr>
        <w:t> </w:t>
      </w:r>
      <w:r>
        <w:rPr>
          <w:rFonts w:ascii="Times New Roman" w:hAnsi="Times New Roman"/>
          <w:b/>
          <w:sz w:val="20"/>
        </w:rPr>
        <w:t>S. Katz</w:t>
      </w:r>
      <w:r>
        <w:rPr>
          <w:rFonts w:ascii="Times New Roman" w:hAnsi="Times New Roman"/>
          <w:sz w:val="20"/>
        </w:rPr>
        <w:t xml:space="preserve"> serves as our Chief Executive Officer and Chairman of the Board. Dr. Katz has served as the Chairman of the Board of QT 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reelection to the board of directors. Lightning eMotors went into receivership in December 2023, and as a result, the assets of Lightning eMotors were sold to GERCO LLC, a subsidiary of GILLIG, in February 2024.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 </w:t>
      </w:r>
    </w:p>
    <w:p>
      <w:pPr>
        <w:pStyle w:val="TextBody"/>
        <w:bidi w:val="0"/>
        <w:spacing w:before="240" w:after="0"/>
        <w:jc w:val="left"/>
        <w:rPr>
          <w:rFonts w:ascii="Times New Roman" w:hAnsi="Times New Roman"/>
          <w:sz w:val="20"/>
        </w:rPr>
      </w:pPr>
      <w:r>
        <w:rPr>
          <w:rFonts w:ascii="Times New Roman" w:hAnsi="Times New Roman"/>
          <w:b/>
          <w:sz w:val="20"/>
        </w:rPr>
        <w:t>Dr.</w:t>
      </w:r>
      <w:r>
        <w:rPr>
          <w:rFonts w:ascii="Times New Roman" w:hAnsi="Times New Roman"/>
          <w:sz w:val="20"/>
        </w:rPr>
        <w:t> </w:t>
      </w:r>
      <w:r>
        <w:rPr>
          <w:rFonts w:ascii="Times New Roman" w:hAnsi="Times New Roman"/>
          <w:b/>
          <w:sz w:val="20"/>
        </w:rPr>
        <w:t>Raluca Dinu</w:t>
      </w:r>
      <w:r>
        <w:rPr>
          <w:rFonts w:ascii="Times New Roman" w:hAnsi="Times New Roman"/>
          <w:sz w:val="20"/>
        </w:rPr>
        <w:t xml:space="preserve"> is our director. Dr. Dinu is the Chief Executive Officer, President, Secretary, serving in those roles since March 2024 and as a 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 </w:t>
      </w:r>
    </w:p>
    <w:p>
      <w:pPr>
        <w:pStyle w:val="TextBody"/>
        <w:bidi w:val="0"/>
        <w:spacing w:before="240" w:after="0"/>
        <w:jc w:val="left"/>
        <w:rPr>
          <w:rFonts w:ascii="Times New Roman" w:hAnsi="Times New Roman"/>
          <w:sz w:val="20"/>
        </w:rPr>
      </w:pPr>
      <w:r>
        <w:rPr>
          <w:rFonts w:ascii="Times New Roman" w:hAnsi="Times New Roman"/>
          <w:b/>
          <w:sz w:val="20"/>
        </w:rPr>
        <w:t>Christine M. Marshall</w:t>
      </w:r>
      <w:r>
        <w:rPr>
          <w:rFonts w:ascii="Times New Roman" w:hAnsi="Times New Roman"/>
          <w:sz w:val="20"/>
        </w:rPr>
        <w:t xml:space="preserve"> joined our company as Chief Financial Officer on June 30, 2025. Ms. Marshall is an accomplished finance leader with 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 </w:t>
      </w:r>
    </w:p>
    <w:p>
      <w:pPr>
        <w:pStyle w:val="TextBody"/>
        <w:bidi w:val="0"/>
        <w:spacing w:before="360" w:after="0"/>
        <w:jc w:val="left"/>
        <w:rPr>
          <w:rFonts w:ascii="Times New Roman" w:hAnsi="Times New Roman"/>
          <w:b/>
          <w:sz w:val="20"/>
        </w:rPr>
      </w:pPr>
      <w:r>
        <w:rPr>
          <w:rFonts w:ascii="Times New Roman" w:hAnsi="Times New Roman"/>
          <w:b/>
          <w:sz w:val="20"/>
        </w:rPr>
        <w:t xml:space="preserve">Nominees for our Board of Directors </w:t>
      </w:r>
    </w:p>
    <w:p>
      <w:pPr>
        <w:pStyle w:val="TextBody"/>
        <w:bidi w:val="0"/>
        <w:spacing w:before="120" w:after="0"/>
        <w:jc w:val="left"/>
        <w:rPr>
          <w:rFonts w:ascii="Times New Roman" w:hAnsi="Times New Roman"/>
          <w:sz w:val="20"/>
        </w:rPr>
      </w:pPr>
      <w:r>
        <w:rPr>
          <w:rFonts w:ascii="Times New Roman" w:hAnsi="Times New Roman"/>
          <w:b/>
          <w:sz w:val="20"/>
        </w:rPr>
        <w:t xml:space="preserve">Admiral (Ret.) David Ben-Bashat </w:t>
      </w:r>
      <w:r>
        <w:rPr>
          <w:rFonts w:ascii="Times New Roman" w:hAnsi="Times New Roman"/>
          <w:sz w:val="20"/>
        </w:rPr>
        <w:t xml:space="preserve">will serve as our independent director upon the completion of this offering. V. Admiral (Ret.) Ben-Bashat was 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 </w:t>
      </w:r>
    </w:p>
    <w:p>
      <w:pPr>
        <w:pStyle w:val="TextBody"/>
        <w:bidi w:val="0"/>
        <w:spacing w:before="240" w:after="0"/>
        <w:jc w:val="left"/>
        <w:rPr>
          <w:rFonts w:ascii="Times New Roman" w:hAnsi="Times New Roman"/>
          <w:sz w:val="20"/>
        </w:rPr>
      </w:pPr>
      <w:r>
        <w:rPr>
          <w:rFonts w:ascii="Times New Roman" w:hAnsi="Times New Roman"/>
          <w:b/>
          <w:sz w:val="20"/>
        </w:rPr>
        <w:t>Rear Admiral (Ret.) Omri Dagul</w:t>
      </w:r>
      <w:r>
        <w:rPr>
          <w:rFonts w:ascii="Times New Roman" w:hAnsi="Times New Roman"/>
          <w:sz w:val="20"/>
        </w:rPr>
        <w:t xml:space="preserve"> will serve as our independent director upon the completion of this offering. Over several decades, R. Admiral (Ret.)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of Materiel Command. R. Admiral (Ret.) Omri holds a B.Sc. in Mechanical Engineering from the Technion, Haifa, Israel and a M.Sc. in Naval Architecture and Marine Engineering from the University of Michigan. </w:t>
      </w:r>
    </w:p>
    <w:p>
      <w:pPr>
        <w:pStyle w:val="TextBody"/>
        <w:bidi w:val="0"/>
        <w:spacing w:before="240" w:after="0"/>
        <w:jc w:val="left"/>
        <w:rPr>
          <w:rFonts w:ascii="Times New Roman" w:hAnsi="Times New Roman"/>
          <w:sz w:val="20"/>
        </w:rPr>
      </w:pPr>
      <w:r>
        <w:rPr>
          <w:rFonts w:ascii="Times New Roman" w:hAnsi="Times New Roman"/>
          <w:b/>
          <w:sz w:val="20"/>
        </w:rPr>
        <w:t xml:space="preserve">Raanan I. Horowitz </w:t>
      </w:r>
      <w:r>
        <w:rPr>
          <w:rFonts w:ascii="Times New Roman" w:hAnsi="Times New Roman"/>
          <w:sz w:val="20"/>
        </w:rPr>
        <w:t xml:space="preserve">will serve as our independent director upon the completion of this offering. Mr. Horowitz currently serves on the Board of 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 </w:t>
      </w:r>
    </w:p>
    <w:p>
      <w:pPr>
        <w:pStyle w:val="TextBody"/>
        <w:bidi w:val="0"/>
        <w:spacing w:before="240" w:after="0"/>
        <w:jc w:val="left"/>
        <w:rPr>
          <w:rFonts w:ascii="Times New Roman" w:hAnsi="Times New Roman"/>
          <w:sz w:val="20"/>
        </w:rPr>
      </w:pPr>
      <w:r>
        <w:rPr>
          <w:rFonts w:ascii="Times New Roman" w:hAnsi="Times New Roman"/>
          <w:b/>
          <w:sz w:val="20"/>
        </w:rPr>
        <w:t>Ambassador Adrian Zuckerman</w:t>
      </w:r>
      <w:r>
        <w:rPr>
          <w:rFonts w:ascii="Times New Roman" w:hAnsi="Times New Roman"/>
          <w:sz w:val="20"/>
        </w:rPr>
        <w:t xml:space="preserve"> will serve as our independent director upon the completion of this offering. Ambassador Zuckerman was the 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 </w:t>
      </w:r>
    </w:p>
    <w:p>
      <w:pPr>
        <w:pStyle w:val="TextBody"/>
        <w:bidi w:val="0"/>
        <w:spacing w:before="240" w:after="0"/>
        <w:jc w:val="left"/>
        <w:rPr>
          <w:rFonts w:ascii="Times New Roman" w:hAnsi="Times New Roman"/>
          <w:sz w:val="20"/>
        </w:rPr>
      </w:pPr>
      <w:r>
        <w:rPr>
          <w:rFonts w:ascii="Times New Roman" w:hAnsi="Times New Roman"/>
          <w:b/>
          <w:sz w:val="20"/>
        </w:rPr>
        <w:t>Luis Machuca</w:t>
      </w:r>
      <w:r>
        <w:rPr>
          <w:rFonts w:ascii="Times New Roman" w:hAnsi="Times New Roman"/>
          <w:sz w:val="20"/>
        </w:rPr>
        <w:t xml:space="preserve"> will serve as our independent director upon the completion of this offering. He also serves as a director of UpHealth, Inc. (OTC 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Bryan Timm</w:t>
      </w:r>
      <w:r>
        <w:rPr>
          <w:rFonts w:ascii="Times New Roman" w:hAnsi="Times New Roman"/>
          <w:sz w:val="20"/>
        </w:rPr>
        <w:t xml:space="preserve"> will serve as our independent director upon the completion of this offering. Mr. Timm currently serves as a Board Advisor for Pape’ Group, a family company serving the West Coast with Kenworth,John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 </w:t>
      </w:r>
    </w:p>
    <w:p>
      <w:pPr>
        <w:pStyle w:val="TextBody"/>
        <w:bidi w:val="0"/>
        <w:spacing w:before="240" w:after="0"/>
        <w:jc w:val="left"/>
        <w:rPr>
          <w:rFonts w:ascii="Times New Roman" w:hAnsi="Times New Roman"/>
          <w:sz w:val="20"/>
        </w:rPr>
      </w:pPr>
      <w:r>
        <w:rPr>
          <w:rFonts w:ascii="Times New Roman" w:hAnsi="Times New Roman"/>
          <w:b/>
          <w:sz w:val="20"/>
        </w:rPr>
        <w:t>James Greene</w:t>
      </w:r>
      <w:r>
        <w:rPr>
          <w:rFonts w:ascii="Times New Roman" w:hAnsi="Times New Roman"/>
          <w:sz w:val="20"/>
        </w:rPr>
        <w:t xml:space="preserve"> will serve as our independent director upon completion of this offering. Mr. Greene served as a director of Umpqua Bank (Nasdaq: 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Criteria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our strategy, we have identified general criteria and guidelines that we believe are important in evaluating prospective acquisition target and, when evaluating a prospective acquisition target,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an acquisition target business that does not meet any or all of these criteria or guidelines: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Companies that embrace today’s digital transformation and intelligent automation.</w:t>
            </w:r>
            <w:r>
              <w:rPr>
                <w:rFonts w:ascii="Times New Roman" w:hAnsi="Times New Roman"/>
                <w:sz w:val="20"/>
              </w:rPr>
              <w:t xml:space="preserve"> We will seek acquisition candidates active in the A&amp;D services, cybersecurity and secured communications and quantum-based command and control systems, and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Companies that will benefit from a public listing.</w:t>
            </w:r>
            <w:r>
              <w:rPr>
                <w:rFonts w:ascii="Times New Roman" w:hAnsi="Times New Roman"/>
                <w:sz w:val="20"/>
              </w:rPr>
              <w:t xml:space="preserve"> We will focus on partners looking to move to the next level through a public business 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Companies that will benefit from our industry expertise and relationships.</w:t>
            </w:r>
            <w:r>
              <w:rPr>
                <w:rFonts w:ascii="Times New Roman" w:hAnsi="Times New Roman"/>
                <w:sz w:val="20"/>
              </w:rPr>
              <w:t xml:space="preserve"> We will seek companies that will be best positioned to leverage our industry expertise, international capabilities, global experience,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services, cybersecurity and secured communications and quantum-based command and control systems, and AI and ML. We will seek to identify such opportunities for value creation in evaluating potential business combinations. Our management also demonstrated the speed, certainty and efficiency in executing prior deals, which is highly desirable to quality business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Companies that are market-leading participants</w:t>
            </w:r>
            <w:r>
              <w:rPr>
                <w:rFonts w:ascii="Times New Roman" w:hAnsi="Times New Roman"/>
                <w:sz w:val="20"/>
              </w:rPr>
              <w:t xml:space="preserve">. We will seek an acquisition target that has an established business and market position. While we will focus on the aerospace and defense services, cybersecurity and secured communications and quantum-based command and control systems, and AI and ML, we will not seek a target that is pre-revenue or in early stages of development with unproven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Companies with strong management.</w:t>
            </w:r>
            <w:r>
              <w:rPr>
                <w:rFonts w:ascii="Times New Roman" w:hAnsi="Times New Roman"/>
                <w:sz w:val="20"/>
              </w:rPr>
              <w:t xml:space="preserve"> We will prioritize entities with well-established, proven and talented management teams that wish to 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w:t>
      </w:r>
    </w:p>
    <w:p>
      <w:pPr>
        <w:pStyle w:val="TextBody"/>
        <w:bidi w:val="0"/>
        <w:spacing w:before="360" w:after="0"/>
        <w:jc w:val="left"/>
        <w:rPr>
          <w:rFonts w:ascii="Times New Roman" w:hAnsi="Times New Roman"/>
          <w:b/>
          <w:sz w:val="20"/>
        </w:rPr>
      </w:pPr>
      <w:r>
        <w:rPr>
          <w:rFonts w:ascii="Times New Roman" w:hAnsi="Times New Roman"/>
          <w:b/>
          <w:sz w:val="20"/>
        </w:rPr>
        <w:t xml:space="preserve">Our Acquisition Process </w:t>
      </w:r>
    </w:p>
    <w:p>
      <w:pPr>
        <w:pStyle w:val="TextBody"/>
        <w:bidi w:val="0"/>
        <w:spacing w:before="120" w:after="0"/>
        <w:jc w:val="left"/>
        <w:rPr>
          <w:rFonts w:ascii="Times New Roman" w:hAnsi="Times New Roman"/>
          <w:sz w:val="20"/>
        </w:rPr>
      </w:pPr>
      <w:r>
        <w:rPr>
          <w:rFonts w:ascii="Times New Roman" w:hAnsi="Times New Roman"/>
          <w:sz w:val="20"/>
        </w:rPr>
        <w:t xml:space="preserve">We intend to partner with a late-stage growth and high-quality acquisition target where our management team can offer financial, operational, and executive mentoring in order to accelerate its growth and expansion, organically and strategically, from a privately held entity to a fast-growing publicly traded company. Our approach can be broken down into several phases: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Inception</w:t>
            </w:r>
            <w:r>
              <w:rPr>
                <w:rFonts w:ascii="Times New Roman" w:hAnsi="Times New Roman"/>
                <w:sz w:val="20"/>
              </w:rPr>
              <w:t xml:space="preserve">. This phase usually lasts up to approx. 2-3 months and entails incorporating a SPAC and bringing on a Private-to-Public (PPE) management team that includes A&amp;D experts, entrepreneurs and executive operators. During this phase, a blank check company also secures a sponsorship team composed of industry veterans in the A&amp;D sector, family offices, institutional buyers, private equity firms, and hedge funds. In launching an initial public offering, the SPAC management pays the most attention to forming an IPO book to ensure a solid balance of fundamental equity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Searching</w:t>
            </w:r>
            <w:r>
              <w:rPr>
                <w:rFonts w:ascii="Times New Roman" w:hAnsi="Times New Roman"/>
                <w:sz w:val="20"/>
              </w:rPr>
              <w:t xml:space="preserve">. The search for a financially viable acquisition target ready to become a public company may take approx. 6 to 12 months. Our search for a potential business combination will focus on the A&amp;D sector and other diversified verticals nationally and worldwide. In determining whether a company may become our initial business combination, we look at the acquisition target’s prospects as a public company, consider potential avenues for exit and financing, and if the company is supported by an entrepreneurial management team and technology-oriented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Engagement</w:t>
            </w:r>
            <w:r>
              <w:rPr>
                <w:rFonts w:ascii="Times New Roman" w:hAnsi="Times New Roman"/>
                <w:sz w:val="20"/>
              </w:rPr>
              <w:t xml:space="preserve">. The next step is negotiation and execution of a letter of intent. It may take approx. from 3 to 6 weeks, and approx. another 5 to 10 weeks are required to conduct due diligence review and sign a binding definitive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Closing</w:t>
            </w:r>
            <w:r>
              <w:rPr>
                <w:rFonts w:ascii="Times New Roman" w:hAnsi="Times New Roman"/>
                <w:sz w:val="20"/>
              </w:rPr>
              <w:t xml:space="preserve">. Following entry into the binding definitive agreement, the acquisition target must deliver audited financial statements as required to enable us to file all necessary SEC filings and obtain SEC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clearance of these filings in a process that may take approx. 3 to 6 months. During this phase, to the extent not yet done, we also need to secure financing through back-stop lenders or fundamental equity investors and ensure compliance with the minimum listing conditions (e.g., maintaining a market-cap, providing a required float and secure minimum round-lot shareholders), before closing a business combination. With the support of our investors, underwriters, legal counsel, accounting, investment and commercial banking firms, research analysts, investor and public relations and human resources firms, we create a “one-stop-shop” to ensure the successful path to becoming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Growth and Exit</w:t>
            </w:r>
            <w:r>
              <w:rPr>
                <w:rFonts w:ascii="Times New Roman" w:hAnsi="Times New Roman"/>
                <w:sz w:val="20"/>
              </w:rPr>
              <w:t xml:space="preserve">. The final phase may last approx. from 1 to 4 years, during which we invest our time and resources in expanding and growing the business. We actively participate in meetings of the board of directors and strategic advisory board, provide continuous financing and M&amp;A advisory support for growth, geographic expansion and consolidation, and prepare the business combination for de-SPAC.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Sponsor </w:t>
      </w:r>
    </w:p>
    <w:p>
      <w:pPr>
        <w:pStyle w:val="TextBody"/>
        <w:bidi w:val="0"/>
        <w:spacing w:before="120" w:after="0"/>
        <w:jc w:val="left"/>
        <w:rPr>
          <w:rFonts w:ascii="Times New Roman" w:hAnsi="Times New Roman"/>
          <w:sz w:val="20"/>
        </w:rPr>
      </w:pPr>
      <w:r>
        <w:rPr>
          <w:rFonts w:ascii="Times New Roman" w:hAnsi="Times New Roman"/>
          <w:sz w:val="20"/>
        </w:rPr>
        <w:t xml:space="preserve">Our sponsor, GigAcquisitions8 Corp., is a Cayman Islands exempted company. Although our sponsor is permitted to undertake any activities permitted under the Companies Act and other applicable law, our sponsor’s operations are focused on investing in our company. Our Chief Executive Officer, Avi S. Katz, and Dr. Raluca Dinu, our director, currently own 100% of the shares in the sponsor, and hold voting and investment discretion with respect to the securities held of record by the sponsor. Dr. Avi S. Katz and Dr. Raluca Dinu are sole directors of the sponsor. No other entity or person has a direct or indirect material interest in our sponsor.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payments to be received by our sponsor and its affiliates from us prior to or in connection with the completion of our initial business combination and the securities issued and to be issued by us to our sponsor or its affiliates: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6"/>
        <w:gridCol w:w="201"/>
        <w:gridCol w:w="4395"/>
        <w:gridCol w:w="201"/>
        <w:gridCol w:w="3712"/>
      </w:tblGrid>
      <w:tr>
        <w:trPr/>
        <w:tc>
          <w:tcPr>
            <w:tcW w:w="1696"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439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Entity/Individual</w:t>
            </w:r>
          </w:p>
        </w:tc>
        <w:tc>
          <w:tcPr>
            <w:tcW w:w="201" w:type="dxa"/>
            <w:tcBorders/>
            <w:vAlign w:val="bottom"/>
          </w:tcPr>
          <w:p>
            <w:pPr>
              <w:pStyle w:val="TableContents"/>
              <w:bidi w:val="0"/>
              <w:spacing w:before="0" w:after="283"/>
              <w:jc w:val="left"/>
              <w:rPr/>
            </w:pPr>
            <w:r>
              <w:rPr/>
              <w:t>  </w:t>
            </w:r>
          </w:p>
        </w:tc>
        <w:tc>
          <w:tcPr>
            <w:tcW w:w="43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to be Received or</w:t>
              <w:br/>
              <w:t>Securities Issued or to be Issued</w:t>
            </w:r>
          </w:p>
        </w:tc>
        <w:tc>
          <w:tcPr>
            <w:tcW w:w="201" w:type="dxa"/>
            <w:tcBorders/>
            <w:vAlign w:val="bottom"/>
          </w:tcPr>
          <w:p>
            <w:pPr>
              <w:pStyle w:val="TableContents"/>
              <w:bidi w:val="0"/>
              <w:spacing w:before="0" w:after="283"/>
              <w:jc w:val="left"/>
              <w:rPr/>
            </w:pPr>
            <w:r>
              <w:rPr/>
              <w:t>  </w:t>
            </w:r>
          </w:p>
        </w:tc>
        <w:tc>
          <w:tcPr>
            <w:tcW w:w="37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Consideration Paid or to be Paid</w:t>
            </w:r>
          </w:p>
        </w:tc>
      </w:tr>
      <w:tr>
        <w:trPr>
          <w:trHeight w:val="120" w:hRule="atLeast"/>
        </w:trPr>
        <w:tc>
          <w:tcPr>
            <w:tcW w:w="1696" w:type="dxa"/>
            <w:tcBorders/>
            <w:vAlign w:val="center"/>
          </w:tcPr>
          <w:p>
            <w:pPr>
              <w:pStyle w:val="TableContents"/>
              <w:bidi w:val="0"/>
              <w:spacing w:before="0" w:after="283"/>
              <w:jc w:val="left"/>
              <w:rPr>
                <w:sz w:val="4"/>
                <w:szCs w:val="4"/>
              </w:rPr>
            </w:pPr>
            <w:r>
              <w:rPr>
                <w:sz w:val="4"/>
                <w:szCs w:val="4"/>
              </w:rPr>
            </w:r>
          </w:p>
        </w:tc>
        <w:tc>
          <w:tcPr>
            <w:tcW w:w="4596" w:type="dxa"/>
            <w:gridSpan w:val="2"/>
            <w:tcBorders/>
            <w:vAlign w:val="center"/>
          </w:tcPr>
          <w:p>
            <w:pPr>
              <w:pStyle w:val="TableContents"/>
              <w:bidi w:val="0"/>
              <w:spacing w:before="0" w:after="283"/>
              <w:jc w:val="left"/>
              <w:rPr>
                <w:sz w:val="4"/>
                <w:szCs w:val="4"/>
              </w:rPr>
            </w:pPr>
            <w:r>
              <w:rPr>
                <w:sz w:val="4"/>
                <w:szCs w:val="4"/>
              </w:rPr>
            </w:r>
          </w:p>
        </w:tc>
        <w:tc>
          <w:tcPr>
            <w:tcW w:w="3913" w:type="dxa"/>
            <w:gridSpan w:val="2"/>
            <w:tcBorders/>
            <w:vAlign w:val="center"/>
          </w:tcPr>
          <w:p>
            <w:pPr>
              <w:pStyle w:val="TableContents"/>
              <w:bidi w:val="0"/>
              <w:spacing w:before="0" w:after="283"/>
              <w:jc w:val="left"/>
              <w:rPr>
                <w:sz w:val="4"/>
                <w:szCs w:val="4"/>
              </w:rPr>
            </w:pPr>
            <w:r>
              <w:rPr>
                <w:sz w:val="4"/>
                <w:szCs w:val="4"/>
              </w:rPr>
            </w:r>
          </w:p>
        </w:tc>
      </w:tr>
      <w:tr>
        <w:trPr/>
        <w:tc>
          <w:tcPr>
            <w:tcW w:w="1696" w:type="dxa"/>
            <w:tcBorders/>
          </w:tcPr>
          <w:p>
            <w:pPr>
              <w:pStyle w:val="TableContents"/>
              <w:bidi w:val="0"/>
              <w:spacing w:before="0" w:after="283"/>
              <w:jc w:val="left"/>
              <w:rPr/>
            </w:pPr>
            <w:r>
              <w:rPr/>
              <w:t>GigAcquisitions8 Corp.</w:t>
            </w:r>
          </w:p>
        </w:tc>
        <w:tc>
          <w:tcPr>
            <w:tcW w:w="201" w:type="dxa"/>
            <w:tcBorders/>
            <w:vAlign w:val="bottom"/>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$30,000 per month</w:t>
            </w:r>
          </w:p>
        </w:tc>
        <w:tc>
          <w:tcPr>
            <w:tcW w:w="201" w:type="dxa"/>
            <w:tcBorders/>
            <w:vAlign w:val="bottom"/>
          </w:tcPr>
          <w:p>
            <w:pPr>
              <w:pStyle w:val="TableContents"/>
              <w:bidi w:val="0"/>
              <w:spacing w:before="0" w:after="283"/>
              <w:jc w:val="left"/>
              <w:rPr/>
            </w:pPr>
            <w:r>
              <w:rPr/>
              <w:t>  </w:t>
            </w:r>
          </w:p>
        </w:tc>
        <w:tc>
          <w:tcPr>
            <w:tcW w:w="3712" w:type="dxa"/>
            <w:tcBorders/>
          </w:tcPr>
          <w:p>
            <w:pPr>
              <w:pStyle w:val="TableContents"/>
              <w:bidi w:val="0"/>
              <w:spacing w:before="0" w:after="283"/>
              <w:jc w:val="left"/>
              <w:rPr/>
            </w:pPr>
            <w:r>
              <w:rPr/>
              <w:t>Office space, administrative and shared personnel support services</w:t>
            </w:r>
          </w:p>
        </w:tc>
      </w:tr>
      <w:tr>
        <w:trPr>
          <w:trHeight w:val="120" w:hRule="atLeast"/>
        </w:trPr>
        <w:tc>
          <w:tcPr>
            <w:tcW w:w="1696" w:type="dxa"/>
            <w:tcBorders/>
            <w:vAlign w:val="center"/>
          </w:tcPr>
          <w:p>
            <w:pPr>
              <w:pStyle w:val="TableContents"/>
              <w:bidi w:val="0"/>
              <w:spacing w:before="0" w:after="283"/>
              <w:jc w:val="left"/>
              <w:rPr>
                <w:sz w:val="4"/>
                <w:szCs w:val="4"/>
              </w:rPr>
            </w:pPr>
            <w:r>
              <w:rPr>
                <w:sz w:val="4"/>
                <w:szCs w:val="4"/>
              </w:rPr>
            </w:r>
          </w:p>
        </w:tc>
        <w:tc>
          <w:tcPr>
            <w:tcW w:w="4596" w:type="dxa"/>
            <w:gridSpan w:val="2"/>
            <w:tcBorders/>
            <w:vAlign w:val="center"/>
          </w:tcPr>
          <w:p>
            <w:pPr>
              <w:pStyle w:val="TableContents"/>
              <w:bidi w:val="0"/>
              <w:spacing w:before="0" w:after="283"/>
              <w:jc w:val="left"/>
              <w:rPr>
                <w:sz w:val="4"/>
                <w:szCs w:val="4"/>
              </w:rPr>
            </w:pPr>
            <w:r>
              <w:rPr>
                <w:sz w:val="4"/>
                <w:szCs w:val="4"/>
              </w:rPr>
            </w:r>
          </w:p>
        </w:tc>
        <w:tc>
          <w:tcPr>
            <w:tcW w:w="3913" w:type="dxa"/>
            <w:gridSpan w:val="2"/>
            <w:tcBorders/>
            <w:vAlign w:val="center"/>
          </w:tcPr>
          <w:p>
            <w:pPr>
              <w:pStyle w:val="TableContents"/>
              <w:bidi w:val="0"/>
              <w:spacing w:before="0" w:after="283"/>
              <w:jc w:val="left"/>
              <w:rPr>
                <w:sz w:val="4"/>
                <w:szCs w:val="4"/>
              </w:rPr>
            </w:pPr>
            <w:r>
              <w:rPr>
                <w:sz w:val="4"/>
                <w:szCs w:val="4"/>
              </w:rPr>
            </w:r>
          </w:p>
        </w:tc>
      </w:tr>
      <w:tr>
        <w:trPr/>
        <w:tc>
          <w:tcPr>
            <w:tcW w:w="1696"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7,845,229 Class B ordinary shares, of which 1,023,943 Class B ordinary shares remain subject to forfeiture depending on the extent to which the underwriters’ over-allotment option is exercised during this offering. Our sponsor intends at the time of the consummation of this offering to sell 375,397 founder shares in the aggregate to Messrs. Greene, Machuca, Timm and Horowitz at an aggregate price of $9,244 and 1,416,665 founder shares to Lynrock at an aggregate price of $13,130, (and prior to the making of this offering transferred 5,000 founder shares to Christine Marshall, our Chief Financial Officer, solely in consideration of future services to us), thus reducing its holding to 6,053,167 founder shares</w:t>
            </w:r>
          </w:p>
        </w:tc>
        <w:tc>
          <w:tcPr>
            <w:tcW w:w="201" w:type="dxa"/>
            <w:tcBorders/>
            <w:vAlign w:val="bottom"/>
          </w:tcPr>
          <w:p>
            <w:pPr>
              <w:pStyle w:val="TableContents"/>
              <w:bidi w:val="0"/>
              <w:spacing w:before="0" w:after="283"/>
              <w:jc w:val="left"/>
              <w:rPr/>
            </w:pPr>
            <w:r>
              <w:rPr/>
              <w:t>  </w:t>
            </w:r>
          </w:p>
        </w:tc>
        <w:tc>
          <w:tcPr>
            <w:tcW w:w="3712" w:type="dxa"/>
            <w:tcBorders/>
          </w:tcPr>
          <w:p>
            <w:pPr>
              <w:pStyle w:val="TableContents"/>
              <w:bidi w:val="0"/>
              <w:spacing w:before="0" w:after="283"/>
              <w:jc w:val="left"/>
              <w:rPr/>
            </w:pPr>
            <w:r>
              <w:rPr/>
              <w:t>$25,000</w:t>
            </w:r>
          </w:p>
        </w:tc>
      </w:tr>
      <w:tr>
        <w:trPr>
          <w:trHeight w:val="120" w:hRule="atLeast"/>
        </w:trPr>
        <w:tc>
          <w:tcPr>
            <w:tcW w:w="1696" w:type="dxa"/>
            <w:tcBorders/>
            <w:vAlign w:val="center"/>
          </w:tcPr>
          <w:p>
            <w:pPr>
              <w:pStyle w:val="TableContents"/>
              <w:bidi w:val="0"/>
              <w:spacing w:before="0" w:after="283"/>
              <w:jc w:val="left"/>
              <w:rPr>
                <w:sz w:val="4"/>
                <w:szCs w:val="4"/>
              </w:rPr>
            </w:pPr>
            <w:r>
              <w:rPr>
                <w:sz w:val="4"/>
                <w:szCs w:val="4"/>
              </w:rPr>
            </w:r>
          </w:p>
        </w:tc>
        <w:tc>
          <w:tcPr>
            <w:tcW w:w="4596" w:type="dxa"/>
            <w:gridSpan w:val="2"/>
            <w:tcBorders/>
            <w:vAlign w:val="center"/>
          </w:tcPr>
          <w:p>
            <w:pPr>
              <w:pStyle w:val="TableContents"/>
              <w:bidi w:val="0"/>
              <w:spacing w:before="0" w:after="283"/>
              <w:jc w:val="left"/>
              <w:rPr>
                <w:sz w:val="4"/>
                <w:szCs w:val="4"/>
              </w:rPr>
            </w:pPr>
            <w:r>
              <w:rPr>
                <w:sz w:val="4"/>
                <w:szCs w:val="4"/>
              </w:rPr>
            </w:r>
          </w:p>
        </w:tc>
        <w:tc>
          <w:tcPr>
            <w:tcW w:w="3913" w:type="dxa"/>
            <w:gridSpan w:val="2"/>
            <w:tcBorders/>
            <w:vAlign w:val="center"/>
          </w:tcPr>
          <w:p>
            <w:pPr>
              <w:pStyle w:val="TableContents"/>
              <w:bidi w:val="0"/>
              <w:spacing w:before="0" w:after="283"/>
              <w:jc w:val="left"/>
              <w:rPr>
                <w:sz w:val="4"/>
                <w:szCs w:val="4"/>
              </w:rPr>
            </w:pPr>
            <w:r>
              <w:rPr>
                <w:sz w:val="4"/>
                <w:szCs w:val="4"/>
              </w:rPr>
            </w:r>
          </w:p>
        </w:tc>
      </w:tr>
      <w:tr>
        <w:trPr/>
        <w:tc>
          <w:tcPr>
            <w:tcW w:w="1696"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Up to $100,000 in loans</w:t>
            </w:r>
          </w:p>
        </w:tc>
        <w:tc>
          <w:tcPr>
            <w:tcW w:w="201" w:type="dxa"/>
            <w:tcBorders/>
            <w:vAlign w:val="bottom"/>
          </w:tcPr>
          <w:p>
            <w:pPr>
              <w:pStyle w:val="TableContents"/>
              <w:bidi w:val="0"/>
              <w:spacing w:before="0" w:after="283"/>
              <w:jc w:val="left"/>
              <w:rPr/>
            </w:pPr>
            <w:r>
              <w:rPr/>
              <w:t>  </w:t>
            </w:r>
          </w:p>
        </w:tc>
        <w:tc>
          <w:tcPr>
            <w:tcW w:w="3712" w:type="dxa"/>
            <w:tcBorders/>
          </w:tcPr>
          <w:p>
            <w:pPr>
              <w:pStyle w:val="TableContents"/>
              <w:bidi w:val="0"/>
              <w:spacing w:before="0" w:after="283"/>
              <w:jc w:val="left"/>
              <w:rPr/>
            </w:pPr>
            <w:r>
              <w:rPr/>
              <w:t>Repayment of loans made to us to cover offering related and organizational expenses</w:t>
            </w:r>
          </w:p>
        </w:tc>
      </w:tr>
      <w:tr>
        <w:trPr>
          <w:trHeight w:val="120" w:hRule="atLeast"/>
        </w:trPr>
        <w:tc>
          <w:tcPr>
            <w:tcW w:w="1696" w:type="dxa"/>
            <w:tcBorders/>
            <w:vAlign w:val="center"/>
          </w:tcPr>
          <w:p>
            <w:pPr>
              <w:pStyle w:val="TableContents"/>
              <w:bidi w:val="0"/>
              <w:spacing w:before="0" w:after="283"/>
              <w:jc w:val="left"/>
              <w:rPr>
                <w:sz w:val="4"/>
                <w:szCs w:val="4"/>
              </w:rPr>
            </w:pPr>
            <w:r>
              <w:rPr>
                <w:sz w:val="4"/>
                <w:szCs w:val="4"/>
              </w:rPr>
            </w:r>
          </w:p>
        </w:tc>
        <w:tc>
          <w:tcPr>
            <w:tcW w:w="4596" w:type="dxa"/>
            <w:gridSpan w:val="2"/>
            <w:tcBorders/>
            <w:vAlign w:val="center"/>
          </w:tcPr>
          <w:p>
            <w:pPr>
              <w:pStyle w:val="TableContents"/>
              <w:bidi w:val="0"/>
              <w:spacing w:before="0" w:after="283"/>
              <w:jc w:val="left"/>
              <w:rPr>
                <w:sz w:val="4"/>
                <w:szCs w:val="4"/>
              </w:rPr>
            </w:pPr>
            <w:r>
              <w:rPr>
                <w:sz w:val="4"/>
                <w:szCs w:val="4"/>
              </w:rPr>
            </w:r>
          </w:p>
        </w:tc>
        <w:tc>
          <w:tcPr>
            <w:tcW w:w="3913" w:type="dxa"/>
            <w:gridSpan w:val="2"/>
            <w:tcBorders/>
            <w:vAlign w:val="center"/>
          </w:tcPr>
          <w:p>
            <w:pPr>
              <w:pStyle w:val="TableContents"/>
              <w:bidi w:val="0"/>
              <w:spacing w:before="0" w:after="283"/>
              <w:jc w:val="left"/>
              <w:rPr>
                <w:sz w:val="4"/>
                <w:szCs w:val="4"/>
              </w:rPr>
            </w:pPr>
            <w:r>
              <w:rPr>
                <w:sz w:val="4"/>
                <w:szCs w:val="4"/>
              </w:rPr>
            </w:r>
          </w:p>
        </w:tc>
      </w:tr>
      <w:tr>
        <w:trPr/>
        <w:tc>
          <w:tcPr>
            <w:tcW w:w="1696"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Up to $1,500,000 in working capital loans, which loans may be convertible into private placement units at a price of $10.00 per unit at the option of the lender</w:t>
            </w:r>
          </w:p>
        </w:tc>
        <w:tc>
          <w:tcPr>
            <w:tcW w:w="201" w:type="dxa"/>
            <w:tcBorders/>
            <w:vAlign w:val="bottom"/>
          </w:tcPr>
          <w:p>
            <w:pPr>
              <w:pStyle w:val="TableContents"/>
              <w:bidi w:val="0"/>
              <w:spacing w:before="0" w:after="283"/>
              <w:jc w:val="left"/>
              <w:rPr/>
            </w:pPr>
            <w:r>
              <w:rPr/>
              <w:t>  </w:t>
            </w:r>
          </w:p>
        </w:tc>
        <w:tc>
          <w:tcPr>
            <w:tcW w:w="3712" w:type="dxa"/>
            <w:tcBorders/>
          </w:tcPr>
          <w:p>
            <w:pPr>
              <w:pStyle w:val="TableContents"/>
              <w:bidi w:val="0"/>
              <w:spacing w:before="0" w:after="283"/>
              <w:jc w:val="left"/>
              <w:rPr/>
            </w:pPr>
            <w:r>
              <w:rPr/>
              <w:t>Working capital loans to finance transaction costs in connection with an initial business combination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691"/>
        <w:gridCol w:w="202"/>
        <w:gridCol w:w="4402"/>
        <w:gridCol w:w="202"/>
        <w:gridCol w:w="3708"/>
      </w:tblGrid>
      <w:tr>
        <w:trPr/>
        <w:tc>
          <w:tcPr>
            <w:tcW w:w="169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40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16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Entity/Individual</w:t>
            </w:r>
          </w:p>
        </w:tc>
        <w:tc>
          <w:tcPr>
            <w:tcW w:w="202" w:type="dxa"/>
            <w:tcBorders/>
            <w:vAlign w:val="bottom"/>
          </w:tcPr>
          <w:p>
            <w:pPr>
              <w:pStyle w:val="TableContents"/>
              <w:bidi w:val="0"/>
              <w:spacing w:before="0" w:after="283"/>
              <w:jc w:val="left"/>
              <w:rPr/>
            </w:pPr>
            <w:r>
              <w:rPr/>
              <w:t>  </w:t>
            </w:r>
          </w:p>
        </w:tc>
        <w:tc>
          <w:tcPr>
            <w:tcW w:w="44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to be Received or</w:t>
              <w:br/>
              <w:t>Securities Issued or to be Issued</w:t>
            </w:r>
          </w:p>
        </w:tc>
        <w:tc>
          <w:tcPr>
            <w:tcW w:w="202" w:type="dxa"/>
            <w:tcBorders/>
            <w:vAlign w:val="bottom"/>
          </w:tcPr>
          <w:p>
            <w:pPr>
              <w:pStyle w:val="TableContents"/>
              <w:bidi w:val="0"/>
              <w:spacing w:before="0" w:after="283"/>
              <w:jc w:val="left"/>
              <w:rPr/>
            </w:pPr>
            <w:r>
              <w:rPr/>
              <w:t>  </w:t>
            </w:r>
          </w:p>
        </w:tc>
        <w:tc>
          <w:tcPr>
            <w:tcW w:w="37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Consideration Paid or to be Paid</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c>
          <w:tcPr>
            <w:tcW w:w="3910"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283"/>
              <w:jc w:val="left"/>
              <w:rPr/>
            </w:pPr>
            <w:r>
              <w:rPr/>
              <w:t>Reimbursement for any out-of-pocket expenses related to identifying, investigating and completing an initial business combination</w:t>
            </w:r>
          </w:p>
        </w:tc>
        <w:tc>
          <w:tcPr>
            <w:tcW w:w="202" w:type="dxa"/>
            <w:tcBorders/>
            <w:vAlign w:val="bottom"/>
          </w:tcPr>
          <w:p>
            <w:pPr>
              <w:pStyle w:val="TableContents"/>
              <w:bidi w:val="0"/>
              <w:spacing w:before="0" w:after="283"/>
              <w:jc w:val="left"/>
              <w:rPr/>
            </w:pPr>
            <w:r>
              <w:rPr/>
              <w:t>  </w:t>
            </w:r>
          </w:p>
        </w:tc>
        <w:tc>
          <w:tcPr>
            <w:tcW w:w="3708" w:type="dxa"/>
            <w:tcBorders/>
          </w:tcPr>
          <w:p>
            <w:pPr>
              <w:pStyle w:val="TableContents"/>
              <w:bidi w:val="0"/>
              <w:spacing w:before="0" w:after="283"/>
              <w:jc w:val="left"/>
              <w:rPr/>
            </w:pPr>
            <w:r>
              <w:rPr/>
              <w:t>Services in connection with identifying, investigating and completing an initial business combination</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c>
          <w:tcPr>
            <w:tcW w:w="3910"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GigAcquisitions8 Corp. and certain directors (Messrs. Greene, Machuca, Timm and Horowitz)</w:t>
            </w:r>
          </w:p>
        </w:tc>
        <w:tc>
          <w:tcPr>
            <w:tcW w:w="202"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283"/>
              <w:jc w:val="left"/>
              <w:rPr/>
            </w:pPr>
            <w:r>
              <w:rPr/>
              <w:t>45,200 private placement units to be purchased simultaneously with the closing of this offering (including if the underwriters’ over-allotment option is exercised in full)</w:t>
            </w:r>
          </w:p>
        </w:tc>
        <w:tc>
          <w:tcPr>
            <w:tcW w:w="202" w:type="dxa"/>
            <w:tcBorders/>
            <w:vAlign w:val="bottom"/>
          </w:tcPr>
          <w:p>
            <w:pPr>
              <w:pStyle w:val="TableContents"/>
              <w:bidi w:val="0"/>
              <w:spacing w:before="0" w:after="283"/>
              <w:jc w:val="left"/>
              <w:rPr/>
            </w:pPr>
            <w:r>
              <w:rPr/>
              <w:t>  </w:t>
            </w:r>
          </w:p>
        </w:tc>
        <w:tc>
          <w:tcPr>
            <w:tcW w:w="3708" w:type="dxa"/>
            <w:tcBorders/>
          </w:tcPr>
          <w:p>
            <w:pPr>
              <w:pStyle w:val="TableContents"/>
              <w:bidi w:val="0"/>
              <w:spacing w:before="0" w:after="283"/>
              <w:jc w:val="left"/>
              <w:rPr/>
            </w:pPr>
            <w:r>
              <w:rPr/>
              <w:t>$440,130.48</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c>
          <w:tcPr>
            <w:tcW w:w="3910"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Holders of Class B ordinary shares</w:t>
            </w:r>
          </w:p>
        </w:tc>
        <w:tc>
          <w:tcPr>
            <w:tcW w:w="202"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283"/>
              <w:jc w:val="left"/>
              <w:rPr/>
            </w:pPr>
            <w:r>
              <w:rPr/>
              <w:t>Anti-dilution protection upon conversion into Class A ordinary shares at a greater than one-to-one ratio</w:t>
            </w:r>
          </w:p>
        </w:tc>
        <w:tc>
          <w:tcPr>
            <w:tcW w:w="202" w:type="dxa"/>
            <w:tcBorders/>
            <w:vAlign w:val="bottom"/>
          </w:tcPr>
          <w:p>
            <w:pPr>
              <w:pStyle w:val="TableContents"/>
              <w:bidi w:val="0"/>
              <w:spacing w:before="0" w:after="283"/>
              <w:jc w:val="left"/>
              <w:rPr/>
            </w:pPr>
            <w:r>
              <w:rPr/>
              <w:t>  </w:t>
            </w:r>
          </w:p>
        </w:tc>
        <w:tc>
          <w:tcPr>
            <w:tcW w:w="3708" w:type="dxa"/>
            <w:tcBorders/>
          </w:tcPr>
          <w:p>
            <w:pPr>
              <w:pStyle w:val="TableContents"/>
              <w:bidi w:val="0"/>
              <w:spacing w:before="0" w:after="283"/>
              <w:jc w:val="left"/>
              <w:rPr/>
            </w:pPr>
            <w:r>
              <w:rPr/>
              <w:t>Issuance of the Class A ordinary shares issuable in connection with the conversion of the founder shares on a greater than one-to-one basis upon conversion</w:t>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c>
          <w:tcPr>
            <w:tcW w:w="3910"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GigAcquisitions8 Corp, our officers, directors, or our or their affiliates</w:t>
            </w:r>
          </w:p>
        </w:tc>
        <w:tc>
          <w:tcPr>
            <w:tcW w:w="202" w:type="dxa"/>
            <w:tcBorders/>
            <w:vAlign w:val="bottom"/>
          </w:tcPr>
          <w:p>
            <w:pPr>
              <w:pStyle w:val="TableContents"/>
              <w:bidi w:val="0"/>
              <w:spacing w:before="0" w:after="283"/>
              <w:jc w:val="left"/>
              <w:rPr/>
            </w:pPr>
            <w:r>
              <w:rPr/>
              <w:t>  </w:t>
            </w:r>
          </w:p>
        </w:tc>
        <w:tc>
          <w:tcPr>
            <w:tcW w:w="4402" w:type="dxa"/>
            <w:tcBorders/>
          </w:tcPr>
          <w:p>
            <w:pPr>
              <w:pStyle w:val="TableContents"/>
              <w:bidi w:val="0"/>
              <w:spacing w:before="0" w:after="283"/>
              <w:jc w:val="left"/>
              <w:rPr/>
            </w:pPr>
            <w:r>
              <w:rPr/>
              <w:t>Finder’s fees, advisory fees, consulting fees, success fees</w:t>
            </w:r>
          </w:p>
        </w:tc>
        <w:tc>
          <w:tcPr>
            <w:tcW w:w="202" w:type="dxa"/>
            <w:tcBorders/>
            <w:vAlign w:val="bottom"/>
          </w:tcPr>
          <w:p>
            <w:pPr>
              <w:pStyle w:val="TableContents"/>
              <w:bidi w:val="0"/>
              <w:spacing w:before="0" w:after="283"/>
              <w:jc w:val="left"/>
              <w:rPr/>
            </w:pPr>
            <w:r>
              <w:rPr/>
              <w:t>  </w:t>
            </w:r>
          </w:p>
        </w:tc>
        <w:tc>
          <w:tcPr>
            <w:tcW w:w="3708" w:type="dxa"/>
            <w:tcBorders/>
          </w:tcPr>
          <w:p>
            <w:pPr>
              <w:pStyle w:val="TableContents"/>
              <w:bidi w:val="0"/>
              <w:spacing w:before="0" w:after="0"/>
              <w:jc w:val="left"/>
              <w:rPr>
                <w:rFonts w:ascii="Times New Roman" w:hAnsi="Times New Roman"/>
                <w:sz w:val="20"/>
              </w:rPr>
            </w:pPr>
            <w:r>
              <w:rPr>
                <w:rFonts w:ascii="Times New Roman" w:hAnsi="Times New Roman"/>
                <w:sz w:val="20"/>
              </w:rPr>
              <w:t>Any services in order to effectuate the completion of our initial business combination, which, if payments are made in connection with such services prior to the completion of our initial business combination, will be paid from funds held outside the trust account. No agreements have been signed as of the date of this prospectus.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may engage our sponsor or an affiliate of our sponsor as an advisor or otherwise in connection with our initial business combination and certain other transactions and pay such person or entity a salary or fee in an amount that constitutes a market standard for comparable transactions. No agreements have been signed as of the date of this prospectus.</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our sponsor acquired the founder shares at a nominal price of $0.000434 per Class B ordinary share, four of our directors will purchase founder shares from the sponsor at the time of this offering for $0.02462 per share, Lynrock will acquire founder shares from our sponsor at the time of this offering at a nominal purchase price of $0.00927 per share, and the non-managing investors acquired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one-to-one basis upon conversion. In addition, because our sponsor and the non-managing investors acquired the private placement units, including the private placement shares, at a price of $9.7374 per private placement unit that is less than the amount paid by out public shareholders for the public units which we are selling in this offering, our public shareholders will incur an immediate and substantial dilution upon the closing of this offering. Additionally, our public shareholders may experience dilution from the conversion of the 337,675 private placement rights that form a part of the private placement units into 67,525 Class A ordinary shares (or up to 357,625 private placement rights converting into 71,525 Class A ordinary shares if the underwriters’ over-allotment option is exercised in full) to be purchased in the private placement simultaneously with the closing of this offering. Further, our public shareholders may experience material dilution if the $1,500,000 in working capital loans is fully advanced by the sponsor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sponsor elects to convert the working capital loans into private placement units at $10.00 per unit, resulting in the sponsor receiving an additional 150,000 private placement units. </w:t>
      </w:r>
      <w:r>
        <w:rPr>
          <w:rFonts w:ascii="Times New Roman" w:hAnsi="Times New Roman"/>
          <w:b/>
          <w:sz w:val="20"/>
        </w:rPr>
        <w:t>See the sections titled</w:t>
      </w:r>
      <w:r>
        <w:rPr>
          <w:rFonts w:ascii="Times New Roman" w:hAnsi="Times New Roman"/>
          <w:sz w:val="20"/>
        </w:rPr>
        <w:t xml:space="preserve"> “</w:t>
      </w:r>
      <w:r>
        <w:rPr>
          <w:rFonts w:ascii="Times New Roman" w:hAnsi="Times New Roman"/>
          <w:b/>
          <w:i/>
          <w:sz w:val="20"/>
        </w:rPr>
        <w:t>Risk Factors</w:t>
      </w:r>
      <w:r>
        <w:rPr>
          <w:rFonts w:ascii="Times New Roman" w:hAnsi="Times New Roman"/>
          <w:sz w:val="20"/>
        </w:rPr>
        <w:t> — </w:t>
      </w:r>
      <w:r>
        <w:rPr>
          <w:rFonts w:ascii="Times New Roman" w:hAnsi="Times New Roman"/>
          <w:b/>
          <w:i/>
          <w:sz w:val="20"/>
        </w:rPr>
        <w:t>Risks Relating to our Securities</w:t>
      </w:r>
      <w:r>
        <w:rPr>
          <w:rFonts w:ascii="Times New Roman" w:hAnsi="Times New Roman"/>
          <w:sz w:val="20"/>
        </w:rPr>
        <w:t> — </w:t>
      </w:r>
      <w:r>
        <w:rPr>
          <w:rFonts w:ascii="Times New Roman" w:hAnsi="Times New Roman"/>
          <w:b/>
          <w:i/>
          <w:sz w:val="20"/>
        </w:rPr>
        <w:t>The nominal purchase price paid by our insiders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hAnsi="Times New Roman"/>
          <w:sz w:val="20"/>
        </w:rPr>
        <w:t xml:space="preserve"> </w:t>
      </w:r>
      <w:r>
        <w:rPr>
          <w:rFonts w:ascii="Times New Roman" w:hAnsi="Times New Roman"/>
          <w:b/>
          <w:sz w:val="20"/>
        </w:rPr>
        <w:t>and “</w:t>
      </w:r>
      <w:r>
        <w:rPr>
          <w:rFonts w:ascii="Times New Roman" w:hAnsi="Times New Roman"/>
          <w:b/>
          <w:i/>
          <w:sz w:val="20"/>
        </w:rPr>
        <w:t>Dilution</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and private investor shares will automatically convert into Class A ordinary shares concurrently with or immediately following the consummation of our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issued in this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 </w:t>
      </w:r>
      <w:r>
        <w:rPr>
          <w:rFonts w:ascii="Times New Roman" w:hAnsi="Times New Roman"/>
          <w:b/>
          <w:sz w:val="20"/>
        </w:rPr>
        <w:t>See the section titled “</w:t>
      </w:r>
      <w:r>
        <w:rPr>
          <w:rFonts w:ascii="Times New Roman" w:hAnsi="Times New Roman"/>
          <w:b/>
          <w:i/>
          <w:sz w:val="20"/>
        </w:rPr>
        <w:t>Summary</w:t>
      </w:r>
      <w:r>
        <w:rPr>
          <w:rFonts w:ascii="Times New Roman" w:hAnsi="Times New Roman"/>
          <w:sz w:val="20"/>
        </w:rPr>
        <w:t xml:space="preserve"> — </w:t>
      </w:r>
      <w:r>
        <w:rPr>
          <w:rFonts w:ascii="Times New Roman" w:hAnsi="Times New Roman"/>
          <w:b/>
          <w:i/>
          <w:sz w:val="20"/>
        </w:rPr>
        <w:t>The Offering —Conversion of founder shares and private investor shares and anti-dilution rights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we raise additional funds through equity or convertible debt issuances, our public shareholders may suffer significant dilution. This dilution would increase to the extent that the anti-dilution provision of the founder shares and private investor shares result in the issuance of Class A ordinary shares on a greater than one-for-one basis upon conversion of the founder shares and private investor shares at the time of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a letter agreement entered into with us, each of our sponsor, directors and officers has agreed to restrictions on its ability to transfer, assign, or sell the founder shares and private placement units, as summarized in the table below. In addition, the non-managing investors have agreed to substantially the same certain transfer restrictions with respect to the private placement units and private investor shares held by them, as summarized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84"/>
        <w:gridCol w:w="201"/>
        <w:gridCol w:w="2827"/>
        <w:gridCol w:w="201"/>
        <w:gridCol w:w="2884"/>
        <w:gridCol w:w="120"/>
        <w:gridCol w:w="2488"/>
      </w:tblGrid>
      <w:tr>
        <w:trPr/>
        <w:tc>
          <w:tcPr>
            <w:tcW w:w="1484"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14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201" w:type="dxa"/>
            <w:tcBorders/>
            <w:vAlign w:val="bottom"/>
          </w:tcPr>
          <w:p>
            <w:pPr>
              <w:pStyle w:val="TableContents"/>
              <w:bidi w:val="0"/>
              <w:spacing w:before="0" w:after="283"/>
              <w:jc w:val="left"/>
              <w:rPr/>
            </w:pPr>
            <w:r>
              <w:rPr/>
              <w:t>  </w:t>
            </w:r>
          </w:p>
        </w:tc>
        <w:tc>
          <w:tcPr>
            <w:tcW w:w="28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201" w:type="dxa"/>
            <w:tcBorders/>
            <w:vAlign w:val="bottom"/>
          </w:tcPr>
          <w:p>
            <w:pPr>
              <w:pStyle w:val="TableContents"/>
              <w:bidi w:val="0"/>
              <w:spacing w:before="0" w:after="283"/>
              <w:jc w:val="left"/>
              <w:rPr/>
            </w:pPr>
            <w:r>
              <w:rPr/>
              <w:t>  </w:t>
            </w:r>
          </w:p>
        </w:tc>
        <w:tc>
          <w:tcPr>
            <w:tcW w:w="28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0" w:type="dxa"/>
            <w:tcBorders/>
            <w:vAlign w:val="bottom"/>
          </w:tcPr>
          <w:p>
            <w:pPr>
              <w:pStyle w:val="TableContents"/>
              <w:bidi w:val="0"/>
              <w:spacing w:before="0" w:after="283"/>
              <w:jc w:val="left"/>
              <w:rPr/>
            </w:pPr>
            <w:r>
              <w:rPr/>
              <w:t>  </w:t>
            </w:r>
          </w:p>
        </w:tc>
        <w:tc>
          <w:tcPr>
            <w:tcW w:w="24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484" w:type="dxa"/>
            <w:tcBorders/>
          </w:tcPr>
          <w:p>
            <w:pPr>
              <w:pStyle w:val="TableContents"/>
              <w:bidi w:val="0"/>
              <w:spacing w:before="0" w:after="283"/>
              <w:jc w:val="left"/>
              <w:rPr/>
            </w:pPr>
            <w:r>
              <w:rPr/>
              <w:t>Founder shares</w:t>
            </w:r>
          </w:p>
        </w:tc>
        <w:tc>
          <w:tcPr>
            <w:tcW w:w="201" w:type="dxa"/>
            <w:tcBorders/>
            <w:vAlign w:val="bottom"/>
          </w:tcPr>
          <w:p>
            <w:pPr>
              <w:pStyle w:val="TableContents"/>
              <w:bidi w:val="0"/>
              <w:spacing w:before="0" w:after="283"/>
              <w:jc w:val="left"/>
              <w:rPr/>
            </w:pPr>
            <w:r>
              <w:rPr/>
              <w:t>  </w:t>
            </w:r>
          </w:p>
        </w:tc>
        <w:tc>
          <w:tcPr>
            <w:tcW w:w="2827" w:type="dxa"/>
            <w:tcBorders/>
          </w:tcPr>
          <w:p>
            <w:pPr>
              <w:pStyle w:val="TableContents"/>
              <w:bidi w:val="0"/>
              <w:spacing w:before="0" w:after="283"/>
              <w:jc w:val="left"/>
              <w:rPr/>
            </w:pPr>
            <w:r>
              <w:rPr/>
              <w:t>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w:t>
            </w:r>
          </w:p>
        </w:tc>
        <w:tc>
          <w:tcPr>
            <w:tcW w:w="201" w:type="dxa"/>
            <w:tcBorders/>
            <w:vAlign w:val="bottom"/>
          </w:tcPr>
          <w:p>
            <w:pPr>
              <w:pStyle w:val="TableContents"/>
              <w:bidi w:val="0"/>
              <w:spacing w:before="0" w:after="283"/>
              <w:jc w:val="left"/>
              <w:rPr/>
            </w:pPr>
            <w:r>
              <w:rPr/>
              <w:t>  </w:t>
            </w:r>
          </w:p>
        </w:tc>
        <w:tc>
          <w:tcPr>
            <w:tcW w:w="2884" w:type="dxa"/>
            <w:tcBorders/>
          </w:tcPr>
          <w:p>
            <w:pPr>
              <w:pStyle w:val="TableContents"/>
              <w:bidi w:val="0"/>
              <w:spacing w:before="0" w:after="0"/>
              <w:jc w:val="left"/>
              <w:rPr>
                <w:rFonts w:ascii="Times New Roman" w:hAnsi="Times New Roman"/>
                <w:sz w:val="20"/>
              </w:rPr>
            </w:pPr>
            <w:r>
              <w:rPr>
                <w:rFonts w:ascii="Times New Roman" w:hAnsi="Times New Roman"/>
                <w:sz w:val="20"/>
              </w:rPr>
              <w:t>GigAcquisitions8 Corp.</w:t>
            </w:r>
          </w:p>
          <w:p>
            <w:pPr>
              <w:pStyle w:val="TableContents"/>
              <w:bidi w:val="0"/>
              <w:spacing w:before="0" w:after="0"/>
              <w:jc w:val="left"/>
              <w:rPr>
                <w:rFonts w:ascii="Times New Roman" w:hAnsi="Times New Roman"/>
                <w:sz w:val="20"/>
              </w:rPr>
            </w:pPr>
            <w:r>
              <w:rPr>
                <w:rFonts w:ascii="Times New Roman" w:hAnsi="Times New Roman"/>
                <w:sz w:val="20"/>
              </w:rPr>
              <w:t>Dr. Avi S. Katz</w:t>
            </w:r>
          </w:p>
          <w:p>
            <w:pPr>
              <w:pStyle w:val="TableContents"/>
              <w:bidi w:val="0"/>
              <w:spacing w:before="0" w:after="0"/>
              <w:jc w:val="left"/>
              <w:rPr>
                <w:rFonts w:ascii="Times New Roman" w:hAnsi="Times New Roman"/>
                <w:sz w:val="20"/>
              </w:rPr>
            </w:pPr>
            <w:r>
              <w:rPr>
                <w:rFonts w:ascii="Times New Roman" w:hAnsi="Times New Roman"/>
                <w:sz w:val="20"/>
              </w:rPr>
              <w:t>Dr. Raluca Dinu</w:t>
            </w:r>
          </w:p>
          <w:p>
            <w:pPr>
              <w:pStyle w:val="TableContents"/>
              <w:bidi w:val="0"/>
              <w:spacing w:before="0" w:after="0"/>
              <w:jc w:val="left"/>
              <w:rPr>
                <w:rFonts w:ascii="Times New Roman" w:hAnsi="Times New Roman"/>
                <w:sz w:val="20"/>
              </w:rPr>
            </w:pPr>
            <w:r>
              <w:rPr>
                <w:rFonts w:ascii="Times New Roman" w:hAnsi="Times New Roman"/>
                <w:sz w:val="20"/>
              </w:rPr>
              <w:t>Christine M Marshall</w:t>
            </w:r>
          </w:p>
          <w:p>
            <w:pPr>
              <w:pStyle w:val="TableContents"/>
              <w:bidi w:val="0"/>
              <w:spacing w:before="0" w:after="0"/>
              <w:jc w:val="left"/>
              <w:rPr>
                <w:rFonts w:ascii="Times New Roman" w:hAnsi="Times New Roman"/>
                <w:sz w:val="20"/>
              </w:rPr>
            </w:pPr>
            <w:r>
              <w:rPr>
                <w:rFonts w:ascii="Times New Roman" w:hAnsi="Times New Roman"/>
                <w:sz w:val="20"/>
              </w:rPr>
              <w:t>Admiral (Ret.) David Ben-Bashat</w:t>
            </w:r>
          </w:p>
          <w:p>
            <w:pPr>
              <w:pStyle w:val="TableContents"/>
              <w:bidi w:val="0"/>
              <w:spacing w:before="0" w:after="0"/>
              <w:jc w:val="left"/>
              <w:rPr>
                <w:rFonts w:ascii="Times New Roman" w:hAnsi="Times New Roman"/>
                <w:sz w:val="20"/>
              </w:rPr>
            </w:pPr>
            <w:r>
              <w:rPr>
                <w:rFonts w:ascii="Times New Roman" w:hAnsi="Times New Roman"/>
                <w:sz w:val="20"/>
              </w:rPr>
              <w:t>Rear Admiral (Ret.) Omri Dagul</w:t>
            </w:r>
          </w:p>
          <w:p>
            <w:pPr>
              <w:pStyle w:val="TableContents"/>
              <w:bidi w:val="0"/>
              <w:spacing w:before="0" w:after="0"/>
              <w:jc w:val="left"/>
              <w:rPr>
                <w:rFonts w:ascii="Times New Roman" w:hAnsi="Times New Roman"/>
                <w:sz w:val="20"/>
              </w:rPr>
            </w:pPr>
            <w:r>
              <w:rPr>
                <w:rFonts w:ascii="Times New Roman" w:hAnsi="Times New Roman"/>
                <w:sz w:val="20"/>
              </w:rPr>
              <w:t>Raanan I. Horowitz</w:t>
            </w:r>
          </w:p>
          <w:p>
            <w:pPr>
              <w:pStyle w:val="TableContents"/>
              <w:bidi w:val="0"/>
              <w:spacing w:before="0" w:after="20"/>
              <w:jc w:val="left"/>
              <w:rPr>
                <w:rFonts w:ascii="Times New Roman" w:hAnsi="Times New Roman"/>
                <w:sz w:val="20"/>
              </w:rPr>
            </w:pPr>
            <w:r>
              <w:rPr>
                <w:rFonts w:ascii="Times New Roman" w:hAnsi="Times New Roman"/>
                <w:sz w:val="20"/>
              </w:rPr>
              <w:t>Ambassador Adrian Zuckerman</w:t>
            </w:r>
          </w:p>
        </w:tc>
        <w:tc>
          <w:tcPr>
            <w:tcW w:w="120" w:type="dxa"/>
            <w:tcBorders/>
            <w:vAlign w:val="bottom"/>
          </w:tcPr>
          <w:p>
            <w:pPr>
              <w:pStyle w:val="TableContents"/>
              <w:bidi w:val="0"/>
              <w:spacing w:before="0" w:after="283"/>
              <w:jc w:val="left"/>
              <w:rPr/>
            </w:pPr>
            <w:r>
              <w:rPr/>
              <w:t>  </w:t>
            </w:r>
          </w:p>
        </w:tc>
        <w:tc>
          <w:tcPr>
            <w:tcW w:w="2488" w:type="dxa"/>
            <w:tcBorders/>
          </w:tcPr>
          <w:p>
            <w:pPr>
              <w:pStyle w:val="TableContents"/>
              <w:bidi w:val="0"/>
              <w:spacing w:before="0" w:after="283"/>
              <w:jc w:val="left"/>
              <w:rPr/>
            </w:pPr>
            <w:r>
              <w:rPr/>
              <w:t>Transfers permitted (1) amongst such holders and their affiliates, to our executive officers or directors, or to any affiliate or family member of any of our executive officers or directors, (2) in the case of an entity, as a distribution to its partners, shareholders or members upon its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75"/>
        <w:gridCol w:w="199"/>
        <w:gridCol w:w="2815"/>
        <w:gridCol w:w="199"/>
        <w:gridCol w:w="2857"/>
        <w:gridCol w:w="120"/>
        <w:gridCol w:w="2540"/>
      </w:tblGrid>
      <w:tr>
        <w:trPr/>
        <w:tc>
          <w:tcPr>
            <w:tcW w:w="147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199" w:type="dxa"/>
            <w:tcBorders/>
            <w:vAlign w:val="bottom"/>
          </w:tcPr>
          <w:p>
            <w:pPr>
              <w:pStyle w:val="TableContents"/>
              <w:bidi w:val="0"/>
              <w:spacing w:before="0" w:after="283"/>
              <w:jc w:val="left"/>
              <w:rPr/>
            </w:pPr>
            <w:r>
              <w:rPr/>
              <w:t>  </w:t>
            </w:r>
          </w:p>
        </w:tc>
        <w:tc>
          <w:tcPr>
            <w:tcW w:w="28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199" w:type="dxa"/>
            <w:tcBorders/>
            <w:vAlign w:val="bottom"/>
          </w:tcPr>
          <w:p>
            <w:pPr>
              <w:pStyle w:val="TableContents"/>
              <w:bidi w:val="0"/>
              <w:spacing w:before="0" w:after="283"/>
              <w:jc w:val="left"/>
              <w:rPr/>
            </w:pPr>
            <w:r>
              <w:rPr/>
              <w:t>  </w:t>
            </w:r>
          </w:p>
        </w:tc>
        <w:tc>
          <w:tcPr>
            <w:tcW w:w="28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0" w:type="dxa"/>
            <w:tcBorders/>
            <w:vAlign w:val="bottom"/>
          </w:tcPr>
          <w:p>
            <w:pPr>
              <w:pStyle w:val="TableContents"/>
              <w:bidi w:val="0"/>
              <w:spacing w:before="0" w:after="283"/>
              <w:jc w:val="left"/>
              <w:rPr/>
            </w:pPr>
            <w:r>
              <w:rPr/>
              <w:t>  </w:t>
            </w:r>
          </w:p>
        </w:tc>
        <w:tc>
          <w:tcPr>
            <w:tcW w:w="25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475"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815" w:type="dxa"/>
            <w:tcBorders/>
          </w:tcPr>
          <w:p>
            <w:pPr>
              <w:pStyle w:val="TableContents"/>
              <w:bidi w:val="0"/>
              <w:spacing w:before="0" w:after="283"/>
              <w:jc w:val="left"/>
              <w:rPr/>
            </w:pPr>
            <w:r>
              <w:rPr/>
              <w:t>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tc>
        <w:tc>
          <w:tcPr>
            <w:tcW w:w="199"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0"/>
              <w:jc w:val="left"/>
              <w:rPr>
                <w:rFonts w:ascii="Times New Roman" w:hAnsi="Times New Roman"/>
                <w:sz w:val="20"/>
              </w:rPr>
            </w:pPr>
            <w:r>
              <w:rPr>
                <w:rFonts w:ascii="Times New Roman" w:hAnsi="Times New Roman"/>
                <w:sz w:val="20"/>
              </w:rPr>
              <w:t>Luis Machuca</w:t>
            </w:r>
          </w:p>
          <w:p>
            <w:pPr>
              <w:pStyle w:val="TableContents"/>
              <w:bidi w:val="0"/>
              <w:spacing w:before="0" w:after="0"/>
              <w:jc w:val="left"/>
              <w:rPr>
                <w:rFonts w:ascii="Times New Roman" w:hAnsi="Times New Roman"/>
                <w:sz w:val="20"/>
              </w:rPr>
            </w:pPr>
            <w:r>
              <w:rPr>
                <w:rFonts w:ascii="Times New Roman" w:hAnsi="Times New Roman"/>
                <w:sz w:val="20"/>
              </w:rPr>
              <w:t>Bryan Timm</w:t>
            </w:r>
          </w:p>
          <w:p>
            <w:pPr>
              <w:pStyle w:val="TableContents"/>
              <w:bidi w:val="0"/>
              <w:spacing w:before="0" w:after="0"/>
              <w:jc w:val="left"/>
              <w:rPr>
                <w:rFonts w:ascii="Times New Roman" w:hAnsi="Times New Roman"/>
                <w:sz w:val="20"/>
              </w:rPr>
            </w:pPr>
            <w:r>
              <w:rPr>
                <w:rFonts w:ascii="Times New Roman" w:hAnsi="Times New Roman"/>
                <w:sz w:val="20"/>
              </w:rPr>
              <w:t>James Greene</w:t>
            </w:r>
          </w:p>
          <w:p>
            <w:pPr>
              <w:pStyle w:val="TableContents"/>
              <w:bidi w:val="0"/>
              <w:spacing w:before="0" w:after="20"/>
              <w:jc w:val="left"/>
              <w:rPr>
                <w:rFonts w:ascii="Times New Roman" w:hAnsi="Times New Roman"/>
                <w:sz w:val="20"/>
              </w:rPr>
            </w:pPr>
            <w:r>
              <w:rPr>
                <w:rFonts w:ascii="Times New Roman" w:hAnsi="Times New Roman"/>
                <w:sz w:val="20"/>
              </w:rPr>
              <w:t>Lynrock</w:t>
            </w:r>
          </w:p>
        </w:tc>
        <w:tc>
          <w:tcPr>
            <w:tcW w:w="120" w:type="dxa"/>
            <w:tcBorders/>
            <w:vAlign w:val="bottom"/>
          </w:tcPr>
          <w:p>
            <w:pPr>
              <w:pStyle w:val="TableContents"/>
              <w:bidi w:val="0"/>
              <w:spacing w:before="0" w:after="283"/>
              <w:jc w:val="left"/>
              <w:rPr/>
            </w:pPr>
            <w:r>
              <w:rPr/>
              <w:t>  </w:t>
            </w:r>
          </w:p>
        </w:tc>
        <w:tc>
          <w:tcPr>
            <w:tcW w:w="2540" w:type="dxa"/>
            <w:tcBorders/>
          </w:tcPr>
          <w:p>
            <w:pPr>
              <w:pStyle w:val="TableContents"/>
              <w:bidi w:val="0"/>
              <w:spacing w:before="0" w:after="283"/>
              <w:jc w:val="left"/>
              <w:rPr/>
            </w:pPr>
            <w:r>
              <w:rPr/>
              <w:t>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 (iii) pursuant to a qualified domestic relations order, (4) by certain pledges to secure obligations incurred in connection with purchases of our company’s securities, (5) through private sales or transfers made in connection with the consummation of our initial business combination at prices no greater than the price at which such securities were originally purchased, (6) to us for no value for cancellation in connection with the consummation of our initial business combination; provided that (except for clause (6)) these transferees (“permitted transferees”) have entered into a written agreement with us agreeing to be bound by the transfer restrictions agreed to by the original holder in connection with the purchase of the securities being transferred. In addition, the sponsor, executive officers and directors may transfer, assign or sell any of the founder shares or private placement units ((including underlying securities) (i) in the event of our liquidation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84"/>
        <w:gridCol w:w="201"/>
        <w:gridCol w:w="2741"/>
        <w:gridCol w:w="201"/>
        <w:gridCol w:w="2884"/>
        <w:gridCol w:w="120"/>
        <w:gridCol w:w="2574"/>
      </w:tblGrid>
      <w:tr>
        <w:trPr/>
        <w:tc>
          <w:tcPr>
            <w:tcW w:w="1484"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r>
      <w:tr>
        <w:trPr/>
        <w:tc>
          <w:tcPr>
            <w:tcW w:w="14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201" w:type="dxa"/>
            <w:tcBorders/>
            <w:vAlign w:val="bottom"/>
          </w:tcPr>
          <w:p>
            <w:pPr>
              <w:pStyle w:val="TableContents"/>
              <w:bidi w:val="0"/>
              <w:spacing w:before="0" w:after="283"/>
              <w:jc w:val="left"/>
              <w:rPr/>
            </w:pPr>
            <w:r>
              <w:rPr/>
              <w:t>  </w:t>
            </w:r>
          </w:p>
        </w:tc>
        <w:tc>
          <w:tcPr>
            <w:tcW w:w="27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201" w:type="dxa"/>
            <w:tcBorders/>
            <w:vAlign w:val="bottom"/>
          </w:tcPr>
          <w:p>
            <w:pPr>
              <w:pStyle w:val="TableContents"/>
              <w:bidi w:val="0"/>
              <w:spacing w:before="0" w:after="283"/>
              <w:jc w:val="left"/>
              <w:rPr/>
            </w:pPr>
            <w:r>
              <w:rPr/>
              <w:t>  </w:t>
            </w:r>
          </w:p>
        </w:tc>
        <w:tc>
          <w:tcPr>
            <w:tcW w:w="28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0" w:type="dxa"/>
            <w:tcBorders/>
            <w:vAlign w:val="bottom"/>
          </w:tcPr>
          <w:p>
            <w:pPr>
              <w:pStyle w:val="TableContents"/>
              <w:bidi w:val="0"/>
              <w:spacing w:before="0" w:after="283"/>
              <w:jc w:val="left"/>
              <w:rPr/>
            </w:pPr>
            <w:r>
              <w:rPr/>
              <w:t>  </w:t>
            </w:r>
          </w:p>
        </w:tc>
        <w:tc>
          <w:tcPr>
            <w:tcW w:w="25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484"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2741"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288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74" w:type="dxa"/>
            <w:tcBorders/>
          </w:tcPr>
          <w:p>
            <w:pPr>
              <w:pStyle w:val="TableContents"/>
              <w:bidi w:val="0"/>
              <w:spacing w:before="0" w:after="283"/>
              <w:jc w:val="left"/>
              <w:rPr/>
            </w:pPr>
            <w:r>
              <w:rPr/>
              <w:t>prior to the consummation of our initial business combination; (ii)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the sponsor that holds any such securities, upon liquidation or dissolution of such subsidiary; or (iii) in the event of our completion of a liquidation, merger, share exchange, reorganization or other similar transaction which results in all of our shareholders having the right to exchange their ordinary shares for cash, securities or other property subsequent to the completion of our initial business combination.</w:t>
            </w:r>
          </w:p>
        </w:tc>
      </w:tr>
      <w:tr>
        <w:trPr>
          <w:trHeight w:val="120" w:hRule="atLeast"/>
        </w:trPr>
        <w:tc>
          <w:tcPr>
            <w:tcW w:w="1484" w:type="dxa"/>
            <w:tcBorders/>
            <w:vAlign w:val="center"/>
          </w:tcPr>
          <w:p>
            <w:pPr>
              <w:pStyle w:val="TableContents"/>
              <w:bidi w:val="0"/>
              <w:spacing w:before="0" w:after="283"/>
              <w:jc w:val="left"/>
              <w:rPr>
                <w:sz w:val="4"/>
                <w:szCs w:val="4"/>
              </w:rPr>
            </w:pPr>
            <w:r>
              <w:rPr>
                <w:sz w:val="4"/>
                <w:szCs w:val="4"/>
              </w:rPr>
            </w:r>
          </w:p>
        </w:tc>
        <w:tc>
          <w:tcPr>
            <w:tcW w:w="2942" w:type="dxa"/>
            <w:gridSpan w:val="2"/>
            <w:tcBorders/>
            <w:vAlign w:val="center"/>
          </w:tcPr>
          <w:p>
            <w:pPr>
              <w:pStyle w:val="TableContents"/>
              <w:bidi w:val="0"/>
              <w:spacing w:before="0" w:after="283"/>
              <w:jc w:val="left"/>
              <w:rPr>
                <w:sz w:val="4"/>
                <w:szCs w:val="4"/>
              </w:rPr>
            </w:pPr>
            <w:r>
              <w:rPr>
                <w:sz w:val="4"/>
                <w:szCs w:val="4"/>
              </w:rPr>
            </w:r>
          </w:p>
        </w:tc>
        <w:tc>
          <w:tcPr>
            <w:tcW w:w="3085" w:type="dxa"/>
            <w:gridSpan w:val="2"/>
            <w:tcBorders/>
            <w:vAlign w:val="center"/>
          </w:tcPr>
          <w:p>
            <w:pPr>
              <w:pStyle w:val="TableContents"/>
              <w:bidi w:val="0"/>
              <w:spacing w:before="0" w:after="283"/>
              <w:jc w:val="left"/>
              <w:rPr>
                <w:sz w:val="4"/>
                <w:szCs w:val="4"/>
              </w:rPr>
            </w:pPr>
            <w:r>
              <w:rPr>
                <w:sz w:val="4"/>
                <w:szCs w:val="4"/>
              </w:rPr>
            </w:r>
          </w:p>
        </w:tc>
        <w:tc>
          <w:tcPr>
            <w:tcW w:w="2694" w:type="dxa"/>
            <w:gridSpan w:val="2"/>
            <w:tcBorders/>
            <w:vAlign w:val="center"/>
          </w:tcPr>
          <w:p>
            <w:pPr>
              <w:pStyle w:val="TableContents"/>
              <w:bidi w:val="0"/>
              <w:spacing w:before="0" w:after="283"/>
              <w:jc w:val="left"/>
              <w:rPr>
                <w:sz w:val="4"/>
                <w:szCs w:val="4"/>
              </w:rPr>
            </w:pPr>
            <w:r>
              <w:rPr>
                <w:sz w:val="4"/>
                <w:szCs w:val="4"/>
              </w:rPr>
            </w:r>
          </w:p>
        </w:tc>
      </w:tr>
      <w:tr>
        <w:trPr/>
        <w:tc>
          <w:tcPr>
            <w:tcW w:w="1484" w:type="dxa"/>
            <w:tcBorders/>
          </w:tcPr>
          <w:p>
            <w:pPr>
              <w:pStyle w:val="TableContents"/>
              <w:bidi w:val="0"/>
              <w:spacing w:before="0" w:after="283"/>
              <w:jc w:val="left"/>
              <w:rPr/>
            </w:pPr>
            <w:r>
              <w:rPr/>
              <w:t>Private placement units (including underlying securities)</w:t>
            </w:r>
          </w:p>
        </w:tc>
        <w:tc>
          <w:tcPr>
            <w:tcW w:w="201" w:type="dxa"/>
            <w:tcBorders/>
            <w:vAlign w:val="bottom"/>
          </w:tcPr>
          <w:p>
            <w:pPr>
              <w:pStyle w:val="TableContents"/>
              <w:bidi w:val="0"/>
              <w:spacing w:before="0" w:after="283"/>
              <w:jc w:val="left"/>
              <w:rPr/>
            </w:pPr>
            <w:r>
              <w:rPr/>
              <w:t>  </w:t>
            </w:r>
          </w:p>
        </w:tc>
        <w:tc>
          <w:tcPr>
            <w:tcW w:w="2741" w:type="dxa"/>
            <w:tcBorders/>
          </w:tcPr>
          <w:p>
            <w:pPr>
              <w:pStyle w:val="TableContents"/>
              <w:bidi w:val="0"/>
              <w:spacing w:before="0" w:after="283"/>
              <w:jc w:val="left"/>
              <w:rPr/>
            </w:pPr>
            <w:r>
              <w:rPr/>
              <w:t>Thirty days after the completion of our initial business combination</w:t>
            </w:r>
          </w:p>
        </w:tc>
        <w:tc>
          <w:tcPr>
            <w:tcW w:w="201" w:type="dxa"/>
            <w:tcBorders/>
            <w:vAlign w:val="bottom"/>
          </w:tcPr>
          <w:p>
            <w:pPr>
              <w:pStyle w:val="TableContents"/>
              <w:bidi w:val="0"/>
              <w:spacing w:before="0" w:after="283"/>
              <w:jc w:val="left"/>
              <w:rPr/>
            </w:pPr>
            <w:r>
              <w:rPr/>
              <w:t>  </w:t>
            </w:r>
          </w:p>
        </w:tc>
        <w:tc>
          <w:tcPr>
            <w:tcW w:w="2884" w:type="dxa"/>
            <w:tcBorders/>
          </w:tcPr>
          <w:p>
            <w:pPr>
              <w:pStyle w:val="TableContents"/>
              <w:bidi w:val="0"/>
              <w:spacing w:before="0" w:after="0"/>
              <w:jc w:val="left"/>
              <w:rPr>
                <w:rFonts w:ascii="Times New Roman" w:hAnsi="Times New Roman"/>
                <w:sz w:val="20"/>
              </w:rPr>
            </w:pPr>
            <w:r>
              <w:rPr>
                <w:rFonts w:ascii="Times New Roman" w:hAnsi="Times New Roman"/>
                <w:sz w:val="20"/>
              </w:rPr>
              <w:t>GigAcquisitions8 Corp.</w:t>
            </w:r>
          </w:p>
          <w:p>
            <w:pPr>
              <w:pStyle w:val="TableContents"/>
              <w:bidi w:val="0"/>
              <w:spacing w:before="0" w:after="0"/>
              <w:jc w:val="left"/>
              <w:rPr>
                <w:rFonts w:ascii="Times New Roman" w:hAnsi="Times New Roman"/>
                <w:sz w:val="20"/>
              </w:rPr>
            </w:pPr>
            <w:r>
              <w:rPr>
                <w:rFonts w:ascii="Times New Roman" w:hAnsi="Times New Roman"/>
                <w:sz w:val="20"/>
              </w:rPr>
              <w:t>Dr. Avi S. Katz</w:t>
            </w:r>
          </w:p>
          <w:p>
            <w:pPr>
              <w:pStyle w:val="TableContents"/>
              <w:bidi w:val="0"/>
              <w:spacing w:before="0" w:after="0"/>
              <w:jc w:val="left"/>
              <w:rPr>
                <w:rFonts w:ascii="Times New Roman" w:hAnsi="Times New Roman"/>
                <w:sz w:val="20"/>
              </w:rPr>
            </w:pPr>
            <w:r>
              <w:rPr>
                <w:rFonts w:ascii="Times New Roman" w:hAnsi="Times New Roman"/>
                <w:sz w:val="20"/>
              </w:rPr>
              <w:t>Dr. Raluca Dinu</w:t>
            </w:r>
          </w:p>
          <w:p>
            <w:pPr>
              <w:pStyle w:val="TableContents"/>
              <w:bidi w:val="0"/>
              <w:spacing w:before="0" w:after="0"/>
              <w:jc w:val="left"/>
              <w:rPr>
                <w:rFonts w:ascii="Times New Roman" w:hAnsi="Times New Roman"/>
                <w:sz w:val="20"/>
              </w:rPr>
            </w:pPr>
            <w:r>
              <w:rPr>
                <w:rFonts w:ascii="Times New Roman" w:hAnsi="Times New Roman"/>
                <w:sz w:val="20"/>
              </w:rPr>
              <w:t>Christine M Marshall</w:t>
            </w:r>
          </w:p>
          <w:p>
            <w:pPr>
              <w:pStyle w:val="TableContents"/>
              <w:bidi w:val="0"/>
              <w:spacing w:before="0" w:after="0"/>
              <w:jc w:val="left"/>
              <w:rPr>
                <w:rFonts w:ascii="Times New Roman" w:hAnsi="Times New Roman"/>
                <w:sz w:val="20"/>
              </w:rPr>
            </w:pPr>
            <w:r>
              <w:rPr>
                <w:rFonts w:ascii="Times New Roman" w:hAnsi="Times New Roman"/>
                <w:sz w:val="20"/>
              </w:rPr>
              <w:t>Admiral (Ret.) David Ben-Bashat</w:t>
            </w:r>
          </w:p>
          <w:p>
            <w:pPr>
              <w:pStyle w:val="TableContents"/>
              <w:bidi w:val="0"/>
              <w:spacing w:before="0" w:after="0"/>
              <w:jc w:val="left"/>
              <w:rPr>
                <w:rFonts w:ascii="Times New Roman" w:hAnsi="Times New Roman"/>
                <w:sz w:val="20"/>
              </w:rPr>
            </w:pPr>
            <w:r>
              <w:rPr>
                <w:rFonts w:ascii="Times New Roman" w:hAnsi="Times New Roman"/>
                <w:sz w:val="20"/>
              </w:rPr>
              <w:t>Rear Admiral (Ret.) Omri Dagul</w:t>
            </w:r>
          </w:p>
          <w:p>
            <w:pPr>
              <w:pStyle w:val="TableContents"/>
              <w:bidi w:val="0"/>
              <w:spacing w:before="0" w:after="0"/>
              <w:jc w:val="left"/>
              <w:rPr>
                <w:rFonts w:ascii="Times New Roman" w:hAnsi="Times New Roman"/>
                <w:sz w:val="20"/>
              </w:rPr>
            </w:pPr>
            <w:r>
              <w:rPr>
                <w:rFonts w:ascii="Times New Roman" w:hAnsi="Times New Roman"/>
                <w:sz w:val="20"/>
              </w:rPr>
              <w:t>Raanan I. Horowitz</w:t>
            </w:r>
          </w:p>
          <w:p>
            <w:pPr>
              <w:pStyle w:val="TableContents"/>
              <w:bidi w:val="0"/>
              <w:spacing w:before="0" w:after="0"/>
              <w:jc w:val="left"/>
              <w:rPr>
                <w:rFonts w:ascii="Times New Roman" w:hAnsi="Times New Roman"/>
                <w:sz w:val="20"/>
              </w:rPr>
            </w:pPr>
            <w:r>
              <w:rPr>
                <w:rFonts w:ascii="Times New Roman" w:hAnsi="Times New Roman"/>
                <w:sz w:val="20"/>
              </w:rPr>
              <w:t>Ambassador Adrian Zuckerman</w:t>
            </w:r>
          </w:p>
          <w:p>
            <w:pPr>
              <w:pStyle w:val="TableContents"/>
              <w:bidi w:val="0"/>
              <w:spacing w:before="0" w:after="0"/>
              <w:jc w:val="left"/>
              <w:rPr>
                <w:rFonts w:ascii="Times New Roman" w:hAnsi="Times New Roman"/>
                <w:sz w:val="20"/>
              </w:rPr>
            </w:pPr>
            <w:r>
              <w:rPr>
                <w:rFonts w:ascii="Times New Roman" w:hAnsi="Times New Roman"/>
                <w:sz w:val="20"/>
              </w:rPr>
              <w:t>Luis Machuca</w:t>
            </w:r>
          </w:p>
          <w:p>
            <w:pPr>
              <w:pStyle w:val="TableContents"/>
              <w:bidi w:val="0"/>
              <w:spacing w:before="0" w:after="0"/>
              <w:jc w:val="left"/>
              <w:rPr>
                <w:rFonts w:ascii="Times New Roman" w:hAnsi="Times New Roman"/>
                <w:sz w:val="20"/>
              </w:rPr>
            </w:pPr>
            <w:r>
              <w:rPr>
                <w:rFonts w:ascii="Times New Roman" w:hAnsi="Times New Roman"/>
                <w:sz w:val="20"/>
              </w:rPr>
              <w:t>Bryan Timm</w:t>
            </w:r>
          </w:p>
          <w:p>
            <w:pPr>
              <w:pStyle w:val="TableContents"/>
              <w:bidi w:val="0"/>
              <w:spacing w:before="0" w:after="0"/>
              <w:jc w:val="left"/>
              <w:rPr>
                <w:rFonts w:ascii="Times New Roman" w:hAnsi="Times New Roman"/>
                <w:sz w:val="20"/>
              </w:rPr>
            </w:pPr>
            <w:r>
              <w:rPr>
                <w:rFonts w:ascii="Times New Roman" w:hAnsi="Times New Roman"/>
                <w:sz w:val="20"/>
              </w:rPr>
              <w:t>James Greene</w:t>
            </w:r>
          </w:p>
          <w:p>
            <w:pPr>
              <w:pStyle w:val="TableContents"/>
              <w:bidi w:val="0"/>
              <w:spacing w:before="0" w:after="0"/>
              <w:jc w:val="left"/>
              <w:rPr>
                <w:rFonts w:ascii="Times New Roman" w:hAnsi="Times New Roman"/>
                <w:sz w:val="20"/>
              </w:rPr>
            </w:pPr>
            <w:r>
              <w:rPr>
                <w:rFonts w:ascii="Times New Roman" w:hAnsi="Times New Roman"/>
                <w:sz w:val="20"/>
              </w:rPr>
              <w:t>Lynrock</w:t>
            </w:r>
          </w:p>
          <w:p>
            <w:pPr>
              <w:pStyle w:val="TableContents"/>
              <w:bidi w:val="0"/>
              <w:spacing w:before="0" w:after="20"/>
              <w:jc w:val="left"/>
              <w:rPr>
                <w:rFonts w:ascii="Times New Roman" w:hAnsi="Times New Roman"/>
                <w:sz w:val="20"/>
              </w:rPr>
            </w:pPr>
            <w:r>
              <w:rPr>
                <w:rFonts w:ascii="Times New Roman" w:hAnsi="Times New Roman"/>
                <w:sz w:val="20"/>
              </w:rPr>
              <w:t>Non-managing investors</w:t>
            </w:r>
          </w:p>
        </w:tc>
        <w:tc>
          <w:tcPr>
            <w:tcW w:w="120" w:type="dxa"/>
            <w:tcBorders/>
            <w:vAlign w:val="bottom"/>
          </w:tcPr>
          <w:p>
            <w:pPr>
              <w:pStyle w:val="TableContents"/>
              <w:bidi w:val="0"/>
              <w:spacing w:before="0" w:after="283"/>
              <w:jc w:val="left"/>
              <w:rPr/>
            </w:pPr>
            <w:r>
              <w:rPr/>
              <w:t>  </w:t>
            </w:r>
          </w:p>
        </w:tc>
        <w:tc>
          <w:tcPr>
            <w:tcW w:w="2574" w:type="dxa"/>
            <w:tcBorders/>
          </w:tcPr>
          <w:p>
            <w:pPr>
              <w:pStyle w:val="TableContents"/>
              <w:bidi w:val="0"/>
              <w:spacing w:before="0" w:after="283"/>
              <w:jc w:val="left"/>
              <w:rPr/>
            </w:pPr>
            <w:r>
              <w:rPr/>
              <w:t>Same as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72"/>
        <w:gridCol w:w="198"/>
        <w:gridCol w:w="2770"/>
        <w:gridCol w:w="198"/>
        <w:gridCol w:w="3007"/>
        <w:gridCol w:w="120"/>
        <w:gridCol w:w="2440"/>
      </w:tblGrid>
      <w:tr>
        <w:trPr/>
        <w:tc>
          <w:tcPr>
            <w:tcW w:w="1472"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r>
      <w:tr>
        <w:trPr/>
        <w:tc>
          <w:tcPr>
            <w:tcW w:w="14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198" w:type="dxa"/>
            <w:tcBorders/>
            <w:vAlign w:val="bottom"/>
          </w:tcPr>
          <w:p>
            <w:pPr>
              <w:pStyle w:val="TableContents"/>
              <w:bidi w:val="0"/>
              <w:spacing w:before="0" w:after="283"/>
              <w:jc w:val="left"/>
              <w:rPr/>
            </w:pPr>
            <w:r>
              <w:rPr/>
              <w:t>  </w:t>
            </w:r>
          </w:p>
        </w:tc>
        <w:tc>
          <w:tcPr>
            <w:tcW w:w="27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198" w:type="dxa"/>
            <w:tcBorders/>
            <w:vAlign w:val="bottom"/>
          </w:tcPr>
          <w:p>
            <w:pPr>
              <w:pStyle w:val="TableContents"/>
              <w:bidi w:val="0"/>
              <w:spacing w:before="0" w:after="283"/>
              <w:jc w:val="left"/>
              <w:rPr/>
            </w:pPr>
            <w:r>
              <w:rPr/>
              <w:t>  </w:t>
            </w:r>
          </w:p>
        </w:tc>
        <w:tc>
          <w:tcPr>
            <w:tcW w:w="30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0" w:type="dxa"/>
            <w:tcBorders/>
            <w:vAlign w:val="bottom"/>
          </w:tcPr>
          <w:p>
            <w:pPr>
              <w:pStyle w:val="TableContents"/>
              <w:bidi w:val="0"/>
              <w:spacing w:before="0" w:after="283"/>
              <w:jc w:val="left"/>
              <w:rPr/>
            </w:pPr>
            <w:r>
              <w:rPr/>
              <w:t>  </w:t>
            </w:r>
          </w:p>
        </w:tc>
        <w:tc>
          <w:tcPr>
            <w:tcW w:w="24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472" w:type="dxa"/>
            <w:tcBorders/>
          </w:tcPr>
          <w:p>
            <w:pPr>
              <w:pStyle w:val="TableContents"/>
              <w:bidi w:val="0"/>
              <w:spacing w:before="0" w:after="283"/>
              <w:jc w:val="left"/>
              <w:rPr/>
            </w:pPr>
            <w:r>
              <w:rPr/>
              <w:t>Private investor shares</w:t>
            </w:r>
          </w:p>
        </w:tc>
        <w:tc>
          <w:tcPr>
            <w:tcW w:w="198" w:type="dxa"/>
            <w:tcBorders/>
            <w:vAlign w:val="bottom"/>
          </w:tcPr>
          <w:p>
            <w:pPr>
              <w:pStyle w:val="TableContents"/>
              <w:bidi w:val="0"/>
              <w:spacing w:before="0" w:after="283"/>
              <w:jc w:val="left"/>
              <w:rPr/>
            </w:pPr>
            <w:r>
              <w:rPr/>
              <w:t>  </w:t>
            </w:r>
          </w:p>
        </w:tc>
        <w:tc>
          <w:tcPr>
            <w:tcW w:w="2770" w:type="dxa"/>
            <w:tcBorders/>
          </w:tcPr>
          <w:p>
            <w:pPr>
              <w:pStyle w:val="TableContents"/>
              <w:bidi w:val="0"/>
              <w:spacing w:before="0" w:after="283"/>
              <w:jc w:val="left"/>
              <w:rPr/>
            </w:pPr>
            <w:r>
              <w:rPr/>
              <w:t>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tc>
        <w:tc>
          <w:tcPr>
            <w:tcW w:w="198" w:type="dxa"/>
            <w:tcBorders/>
            <w:vAlign w:val="bottom"/>
          </w:tcPr>
          <w:p>
            <w:pPr>
              <w:pStyle w:val="TableContents"/>
              <w:bidi w:val="0"/>
              <w:spacing w:before="0" w:after="283"/>
              <w:jc w:val="left"/>
              <w:rPr/>
            </w:pPr>
            <w:r>
              <w:rPr/>
              <w:t>  </w:t>
            </w:r>
          </w:p>
        </w:tc>
        <w:tc>
          <w:tcPr>
            <w:tcW w:w="3007" w:type="dxa"/>
            <w:tcBorders/>
          </w:tcPr>
          <w:p>
            <w:pPr>
              <w:pStyle w:val="TableContents"/>
              <w:bidi w:val="0"/>
              <w:spacing w:before="0" w:after="283"/>
              <w:jc w:val="left"/>
              <w:rPr/>
            </w:pPr>
            <w:r>
              <w:rPr/>
              <w:t>Non-managing investors</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Same as above.</w:t>
            </w:r>
          </w:p>
        </w:tc>
      </w:tr>
      <w:tr>
        <w:trPr>
          <w:trHeight w:val="120" w:hRule="atLeast"/>
        </w:trPr>
        <w:tc>
          <w:tcPr>
            <w:tcW w:w="1472" w:type="dxa"/>
            <w:tcBorders/>
            <w:vAlign w:val="center"/>
          </w:tcPr>
          <w:p>
            <w:pPr>
              <w:pStyle w:val="TableContents"/>
              <w:bidi w:val="0"/>
              <w:spacing w:before="0" w:after="283"/>
              <w:jc w:val="left"/>
              <w:rPr>
                <w:sz w:val="4"/>
                <w:szCs w:val="4"/>
              </w:rPr>
            </w:pPr>
            <w:r>
              <w:rPr>
                <w:sz w:val="4"/>
                <w:szCs w:val="4"/>
              </w:rPr>
            </w:r>
          </w:p>
        </w:tc>
        <w:tc>
          <w:tcPr>
            <w:tcW w:w="2968" w:type="dxa"/>
            <w:gridSpan w:val="2"/>
            <w:tcBorders/>
            <w:vAlign w:val="center"/>
          </w:tcPr>
          <w:p>
            <w:pPr>
              <w:pStyle w:val="TableContents"/>
              <w:bidi w:val="0"/>
              <w:spacing w:before="0" w:after="283"/>
              <w:jc w:val="left"/>
              <w:rPr>
                <w:sz w:val="4"/>
                <w:szCs w:val="4"/>
              </w:rPr>
            </w:pPr>
            <w:r>
              <w:rPr>
                <w:sz w:val="4"/>
                <w:szCs w:val="4"/>
              </w:rPr>
            </w:r>
          </w:p>
        </w:tc>
        <w:tc>
          <w:tcPr>
            <w:tcW w:w="3205" w:type="dxa"/>
            <w:gridSpan w:val="2"/>
            <w:tcBorders/>
            <w:vAlign w:val="center"/>
          </w:tcPr>
          <w:p>
            <w:pPr>
              <w:pStyle w:val="TableContents"/>
              <w:bidi w:val="0"/>
              <w:spacing w:before="0" w:after="283"/>
              <w:jc w:val="left"/>
              <w:rPr>
                <w:sz w:val="4"/>
                <w:szCs w:val="4"/>
              </w:rPr>
            </w:pPr>
            <w:r>
              <w:rPr>
                <w:sz w:val="4"/>
                <w:szCs w:val="4"/>
              </w:rPr>
            </w:r>
          </w:p>
        </w:tc>
        <w:tc>
          <w:tcPr>
            <w:tcW w:w="2560" w:type="dxa"/>
            <w:gridSpan w:val="2"/>
            <w:tcBorders/>
            <w:vAlign w:val="center"/>
          </w:tcPr>
          <w:p>
            <w:pPr>
              <w:pStyle w:val="TableContents"/>
              <w:bidi w:val="0"/>
              <w:spacing w:before="0" w:after="283"/>
              <w:jc w:val="left"/>
              <w:rPr>
                <w:sz w:val="4"/>
                <w:szCs w:val="4"/>
              </w:rPr>
            </w:pPr>
            <w:r>
              <w:rPr>
                <w:sz w:val="4"/>
                <w:szCs w:val="4"/>
              </w:rPr>
            </w:r>
          </w:p>
        </w:tc>
      </w:tr>
      <w:tr>
        <w:trPr/>
        <w:tc>
          <w:tcPr>
            <w:tcW w:w="1472" w:type="dxa"/>
            <w:tcBorders/>
          </w:tcPr>
          <w:p>
            <w:pPr>
              <w:pStyle w:val="TableContents"/>
              <w:bidi w:val="0"/>
              <w:spacing w:before="0" w:after="283"/>
              <w:jc w:val="left"/>
              <w:rPr/>
            </w:pPr>
            <w:r>
              <w:rPr/>
              <w:t>Any units, share rights, ordinary shares or any other securities convertible into, or exercisable or exchangeable for, any units, ordinary shares, founder shares or rights</w:t>
            </w:r>
          </w:p>
        </w:tc>
        <w:tc>
          <w:tcPr>
            <w:tcW w:w="198" w:type="dxa"/>
            <w:tcBorders/>
            <w:vAlign w:val="bottom"/>
          </w:tcPr>
          <w:p>
            <w:pPr>
              <w:pStyle w:val="TableContents"/>
              <w:bidi w:val="0"/>
              <w:spacing w:before="0" w:after="283"/>
              <w:jc w:val="left"/>
              <w:rPr/>
            </w:pPr>
            <w:r>
              <w:rPr/>
              <w:t>  </w:t>
            </w:r>
          </w:p>
        </w:tc>
        <w:tc>
          <w:tcPr>
            <w:tcW w:w="2770" w:type="dxa"/>
            <w:tcBorders/>
          </w:tcPr>
          <w:p>
            <w:pPr>
              <w:pStyle w:val="TableContents"/>
              <w:bidi w:val="0"/>
              <w:spacing w:before="0" w:after="283"/>
              <w:jc w:val="left"/>
              <w:rPr/>
            </w:pPr>
            <w:r>
              <w:rPr/>
              <w:t>180 days from the date of this prospectus</w:t>
            </w:r>
          </w:p>
        </w:tc>
        <w:tc>
          <w:tcPr>
            <w:tcW w:w="198" w:type="dxa"/>
            <w:tcBorders/>
            <w:vAlign w:val="bottom"/>
          </w:tcPr>
          <w:p>
            <w:pPr>
              <w:pStyle w:val="TableContents"/>
              <w:bidi w:val="0"/>
              <w:spacing w:before="0" w:after="283"/>
              <w:jc w:val="left"/>
              <w:rPr/>
            </w:pPr>
            <w:r>
              <w:rPr/>
              <w:t>  </w:t>
            </w:r>
          </w:p>
        </w:tc>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GigAcquisitions8 Corp. Dr. Avi S. Katz</w:t>
            </w:r>
          </w:p>
          <w:p>
            <w:pPr>
              <w:pStyle w:val="TableContents"/>
              <w:bidi w:val="0"/>
              <w:spacing w:before="0" w:after="0"/>
              <w:jc w:val="left"/>
              <w:rPr>
                <w:rFonts w:ascii="Times New Roman" w:hAnsi="Times New Roman"/>
                <w:sz w:val="20"/>
              </w:rPr>
            </w:pPr>
            <w:r>
              <w:rPr>
                <w:rFonts w:ascii="Times New Roman" w:hAnsi="Times New Roman"/>
                <w:sz w:val="20"/>
              </w:rPr>
              <w:t>Dr. Raluca Dinu</w:t>
            </w:r>
          </w:p>
          <w:p>
            <w:pPr>
              <w:pStyle w:val="TableContents"/>
              <w:bidi w:val="0"/>
              <w:spacing w:before="0" w:after="0"/>
              <w:jc w:val="left"/>
              <w:rPr>
                <w:rFonts w:ascii="Times New Roman" w:hAnsi="Times New Roman"/>
                <w:sz w:val="20"/>
              </w:rPr>
            </w:pPr>
            <w:r>
              <w:rPr>
                <w:rFonts w:ascii="Times New Roman" w:hAnsi="Times New Roman"/>
                <w:sz w:val="20"/>
              </w:rPr>
              <w:t>Christine M Marshall Admiral (Ret.) David Ben-Bashat</w:t>
            </w:r>
          </w:p>
          <w:p>
            <w:pPr>
              <w:pStyle w:val="TableContents"/>
              <w:bidi w:val="0"/>
              <w:spacing w:before="0" w:after="0"/>
              <w:jc w:val="left"/>
              <w:rPr>
                <w:rFonts w:ascii="Times New Roman" w:hAnsi="Times New Roman"/>
                <w:sz w:val="20"/>
              </w:rPr>
            </w:pPr>
            <w:r>
              <w:rPr>
                <w:rFonts w:ascii="Times New Roman" w:hAnsi="Times New Roman"/>
                <w:sz w:val="20"/>
              </w:rPr>
              <w:t>Rear Admiral (Ret.) Omri Dagul</w:t>
            </w:r>
          </w:p>
          <w:p>
            <w:pPr>
              <w:pStyle w:val="TableContents"/>
              <w:bidi w:val="0"/>
              <w:spacing w:before="0" w:after="0"/>
              <w:jc w:val="left"/>
              <w:rPr>
                <w:rFonts w:ascii="Times New Roman" w:hAnsi="Times New Roman"/>
                <w:sz w:val="20"/>
              </w:rPr>
            </w:pPr>
            <w:r>
              <w:rPr>
                <w:rFonts w:ascii="Times New Roman" w:hAnsi="Times New Roman"/>
                <w:sz w:val="20"/>
              </w:rPr>
              <w:t>Raanan I. Horowitz Ambassador Adrian Zuckerman</w:t>
            </w:r>
          </w:p>
          <w:p>
            <w:pPr>
              <w:pStyle w:val="TableContents"/>
              <w:bidi w:val="0"/>
              <w:spacing w:before="0" w:after="0"/>
              <w:jc w:val="left"/>
              <w:rPr>
                <w:rFonts w:ascii="Times New Roman" w:hAnsi="Times New Roman"/>
                <w:sz w:val="20"/>
              </w:rPr>
            </w:pPr>
            <w:r>
              <w:rPr>
                <w:rFonts w:ascii="Times New Roman" w:hAnsi="Times New Roman"/>
                <w:sz w:val="20"/>
              </w:rPr>
              <w:t>Luis Machuca</w:t>
            </w:r>
          </w:p>
          <w:p>
            <w:pPr>
              <w:pStyle w:val="TableContents"/>
              <w:bidi w:val="0"/>
              <w:spacing w:before="0" w:after="0"/>
              <w:jc w:val="left"/>
              <w:rPr>
                <w:rFonts w:ascii="Times New Roman" w:hAnsi="Times New Roman"/>
                <w:sz w:val="20"/>
              </w:rPr>
            </w:pPr>
            <w:r>
              <w:rPr>
                <w:rFonts w:ascii="Times New Roman" w:hAnsi="Times New Roman"/>
                <w:sz w:val="20"/>
              </w:rPr>
              <w:t>Bryan Timm</w:t>
            </w:r>
          </w:p>
          <w:p>
            <w:pPr>
              <w:pStyle w:val="TableContents"/>
              <w:bidi w:val="0"/>
              <w:spacing w:before="0" w:after="0"/>
              <w:jc w:val="left"/>
              <w:rPr>
                <w:rFonts w:ascii="Times New Roman" w:hAnsi="Times New Roman"/>
                <w:sz w:val="20"/>
              </w:rPr>
            </w:pPr>
            <w:r>
              <w:rPr>
                <w:rFonts w:ascii="Times New Roman" w:hAnsi="Times New Roman"/>
                <w:sz w:val="20"/>
              </w:rPr>
              <w:t>James Greene</w:t>
            </w:r>
          </w:p>
          <w:p>
            <w:pPr>
              <w:pStyle w:val="TableContents"/>
              <w:bidi w:val="0"/>
              <w:spacing w:before="0" w:after="20"/>
              <w:jc w:val="left"/>
              <w:rPr>
                <w:rFonts w:ascii="Times New Roman" w:hAnsi="Times New Roman"/>
                <w:sz w:val="20"/>
              </w:rPr>
            </w:pPr>
            <w:r>
              <w:rPr>
                <w:rFonts w:ascii="Times New Roman" w:hAnsi="Times New Roman"/>
                <w:sz w:val="20"/>
              </w:rPr>
              <w:t>Lynrock</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0"/>
              <w:jc w:val="left"/>
              <w:rPr>
                <w:rFonts w:ascii="Times New Roman" w:hAnsi="Times New Roman"/>
                <w:sz w:val="20"/>
              </w:rPr>
            </w:pPr>
            <w:r>
              <w:rPr>
                <w:rFonts w:ascii="Times New Roman" w:hAnsi="Times New Roman"/>
                <w:sz w:val="20"/>
              </w:rPr>
              <w:t>We, our sponsor and our officers and directors have agreed that, for a period of 180 days from the date of this prospectus, we and they will not, without the prior written consent of the representative of the underwriters, offer, sell, contract to sell, pledge or otherwise dispose of, directly or indirectly, any units, share rights, shares or any other securities convertible into, or exercisable, or exchangeable for, shares, subject to certain exceptions.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representative in its sole discretion may release any of the securities subject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490"/>
        <w:gridCol w:w="203"/>
        <w:gridCol w:w="2767"/>
        <w:gridCol w:w="203"/>
        <w:gridCol w:w="2900"/>
        <w:gridCol w:w="121"/>
        <w:gridCol w:w="2521"/>
      </w:tblGrid>
      <w:tr>
        <w:trPr/>
        <w:tc>
          <w:tcPr>
            <w:tcW w:w="149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203" w:type="dxa"/>
            <w:tcBorders/>
            <w:vAlign w:val="bottom"/>
          </w:tcPr>
          <w:p>
            <w:pPr>
              <w:pStyle w:val="TableContents"/>
              <w:bidi w:val="0"/>
              <w:spacing w:before="0" w:after="283"/>
              <w:jc w:val="left"/>
              <w:rPr/>
            </w:pPr>
            <w:r>
              <w:rPr/>
              <w:t>  </w:t>
            </w:r>
          </w:p>
        </w:tc>
        <w:tc>
          <w:tcPr>
            <w:tcW w:w="27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203" w:type="dxa"/>
            <w:tcBorders/>
            <w:vAlign w:val="bottom"/>
          </w:tcPr>
          <w:p>
            <w:pPr>
              <w:pStyle w:val="TableContents"/>
              <w:bidi w:val="0"/>
              <w:spacing w:before="0" w:after="283"/>
              <w:jc w:val="left"/>
              <w:rPr/>
            </w:pPr>
            <w:r>
              <w:rPr/>
              <w:t>  </w:t>
            </w:r>
          </w:p>
        </w:tc>
        <w:tc>
          <w:tcPr>
            <w:tcW w:w="29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1" w:type="dxa"/>
            <w:tcBorders/>
            <w:vAlign w:val="bottom"/>
          </w:tcPr>
          <w:p>
            <w:pPr>
              <w:pStyle w:val="TableContents"/>
              <w:bidi w:val="0"/>
              <w:spacing w:before="0" w:after="283"/>
              <w:jc w:val="left"/>
              <w:rPr/>
            </w:pPr>
            <w:r>
              <w:rPr/>
              <w:t>  </w:t>
            </w:r>
          </w:p>
        </w:tc>
        <w:tc>
          <w:tcPr>
            <w:tcW w:w="25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49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7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0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521" w:type="dxa"/>
            <w:tcBorders/>
          </w:tcPr>
          <w:p>
            <w:pPr>
              <w:pStyle w:val="TableContents"/>
              <w:bidi w:val="0"/>
              <w:spacing w:before="0" w:after="283"/>
              <w:jc w:val="left"/>
              <w:rPr/>
            </w:pPr>
            <w:r>
              <w:rPr/>
              <w:t>to these lock-up agreements at any time without notice, other than in the case of the officers and directors, which shall be with notice. Our sponsor, officers and directors are also subject to separate transfer restrictions on their founder shares and private placement units pursuant to the letter agreement described in the immediately preceding paragraphs.</w:t>
            </w:r>
          </w:p>
        </w:tc>
      </w:tr>
    </w:tbl>
    <w:p>
      <w:pPr>
        <w:pStyle w:val="TextBody"/>
        <w:bidi w:val="0"/>
        <w:spacing w:before="240" w:after="0"/>
        <w:jc w:val="left"/>
        <w:rPr>
          <w:rFonts w:ascii="Times New Roman" w:hAnsi="Times New Roman"/>
          <w:sz w:val="20"/>
        </w:rPr>
      </w:pPr>
      <w:r>
        <w:rPr>
          <w:rFonts w:ascii="Times New Roman" w:hAnsi="Times New Roman"/>
          <w:sz w:val="20"/>
        </w:rPr>
        <w:t xml:space="preserve">Up to 1,023,943 of the founder shares and up to 386,681 of the private investor shares will be surrendered for no consideration depending on the extent to which the underwriters’ over-allotment option is exercised. In addition, in order to facilitate our initial business combination as determined by our sponsor in its sole discretion, 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We may also issue Class A ordinary shares upon conversion of the Class B ordinary shares at a ratio greater than one-to-one at the time of our initial business combination as a result of the anti-dilution provisions as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Our letter agreement may be amended without shareholder approval. Such transfer restrictions have been amended in connection with business combinations for certain other special purpose acquisition companies.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non-managing investors have agreed in their subscription agreements to the transfer restrictions with respect to the private investor shares and private placement units. Since such subscription agreements are bilateral contractual obligations of the company and such non-managing investors, the transfer restrictions may be amended without any vote of the public shareholders. However, the non-managing sponsor investors will not be subject to transfer restrictions or a lock-up agreement on any public units, public shares or public rights that they may purchase in this offering or thereafter. </w:t>
      </w:r>
      <w:r>
        <w:rPr>
          <w:rFonts w:ascii="Times New Roman" w:hAnsi="Times New Roman"/>
          <w:b/>
          <w:sz w:val="20"/>
        </w:rPr>
        <w:t>See “</w:t>
      </w:r>
      <w:r>
        <w:rPr>
          <w:rFonts w:ascii="Times New Roman" w:hAnsi="Times New Roman"/>
          <w:b/>
          <w:i/>
          <w:sz w:val="20"/>
        </w:rPr>
        <w:t>Summary</w:t>
      </w:r>
      <w:r>
        <w:rPr>
          <w:rFonts w:ascii="Times New Roman" w:hAnsi="Times New Roman"/>
          <w:sz w:val="20"/>
        </w:rPr>
        <w:t> — </w:t>
      </w:r>
      <w:r>
        <w:rPr>
          <w:rFonts w:ascii="Times New Roman" w:hAnsi="Times New Roman"/>
          <w:b/>
          <w:i/>
          <w:sz w:val="20"/>
        </w:rPr>
        <w:t>The Offering —</w:t>
      </w:r>
      <w:r>
        <w:rPr>
          <w:rFonts w:ascii="Times New Roman" w:hAnsi="Times New Roman"/>
          <w:sz w:val="20"/>
        </w:rPr>
        <w:t xml:space="preserve"> </w:t>
      </w:r>
      <w:r>
        <w:rPr>
          <w:rFonts w:ascii="Times New Roman" w:hAnsi="Times New Roman"/>
          <w:b/>
          <w:i/>
          <w:sz w:val="20"/>
        </w:rPr>
        <w:t>Transfer restrictions applicable to founder shares, private investor shares, private placement shares and private placement rights (and shares into which the rights convert).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Combination Process </w:t>
      </w:r>
    </w:p>
    <w:p>
      <w:pPr>
        <w:pStyle w:val="TextBody"/>
        <w:bidi w:val="0"/>
        <w:spacing w:before="120" w:after="0"/>
        <w:jc w:val="left"/>
        <w:rPr>
          <w:rFonts w:ascii="Times New Roman" w:hAnsi="Times New Roman"/>
          <w:i/>
          <w:sz w:val="20"/>
        </w:rPr>
      </w:pPr>
      <w:r>
        <w:rPr>
          <w:rFonts w:ascii="Times New Roman" w:hAnsi="Times New Roman"/>
          <w:i/>
          <w:sz w:val="20"/>
        </w:rPr>
        <w:t xml:space="preserve">Sources of Target Businesses </w:t>
      </w:r>
    </w:p>
    <w:p>
      <w:pPr>
        <w:pStyle w:val="TextBody"/>
        <w:bidi w:val="0"/>
        <w:spacing w:before="120" w:after="0"/>
        <w:jc w:val="left"/>
        <w:rPr>
          <w:rFonts w:ascii="Times New Roman" w:hAnsi="Times New Roman"/>
          <w:sz w:val="20"/>
        </w:rPr>
      </w:pPr>
      <w:r>
        <w:rPr>
          <w:rFonts w:ascii="Times New Roman" w:hAnsi="Times New Roman"/>
          <w:sz w:val="20"/>
        </w:rPr>
        <w:t xml:space="preserve">We expect to evaluate opportunities that are sourced through the relationship networks of Dr. Katz and our combined management and advisory team, which includes numerous entrepreneurs, management teams, intermediaries and venture capital funds. Dr. Katz and our combined management and advisory team has considerable expertise in the evaluation of technology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we have not yet identified any acquisition candidates, we believe based on our combined team’s business knowledge and past experience that there are numerous acquisition candidates. We expect that our principal means of identifying potential target businesses will be through the extensive contacts and relationships of our combined management and advisory team. Although our sponsor, executive officers and directors are not required to commit any specific amount of time in identifying or performing due diligence on potential target businesses, our sponsor, executive officers and directors, as augmented by our advisors, believe that the relationships they have developed collectively over their careers and their access to their contacts and resources will generate a number of potential business combination opportunities that will warrant further investigation. We also anticipate that target business candidates may also be brought to our attention from various unaffiliated sources, including investment bankers, including the underwriters,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prospectus and know what types of businesses we are targeting. Our sponsor, executive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Our sponsor, executive officers and directors must present to us all target business opportunities in the sectors of the A&amp;D services, cybersecurity and secured communications and quantum-based command and control systems, and AI and ML industries that we are focusing on and that have a fair market value of at least 80% of the assets held in the trust account (excluding any taxes payable on the interest earned, if any) at the time of the agreement to enter into the initial business combination, subject to any pre-existing fiduciary or contractual obligations.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In no event, however, will our sponsor, executive officers, directors or their respective affiliates be paid any finder’s fee, consulting fee or other compensation prior to, or for any services they render in order to effectuate, the consummation of an initial business combination (regardless of the type of transaction that it is) other than the $30,000 monthly administrative services fee, the repayment of any loans, including but not limited to the sponsor note, from our sponsor, officers and directors for working capital purposes and reimbursement of any out-of-pocket expenses.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will review and approve all reimbursements and payments made to our sponsor, executive officers, directors or their respective affiliates, with any interested director abstaining from such review and approval. We have no present intention to enter into a business combination with a target business that is affiliated with any of our sponsor, executive officers, directors or their respective affiliates. However, we are not restricted from entering into any such transactions and may do so if (i) such transaction is approved by a majority of our disinterested independent directors and (ii) we obtain an opinion from an independent investment banking firm, or another independent entity that commonly renders valuation opinions on the type of target business we are seeking to acquire, that the business combination is fair to our unaffiliated shareholders from a financial point of view. In such event, neither the sponsor, nor any executive officer or director, will be entitled to receive or accept a finder’s fee or any other compensation in the event such party originates a business combination. </w:t>
      </w:r>
    </w:p>
    <w:p>
      <w:pPr>
        <w:pStyle w:val="TextBody"/>
        <w:bidi w:val="0"/>
        <w:spacing w:before="360" w:after="0"/>
        <w:jc w:val="left"/>
        <w:rPr>
          <w:rFonts w:ascii="Times New Roman" w:hAnsi="Times New Roman"/>
          <w:i/>
          <w:sz w:val="20"/>
        </w:rPr>
      </w:pPr>
      <w:r>
        <w:rPr>
          <w:rFonts w:ascii="Times New Roman" w:hAnsi="Times New Roman"/>
          <w:i/>
          <w:sz w:val="20"/>
        </w:rPr>
        <w:t xml:space="preserve">Selection of a Target Business and Structuring of a Business Combination </w:t>
      </w:r>
    </w:p>
    <w:p>
      <w:pPr>
        <w:pStyle w:val="TextBody"/>
        <w:bidi w:val="0"/>
        <w:spacing w:before="120" w:after="0"/>
        <w:jc w:val="left"/>
        <w:rPr>
          <w:rFonts w:ascii="Times New Roman" w:hAnsi="Times New Roman"/>
          <w:sz w:val="20"/>
        </w:rPr>
      </w:pPr>
      <w:r>
        <w:rPr>
          <w:rFonts w:ascii="Times New Roman" w:hAnsi="Times New Roman"/>
          <w:sz w:val="20"/>
        </w:rPr>
        <w:t>Subject to our executive officers’ and directors’ pre-existing fiduciary duties and the limitations that a target business have a fair market value of at least 80% of the balance in the trust account (excluding any taxes payable on the interest earned, if any)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Except for the general criteria and guidelines set forth above under the caption “</w:t>
      </w:r>
      <w:r>
        <w:rPr>
          <w:rFonts w:ascii="Times New Roman" w:hAnsi="Times New Roman"/>
          <w:i/>
          <w:sz w:val="20"/>
        </w:rPr>
        <w:t>Investment Criteria</w:t>
      </w:r>
      <w:r>
        <w:rPr>
          <w:rFonts w:ascii="Times New Roman" w:hAnsi="Times New Roman"/>
          <w:sz w:val="20"/>
        </w:rPr>
        <w:t xml:space="preserve">,” we have not established any specific attributes or criteria (financial or otherwise) for prospective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acquisition targets. In evaluating a prospective target business, our management may consider a variety of factors, including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and results of operation;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size and growth potential;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brand recognition and potential;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and skill of management and availability of additional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barriers to entry;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stage of development of the products, processes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distribution and potential for expansion;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degree of current or potential market acceptance of the products, processes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proprietary aspects of products and the extent of intellectual property or other protection for products or formulas;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regulation on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environment of the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effecting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leadership, sustainability of market share and attractiveness of market industries in which a target business participates;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 competitive dynamics in the industry within which the company competes;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fit, cooperation and coachability of management team.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 </w:t>
      </w:r>
    </w:p>
    <w:p>
      <w:pPr>
        <w:pStyle w:val="TextBody"/>
        <w:bidi w:val="0"/>
        <w:spacing w:before="360" w:after="0"/>
        <w:jc w:val="left"/>
        <w:rPr>
          <w:rFonts w:ascii="Times New Roman" w:hAnsi="Times New Roman"/>
          <w:i/>
          <w:sz w:val="20"/>
        </w:rPr>
      </w:pPr>
      <w:r>
        <w:rPr>
          <w:rFonts w:ascii="Times New Roman" w:hAnsi="Times New Roman"/>
          <w:i/>
          <w:sz w:val="20"/>
        </w:rPr>
        <w:t xml:space="preserve">Fair Market Value of Target Business </w:t>
      </w:r>
    </w:p>
    <w:p>
      <w:pPr>
        <w:pStyle w:val="TextBody"/>
        <w:bidi w:val="0"/>
        <w:spacing w:before="120" w:after="0"/>
        <w:jc w:val="left"/>
        <w:rPr>
          <w:rFonts w:ascii="Times New Roman" w:hAnsi="Times New Roman"/>
          <w:sz w:val="20"/>
        </w:rPr>
      </w:pPr>
      <w:r>
        <w:rPr>
          <w:rFonts w:ascii="Times New Roman" w:hAnsi="Times New Roman"/>
          <w:sz w:val="20"/>
        </w:rPr>
        <w:t xml:space="preserve">The target business or businesses that we acquire must collectively have a fair market value equal to at least 80% of the balance of the funds in the trust account (excluding any taxes payable on the interest earned, if any) at the time of the execution of a definitive agreement for our initial business combination, although we may acquire a target business whose fair market value significantly exceeds 80% of the trust account balance. Such initial business combination must be approved by a majority of the company’s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currently anticipate structuring a business combination involving 100% of the equity interests or assets of an acquisition target(s). We may, however, structure our initial business combination where we merge directly with the target business or involving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fundraising arrangement and have no current intention of doing so. The fair market value of the target will be determined by our board of directors based upon one or more standards generally accepted by the financial community (such as actual and potential sales, earnings, cash flow, valuation of the specific market segment of the target and/or book value). The proxy solicitation materials or tender offer documents used by us in connection with any proposed transaction will provide public shareholders with our analysis of the fair market value of the target business, as well as the basis for our determinations. If our board of directors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investment banking firm as to the fair market value if our board of directors independently determines that the target business complies with the 80% threshold. </w:t>
      </w:r>
    </w:p>
    <w:p>
      <w:pPr>
        <w:pStyle w:val="TextBody"/>
        <w:bidi w:val="0"/>
        <w:spacing w:before="360" w:after="0"/>
        <w:jc w:val="left"/>
        <w:rPr>
          <w:rFonts w:ascii="Times New Roman" w:hAnsi="Times New Roman"/>
          <w:i/>
          <w:sz w:val="20"/>
        </w:rPr>
      </w:pPr>
      <w:r>
        <w:rPr>
          <w:rFonts w:ascii="Times New Roman" w:hAnsi="Times New Roman"/>
          <w:i/>
          <w:sz w:val="20"/>
        </w:rPr>
        <w:t xml:space="preserve">Lack of business diversification </w:t>
      </w:r>
    </w:p>
    <w:p>
      <w:pPr>
        <w:pStyle w:val="TextBody"/>
        <w:bidi w:val="0"/>
        <w:spacing w:before="120" w:after="0"/>
        <w:jc w:val="left"/>
        <w:rPr>
          <w:rFonts w:ascii="Times New Roman" w:hAnsi="Times New Roman"/>
          <w:sz w:val="20"/>
        </w:rPr>
      </w:pPr>
      <w:r>
        <w:rPr>
          <w:rFonts w:ascii="Times New Roman" w:hAnsi="Times New Roman"/>
          <w:sz w:val="20"/>
        </w:rPr>
        <w:t xml:space="preserve">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us to negative economic, competitive and regulatory developments, any or all of which may have a substantial adverse impact on the particular industry in which we operate after our initial business combination,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us to depend on the marketing and sale of a single product or limited number of products or services.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Limited ability to evaluate the target’s 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Although we intend to closely scrutinize the management of a prospective target business when evaluating the desirability of effecting our initial business combination with that business, our assessment of a target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management may not prove to be correct. Moreover, members of our management team may not have significant experience or knowledge relating to the operations of the particular target business. The future role of members of our management team, if any, in a post-transaction company cannot presently be stated with any certainty. Consequently, members of our management team may not become a part of the post-transaction company’s management team or serve it in advisory positions, and the future management may not have the necessary skills, qualifications or abilities to manage a public company. Further, it is also not certain whether one or more of our directors will remain associated with the post-transaction company in some capacity following our initial business combination. The determination as to whether any of our key personnel will remain with the post-transaction company will be made at the time of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our initial business combination, we may seek to recruit additional managers to supplement the incumbent management of the target business. However, we may not have the ability to recruit additional managers, or to locate additional managers who will have the requisite skills, knowledge or experience necessary to enhance the incumbent management.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Shareholders May Not Have the Ability to Approve an Initial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any proposed business combination, 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in each case subject to the limitations described herein. We will seek shareholder approval if it is required by applicable law or stock exchange listing requirement, provided, that we may also decide to seek shareholder approval for business or other reasons. </w:t>
      </w:r>
    </w:p>
    <w:p>
      <w:pPr>
        <w:pStyle w:val="TextBody"/>
        <w:bidi w:val="0"/>
        <w:spacing w:before="240" w:after="0"/>
        <w:jc w:val="left"/>
        <w:rPr>
          <w:rFonts w:ascii="Times New Roman" w:hAnsi="Times New Roman"/>
          <w:sz w:val="20"/>
        </w:rPr>
      </w:pPr>
      <w:r>
        <w:rPr>
          <w:rFonts w:ascii="Times New Roman" w:hAnsi="Times New Roman"/>
          <w:sz w:val="20"/>
        </w:rPr>
        <w:t xml:space="preserve">Under the Nasdaq listing rules, shareholder approval would be required for our initial business combination if,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issue (other than in a public offering for cash) ordinary shares that will either (a) be equal to or in excess of 20% of the number of ordinary shares then outstanding or (b) have voting power equal to or in excess of 20% of the voting power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officers or substantial security holders (as defined by the Nasdaq rules) has a 5% or greater interest, directly or indirectly, in the target business or assets to be acquired and if the number of ordinary shares to be issued, or if the number of ordinary shares into which the securities may be convertible or exercisable, exceeds either (a) 1% of the number of ordinary shares or 1% of the voting power outstanding before the issuance in the case of any of our directors and officers or (b) 5% of the number of ordinary shares or 5% of the voting power outstanding before the issuance in the case of any substantial security 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or potential issuance of ordinary shares will result in our undergoing a change of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determine to engage in a tender offer, such tender offer will be structured so that each shareholder may tender any or all of his, her or its shares rather than some pro rata portion of his, her or its shares. The decision as to whether we will seek shareholder approval of a proposed business combination or will allow shareholders to sell their shares to us in a tender offer will be made by us, solely in our discretion, and will be based on business and legal reasons, which include a variety of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the proposed transaction, including in the event we determine shareholder approval would require additional time and there is either not enough time to seek shareholder approval or doing so would place us at a disadvantage in the transaction or result in other additional burdens 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cost of holding a shareholder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our shareholders would fail to approve the initial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time and budget constraints;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additional legal complexities of an initial business combination that would be time-consuming and burdensome to present to shareholders.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Unlike other blank check companies which require shareholder votes and conduct proxy solicitations in conjunction with their initial business combinations and related conversions of public shares for cash upon consummation of such initial business combination even when a vote is not required by law, we will have the flexibility to avoid such shareholder vote and allow our shareholders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t>
      </w:r>
    </w:p>
    <w:p>
      <w:pPr>
        <w:pStyle w:val="TextBody"/>
        <w:bidi w:val="0"/>
        <w:spacing w:before="240" w:after="0"/>
        <w:jc w:val="left"/>
        <w:rPr>
          <w:rFonts w:ascii="Times New Roman" w:hAnsi="Times New Roman"/>
          <w:sz w:val="20"/>
        </w:rPr>
      </w:pPr>
      <w:r>
        <w:rPr>
          <w:rFonts w:ascii="Times New Roman" w:hAnsi="Times New Roman"/>
          <w:sz w:val="20"/>
        </w:rPr>
        <w:t xml:space="preserve">Our sponsor, directors, Lynrock and non-managing investors will agree to vote their founder shares, private investor shares and private placement shares in favor of any proposed business combination. In addition, the sponsor, executive officers and directors will agree (1) not to redeem any ordinary shares in connection with a shareholder vote to approve a proposed initial business combination or in connection with a shareholder vote to approve an amendment to our memorandum and articles of association, (A) to modify the substance or timing of our obligation to redeem 100% of our outstanding public shares if we do not timely complete a business combination or (B) with respect to any other provision relating to shareholders’ rights or pre-business combination activity and (2) not sell any ordinary shares in any tender in connection with a proposed initial business combination. As a result, we would need only approximately 11,419,506 public shares, or approximately 51.91% of the 22,000,000 public shares sold in this offering to be voted in favor of a transaction in order to have our initial business combination approved (assuming (i) the over-allotment option is not exercised and all shares were present and entitled to vote at the meeting, (ii) 1,023,943 founder shares and 386,681 private investor shares have been forfeited and (iii) there are 337,675 private placement shares included in the private placement units outstanding). </w:t>
      </w:r>
    </w:p>
    <w:p>
      <w:pPr>
        <w:pStyle w:val="TextBody"/>
        <w:bidi w:val="0"/>
        <w:spacing w:before="240" w:after="0"/>
        <w:jc w:val="left"/>
        <w:rPr>
          <w:rFonts w:ascii="Times New Roman" w:hAnsi="Times New Roman"/>
          <w:sz w:val="20"/>
        </w:rPr>
      </w:pPr>
      <w:r>
        <w:rPr>
          <w:rFonts w:ascii="Times New Roman" w:hAnsi="Times New Roman"/>
          <w:sz w:val="20"/>
        </w:rPr>
        <w:t xml:space="preserve">None of our sponsor, executive officers, directors, or their affiliates has indicated any intention to purchase public units or public shares in this offering or from persons on the open market or in private transactions. However, our sponsor, executive officers and directors will agree to vote any public shares they may hold in favor of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However, if we hold a meeting to approve a proposed business combination and a significant number of shareholders vote, or indicate an intention to vote, against such proposed business combination, our sponsor, executive officers, directors, or their affiliates could make such purchases on the open market or in private transactions in order to influence the vote. Notwithstanding the foregoing, our sponsor, executive officers, directors, and their affiliates will not make purchases of public shares if the purchases would violate Section 9(a)(2) or Rule 10b-5 of the Exchange Act, which are rules designed to stop potential manipulation of a company’s stock.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At any meeting called to approve an initial business combination, public shareholders (but not our sponsor, executive officers and directors) may seek to redeem their public shares, regardless of whether they vote for or against the proposed business combination, by converting such shares into their pro rata share of the aggregate amount then on deposit in the trust account as of two business days prior to the consummation of the initial business combination, less any taxes then due but not yet paid (which taxes may be paid only from the interest earned on the funds in the trust account, net of taxes). Alternatively, we may provide our public shareholders (but not our sponsor, executive officers and directors) with the opportunity to sell their public shares to us through a tender offer (and thereby avoid the need for a shareholder vote) for an amount equal to their pro rata share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aggregate amount then on deposit in the trust account, less any taxes then due but not yet paid. Our sponsor, executive officers and directors have entered into a letter agreement with us, pursuant to which they will agree to waive their redemption rights with respect to all ordinary shares in connection with the completion of our initial business combination. 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as further discussed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also require public shareholders seeking redemption, whether they are a record holder or hold their shares in “street name,” to either (i) tender their certificates to our transfer agent or (ii) deliver their shares to the transfer agent electronically using Depository Trust Company’s DWAC (Deposit/Withdrawal At Custodian) System, at the holder’s option, in each case prior to a date set forth in the proxy materials sent in connection with the proposal to approve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There is a nominal cost associated with the above-referenced delivery process and the act of certificating the shares or delivering them through the DWAC System. The transfer agent will typically charge the tendering broker $80.00 and it would be up to the broker whether or not to pass this cost on to the holder. This fee would be incurred regardless of whether or not we require holders seeking to exercise redemption rights to do so prior to the time that we know that the proposed business combination will be consummated. The need to deliver shares is a requirement of exercising redemption rights regardless of the timing of when such delivery must be effectuated. Thus, in the event we require shareholders seeking to exercise redemption rights to deliver their shares prior to the consummation of the proposed business combination and the proposed business combination is not consummated, this may result in an increased cost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Any proxy solicitation materials we furnish to shareholders in connection with a vote for any proposed business combination will indicate whether we are requiring shareholders to satisfy such certification and delivery requirements. Accordingly, a shareholder would have from the time the shareholder received our proxy statement up until the time designated in the proxy statement to deliver his, her or its shares if he, she or it wishes to seek to exercise his, her or its redemption rights. This time period varies depending on the specific facts of each transaction. However, as the delivery process can be accomplished by the shareholder, whether or not he, she or it is a record holder or his, her or its shares are held in “street name,” in a matter of hours by simply contacting the transfer agent or his, her or its broker and requesting delivery of his her or its shares through the DWAC System, we believe this time period is sufficient for an average investor. However, we cannot assure you of this fact. </w:t>
      </w:r>
      <w:r>
        <w:rPr>
          <w:rFonts w:ascii="Times New Roman" w:hAnsi="Times New Roman"/>
          <w:b/>
          <w:sz w:val="20"/>
        </w:rPr>
        <w:t>See “</w:t>
      </w:r>
      <w:r>
        <w:rPr>
          <w:rFonts w:ascii="Times New Roman" w:hAnsi="Times New Roman"/>
          <w:b/>
          <w:i/>
          <w:sz w:val="20"/>
        </w:rPr>
        <w:t>Risk Factors—Risks Relating to our Search for, and Consummation of or Inability to Consummate, a Business Combination—We will require public shareholders who wish to redeem their public shares in connection with a proposed business combination to comply with specific requirements for redemption that may make it more difficult for them to exercise their redemption</w:t>
      </w:r>
      <w:r>
        <w:rPr>
          <w:rFonts w:ascii="Times New Roman" w:hAnsi="Times New Roman"/>
          <w:sz w:val="20"/>
        </w:rPr>
        <w:t xml:space="preserve"> </w:t>
      </w:r>
      <w:r>
        <w:rPr>
          <w:rFonts w:ascii="Times New Roman" w:hAnsi="Times New Roman"/>
          <w:b/>
          <w:i/>
          <w:sz w:val="20"/>
        </w:rPr>
        <w:t>rights prior to the deadline for exercising their rights</w:t>
      </w:r>
      <w:r>
        <w:rPr>
          <w:rFonts w:ascii="Times New Roman" w:hAnsi="Times New Roman"/>
          <w:sz w:val="20"/>
        </w:rPr>
        <w:t xml:space="preserve">” for further information on the risks of failing to comply with these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different from the procedures historically used by some blank check companies. Traditionally, in order to perfect redemption rights in connection with a blank check company’s business combination, the company would distribute proxy materials for the shareholders’ vote on an initial business combination, and a holder could simply vote against a proposed business combination and check a box on the proxy card indicating such holder was seeking to exercise his, her or its redemption rights. After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was approved, the company would contact such shareholder to arrange for him, her or it to deliver his, her or its certificate to verify ownership. As a result, the shareholder then had an “option window” after the consummation of the business combination during which he, she or it could monitor the price of the company’s stock in the market. If the price rose above the conversion price, he could sell his, her or its shares on the open market before actually delivering his, her or its shares to the company for cancellation. As a result, the redemption rights, to which shareholders were aware they needed to commit before the shareholder meeting, would become a “continuing” right surviving past the consummation of the business combination until the holder delivered his, her or its certificate or shares. The requirement for physical or electronic delivery prior to the meeting ensures that a holder’s election to convert his, her or its shares is irrevocable once the business combination is approved. </w:t>
      </w:r>
    </w:p>
    <w:p>
      <w:pPr>
        <w:pStyle w:val="TextBody"/>
        <w:bidi w:val="0"/>
        <w:spacing w:before="240" w:after="0"/>
        <w:jc w:val="left"/>
        <w:rPr>
          <w:rFonts w:ascii="Times New Roman" w:hAnsi="Times New Roman"/>
          <w:sz w:val="20"/>
        </w:rPr>
      </w:pPr>
      <w:r>
        <w:rPr>
          <w:rFonts w:ascii="Times New Roman" w:hAnsi="Times New Roman"/>
          <w:sz w:val="20"/>
        </w:rPr>
        <w:t xml:space="preserve">Any request to redeem such shares once made, may be withdrawn at any time up to the vote on the proposed business combination. Furthermore, if a holder of a public share delivered his, her or its certificate in connection with an election of such shares’ redemption and subsequently decides prior to the vote on the proposed business combination not to elect to exercise such rights, he, she or it may simply request that the transfer agent return the certificate or shares (physically or electronically). </w:t>
      </w:r>
    </w:p>
    <w:p>
      <w:pPr>
        <w:pStyle w:val="TextBody"/>
        <w:bidi w:val="0"/>
        <w:spacing w:before="240" w:after="0"/>
        <w:jc w:val="left"/>
        <w:rPr>
          <w:rFonts w:ascii="Times New Roman" w:hAnsi="Times New Roman"/>
          <w:sz w:val="20"/>
        </w:rPr>
      </w:pPr>
      <w:r>
        <w:rPr>
          <w:rFonts w:ascii="Times New Roman" w:hAnsi="Times New Roman"/>
          <w:sz w:val="20"/>
        </w:rPr>
        <w:t xml:space="preserve">If the initial business combination is not approved or completed for any reason, then our public shareholders who elected to exercise their redemption rights would not be entitled to redeem their shares for the applicable pro rata share of the trust account (net of permitted withdrawals) as of two (2) business days prior to the consummation of the initial business combination. In such case, we will promptly return any certificates or shares delivered by public holders. Furthermore, if the initial business combination is not approved or completed for any reason, then our public shareholders who elected to exercise their redemption rights will not be entitled to convert their shares into a full pro rata portion of the trust account (net of permitted withdrawals and less $100,000 for dissolution expenses), as applicable. We will thereafter promptly return any shares delivered by public shareholders. In such case, public shareholders may only share in the assets of the trust account upon our liquidation. This may result in public shareholders receiving less than they would have received if the business combination was completed and they had exercised redemption rights in connection therewith due to potential claims of creditors.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if No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memorandum and articles of association provides that we will have only 24 months from the closing of this offering to complete an initial business combination. If we have not completed an initial business combination by such date, we will (i) cease all operations except for the purpose of winding up, (ii) as promptly as reasonably possible but not more than ten (10) business days thereafter, redeem 100% of the outstanding public shares, at a per-share price, payable in cash, equal to the aggregate amount then on deposit in the trust account, (net of permitted withdrawals and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dissolve and liquidate, subject (in the case of (ii) and (iii) above) to our obligations under the Cayman Islands laws to provide for claims of creditors and the requirements of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Our sponsor, executive officers and directors have agreed (pursuant to a written letter agreement with us filed as exhibits to the registration statement of which this prospectus forms a part) that they will not propose any amendment to our amended and restated memorandum and articles of association that would stop our public shareholders from converting or selling their public shares to us in connection with a business combination or affect the substance or timing of our obligation to redeem 100% of our public shares if we do not complete a business combination within 24 months from the closing of this offering unless we provide our public shareholders with the opportunity to redeem their public shares upon such approval at a per-share price,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cash, equal to the aggregate amount then on deposit in the trust account, net of permitted withdrawals, divided by the number of then outstanding public shares. This redemption right shall apply in the event of the approval of any such amendment, whether proposed by our sponsor, any executive officer, director or director nominee,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as further discussed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use our reasonable best efforts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(net of permitted withdrawals and less up to $100,000 for dissolution expenses) to our public shareholders. Nevertheless, we cannot assure you of this fact as there is no guarantee that vendors, service providers and prospective target businesses will execute such agreements.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Our underwriters and auditor are the only third parties we are currently aware of that may not execute a waiver. Nor is there any guarantee that, even if they execute such agreements with us, they will not seek recourse against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We anticipate notifying the trustee of the trust account to begin liquidating such assets promptly after such date and anticipate it will take no more than ten (10) business days to effectuate such distribution. Our insiders and non-managing investors have waived their rights to participate in any liquidation distribution with respect to the founder shares, private investor shares and private placement shares. We will pay the costs of any subsequent liquidation from our remaining assets outside of the trust account and the interest earned on the funds held in the trust account that we are permitted to withdraw to pay such expenses.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complete an initial business combination and expend all of the net proceeds of this offering, other than the proceeds deposited in the trust account, and without taking into account interest, if any, earned on the trust account, the initial per-share redemption price would be $10.00. The proceeds deposited in the trust account could, however, become subject to claims of our creditors that are in preference to the claims of public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public shareholders shall be entitled to receive funds from the trust account only in the event of our failure to complete a business combination within the required time period or if the shareholders seek to have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redeem or purchase their respective shares upon a business combination which is actually completed by us or upon certain amendments to our amended and restated memorandum and articles of association as described elsewhere herein. In no other circumstances shall a shareholder have any right or interest of any kind to or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Our insiders and non-managing investors will not participate in any redemption distribution from our trust account with respect to their founder shares, private investor shares and private placement shares. Additionally, any loans made by our officers, directors, sponsors or their affiliates for working capital needs will be forgiven and not repaid if we are unable to complete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make any assurance of the amount we will be able to return to our public shareholders. </w:t>
      </w:r>
    </w:p>
    <w:p>
      <w:pPr>
        <w:pStyle w:val="TextBody"/>
        <w:bidi w:val="0"/>
        <w:spacing w:before="240" w:after="0"/>
        <w:jc w:val="left"/>
        <w:rPr>
          <w:rFonts w:ascii="Times New Roman" w:hAnsi="Times New Roman"/>
          <w:sz w:val="20"/>
        </w:rPr>
      </w:pPr>
      <w:r>
        <w:rPr>
          <w:rFonts w:ascii="Times New Roman" w:hAnsi="Times New Roman"/>
          <w:sz w:val="20"/>
        </w:rPr>
        <w:t xml:space="preserve">If we are forced to file a bankruptcy case or an involuntary bankruptcy case is filed against us which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Furthermore, because we intend to distribute the proceeds held in the trust account to our public shareholders promptly after 24 months from the closing of this offering, this may be viewed or interpreted as giving preference to our public shareholders over any potential creditors with respect to access to or distributions from our assets. Furthermore, our board of directors may be viewed as having breached their fiduciary duties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 </w:t>
      </w:r>
    </w:p>
    <w:p>
      <w:pPr>
        <w:pStyle w:val="TextBody"/>
        <w:bidi w:val="0"/>
        <w:spacing w:before="360" w:after="0"/>
        <w:jc w:val="left"/>
        <w:rPr>
          <w:rFonts w:ascii="Times New Roman" w:hAnsi="Times New Roman"/>
          <w:i/>
          <w:sz w:val="20"/>
        </w:rPr>
      </w:pPr>
      <w:r>
        <w:rPr>
          <w:rFonts w:ascii="Times New Roman" w:hAnsi="Times New Roman"/>
          <w:i/>
          <w:sz w:val="20"/>
        </w:rPr>
        <w:t xml:space="preserve">Amended and Restated Memorandum and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memorandum and articles of association will contain certain requirements and restrictions relating to this offering that will apply to us until the consummation of our initial business combination. These provisions cannot be amended without the approval of a majority of our shareholders. If we seek to amend any provisions of our amended and restated memorandum and articles of association that would stop our public shareholders from converting or selling their shares to us in connection with a business combination or affect the substance or timing of our obligation to redeem 100% of our public shares if we do not complete a business combination within 24 months from the closing of this offering, we will provide dissenting public shareholders with the opportunity to convert their public shares in connection with any such vote. This redemption right shall apply in the event of the approval of any such amendment, whether proposed by our sponsor, any executive officer, director or director nominee, or any other person. Our insiders and non-managing investors have agreed to waive any redemption rights with respect to their founder shares, private investor shares and private placement shares held by them, and the sponsor has agreed to waive its redemption rights with respect to any public shares it may hold, in each case in connection with any vote to amend our amended and restated memorandum and articles of association. Specifically, our amended and restated memorandum and articles of association provides,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either (1) seek shareholder approval of our initial business combination at a meeting called for such purpose at which shareholders may seek to redeem their shares, regardless of whether they vote for or against the proposed business combination, into their pro rata share of the aggregate amount then on deposit in the trust account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in each case subject to the limitations described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initial business combination is not consummated within 24 months from the closing of this offering then we will redeem all of the outstanding public shares and thereafter liquidate and dissolve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consummation of this offering, $220,000,000, or $253,000,000 if the over-allotment option is exercised in full, shall be placed into the trust account;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our initial business combination, we may not issue additional shares that participate in any manner in the proceeds of the trust account, or that votes as a class with the public shares sold in this offering on any matter.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Although we believe there may be numerous potential target businesses that we could acquire with the net proceeds of this offering, our ability to compete in acquiring certain sizable target businesses may be limited by our available financial resources.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also may not be viewed favorably by certain target businesses: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to seek shareholder approval of a business combination or engage in a tender offer may delay the completion of a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to redeem Class A ordinary shares held by our public shareholders may reduce the resources available to us for a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 held entities having a similar business objective as ours in acquiring a target business with significant growth potential on favorable terms. </w:t>
      </w:r>
    </w:p>
    <w:p>
      <w:pPr>
        <w:pStyle w:val="TextBody"/>
        <w:bidi w:val="0"/>
        <w:spacing w:before="240" w:after="0"/>
        <w:jc w:val="left"/>
        <w:rPr>
          <w:rFonts w:ascii="Times New Roman" w:hAnsi="Times New Roman"/>
          <w:sz w:val="20"/>
        </w:rPr>
      </w:pPr>
      <w:r>
        <w:rPr>
          <w:rFonts w:ascii="Times New Roman" w:hAnsi="Times New Roman"/>
          <w:sz w:val="20"/>
        </w:rPr>
        <w:t xml:space="preserve">If we succeed in effecting a business combination, there will be, in all likelihood, intense competition from competitors of the target business. We cannot assure you that, subsequent to a business combination, we will have the resources or ability to compete effectively. </w:t>
      </w:r>
    </w:p>
    <w:p>
      <w:pPr>
        <w:pStyle w:val="TextBody"/>
        <w:bidi w:val="0"/>
        <w:spacing w:before="360" w:after="0"/>
        <w:jc w:val="left"/>
        <w:rPr>
          <w:rFonts w:ascii="Times New Roman" w:hAnsi="Times New Roman"/>
          <w:i/>
          <w:sz w:val="20"/>
        </w:rPr>
      </w:pPr>
      <w:r>
        <w:rPr>
          <w:rFonts w:ascii="Times New Roman" w:hAnsi="Times New Roman"/>
          <w:i/>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maintain our principal executive offices at 1731 Embarcadero Rd., Suite 200, Palo Alto, CA 94303. The cost for this space is included in the $30,000 monthly fee GigManagement, LLC will charge us for general and administrative services commencing on the date of this prospectus pursuant to an Administrative Services Agreement between us and GigManagement, LLC until the consummation of an initial business combination. We believe, based on rents and fees for similar services in the San Francisco Bay Area, that the fee charged by our sponsor is at least as favorable as we could have obtained from an unaffiliated person. We consider our current office space, combined with the other office space otherwise available to our executive officers, adequate for our current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We have two executive officers. The amount of time they will devote in any time period will vary based on whether a target business has been selected for the business combination and the stage of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process the company is in. Accordingly, once a suitable target business to acquire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full-time employees prior to the consummation of a business combination. </w:t>
      </w:r>
    </w:p>
    <w:p>
      <w:pPr>
        <w:pStyle w:val="TextBody"/>
        <w:bidi w:val="0"/>
        <w:spacing w:before="360" w:after="0"/>
        <w:jc w:val="left"/>
        <w:rPr>
          <w:rFonts w:ascii="Times New Roman" w:hAnsi="Times New Roman"/>
          <w:i/>
          <w:sz w:val="20"/>
        </w:rPr>
      </w:pPr>
      <w:r>
        <w:rPr>
          <w:rFonts w:ascii="Times New Roman" w:hAnsi="Times New Roman"/>
          <w:i/>
          <w:sz w:val="20"/>
        </w:rPr>
        <w:t xml:space="preserve">Periodic Reporting and Audited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registered our public units, public shares and public rights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shareholders with audited financial statements of the prospective target business as part of any proxy solicitation materials or tender offer documents sent to shareholders to assist them in assessing the target business. These financial statements will need to be prepared in accordance with or reconciled to GAAP or IFRS. We cannot assure you that any particular target business identified by us as a potential acquisition candidate will have the necessary financial statements. To the extent that this requirement cannot be met, we may not be able to acquire the proposed target business.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have our internal control procedures audited for the fiscal year ending December 31, 2026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w:t>
      </w:r>
    </w:p>
    <w:p>
      <w:pPr>
        <w:pStyle w:val="TextBody"/>
        <w:bidi w:val="0"/>
        <w:spacing w:before="360" w:after="0"/>
        <w:jc w:val="left"/>
        <w:rPr>
          <w:rFonts w:ascii="Times New Roman" w:hAnsi="Times New Roman"/>
          <w:i/>
          <w:sz w:val="20"/>
        </w:rPr>
      </w:pPr>
      <w:r>
        <w:rPr>
          <w:rFonts w:ascii="Times New Roman" w:hAnsi="Times New Roman"/>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There is no material litigation, arbitration or governmental proceeding currently pending against us or any members of our management team. </w:t>
      </w:r>
    </w:p>
    <w:p>
      <w:pPr>
        <w:pStyle w:val="TextBody"/>
        <w:bidi w:val="0"/>
        <w:spacing w:before="240" w:after="0"/>
        <w:jc w:val="left"/>
        <w:rPr>
          <w:rFonts w:ascii="Times New Roman" w:hAnsi="Times New Roman"/>
          <w:b/>
          <w:sz w:val="20"/>
        </w:rPr>
      </w:pPr>
      <w:r>
        <w:rPr>
          <w:rFonts w:ascii="Times New Roman" w:hAnsi="Times New Roman"/>
          <w:b/>
          <w:sz w:val="20"/>
        </w:rPr>
        <w:t>Comparison of Redemption or Purchase Prices in Connection with Our Initial Business Combination and if We Fail to Complete Our Initial Business Combination.</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compares the redemptions and other permitted purchases of public shares that may take place in connection with the completion of our initial business combination and if we are unable to complete our initial business combination within the completion window.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9"/>
        <w:gridCol w:w="195"/>
        <w:gridCol w:w="2439"/>
        <w:gridCol w:w="195"/>
        <w:gridCol w:w="2408"/>
        <w:gridCol w:w="120"/>
        <w:gridCol w:w="2589"/>
      </w:tblGrid>
      <w:tr>
        <w:trPr/>
        <w:tc>
          <w:tcPr>
            <w:tcW w:w="225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22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4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Redemptions in Connection</w:t>
              <w:br/>
              <w:t>with our Initial Business</w:t>
              <w:br/>
              <w:t>Combination</w:t>
            </w:r>
          </w:p>
        </w:tc>
        <w:tc>
          <w:tcPr>
            <w:tcW w:w="195" w:type="dxa"/>
            <w:tcBorders/>
            <w:vAlign w:val="bottom"/>
          </w:tcPr>
          <w:p>
            <w:pPr>
              <w:pStyle w:val="TableContents"/>
              <w:bidi w:val="0"/>
              <w:spacing w:before="0" w:after="283"/>
              <w:jc w:val="left"/>
              <w:rPr/>
            </w:pPr>
            <w:r>
              <w:rPr/>
              <w:t>  </w:t>
            </w:r>
          </w:p>
        </w:tc>
        <w:tc>
          <w:tcPr>
            <w:tcW w:w="24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Other Permitted Purchases of</w:t>
              <w:br/>
              <w:t>Public Shares by our</w:t>
              <w:br/>
              <w:t>Affiliates</w:t>
            </w:r>
          </w:p>
        </w:tc>
        <w:tc>
          <w:tcPr>
            <w:tcW w:w="120" w:type="dxa"/>
            <w:tcBorders/>
            <w:vAlign w:val="bottom"/>
          </w:tcPr>
          <w:p>
            <w:pPr>
              <w:pStyle w:val="TableContents"/>
              <w:bidi w:val="0"/>
              <w:spacing w:before="0" w:after="283"/>
              <w:jc w:val="left"/>
              <w:rPr/>
            </w:pPr>
            <w:r>
              <w:rPr/>
              <w:t>  </w:t>
            </w:r>
          </w:p>
        </w:tc>
        <w:tc>
          <w:tcPr>
            <w:tcW w:w="25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Redemptions if we fail to</w:t>
              <w:br/>
              <w:t>Complete an Initial Business</w:t>
              <w:br/>
              <w:t>Combination</w:t>
            </w:r>
          </w:p>
        </w:tc>
      </w:tr>
      <w:tr>
        <w:trPr/>
        <w:tc>
          <w:tcPr>
            <w:tcW w:w="2259" w:type="dxa"/>
            <w:tcBorders/>
          </w:tcPr>
          <w:p>
            <w:pPr>
              <w:pStyle w:val="TableContents"/>
              <w:bidi w:val="0"/>
              <w:spacing w:before="0" w:after="283"/>
              <w:jc w:val="left"/>
              <w:rPr>
                <w:b/>
              </w:rPr>
            </w:pPr>
            <w:r>
              <w:rPr>
                <w:b/>
              </w:rPr>
              <w:t>Calculation of redemption price</w:t>
            </w:r>
          </w:p>
        </w:tc>
        <w:tc>
          <w:tcPr>
            <w:tcW w:w="195" w:type="dxa"/>
            <w:tcBorders/>
            <w:vAlign w:val="bottom"/>
          </w:tcPr>
          <w:p>
            <w:pPr>
              <w:pStyle w:val="TableContents"/>
              <w:bidi w:val="0"/>
              <w:spacing w:before="0" w:after="283"/>
              <w:jc w:val="left"/>
              <w:rPr/>
            </w:pPr>
            <w:r>
              <w:rPr/>
              <w:t>  </w:t>
            </w:r>
          </w:p>
        </w:tc>
        <w:tc>
          <w:tcPr>
            <w:tcW w:w="2439" w:type="dxa"/>
            <w:tcBorders/>
          </w:tcPr>
          <w:p>
            <w:pPr>
              <w:pStyle w:val="TableContents"/>
              <w:bidi w:val="0"/>
              <w:spacing w:before="0" w:after="283"/>
              <w:jc w:val="left"/>
              <w:rPr/>
            </w:pPr>
            <w:r>
              <w:rPr/>
              <w:t>Redemptions at the time of our initial business combination may be made pursuant to a tender offer or in connection with a shareholder vote. The redemption price will be the same whether we conduct redemptions pursuant to a tender offer or in connection with a shareholder vote. In either case, our public</w:t>
            </w:r>
          </w:p>
        </w:tc>
        <w:tc>
          <w:tcPr>
            <w:tcW w:w="195"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pPr>
            <w:r>
              <w:rPr/>
              <w:t>If we seek shareholder approval of our initial business combination, our initial shareholders or their affiliates may purchase public shares or public rights in privately negotiated transactions or on the open market either prior to or following</w:t>
            </w:r>
          </w:p>
        </w:tc>
        <w:tc>
          <w:tcPr>
            <w:tcW w:w="120" w:type="dxa"/>
            <w:tcBorders/>
            <w:vAlign w:val="bottom"/>
          </w:tcPr>
          <w:p>
            <w:pPr>
              <w:pStyle w:val="TableContents"/>
              <w:bidi w:val="0"/>
              <w:spacing w:before="0" w:after="283"/>
              <w:jc w:val="left"/>
              <w:rPr/>
            </w:pPr>
            <w:r>
              <w:rPr/>
              <w:t>  </w:t>
            </w:r>
          </w:p>
        </w:tc>
        <w:tc>
          <w:tcPr>
            <w:tcW w:w="2589" w:type="dxa"/>
            <w:tcBorders/>
          </w:tcPr>
          <w:p>
            <w:pPr>
              <w:pStyle w:val="TableContents"/>
              <w:bidi w:val="0"/>
              <w:spacing w:before="0" w:after="283"/>
              <w:jc w:val="left"/>
              <w:rPr/>
            </w:pPr>
            <w:r>
              <w:rPr/>
              <w:t>If we are unable to complete our initial business combination within the completion window, we will redeem all public shares at a per-share price, payable in cash, equal to the aggregate amount, then on deposit in the trust account (which is initially anticipated to be $10.00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74"/>
        <w:gridCol w:w="193"/>
        <w:gridCol w:w="2450"/>
        <w:gridCol w:w="193"/>
        <w:gridCol w:w="2404"/>
        <w:gridCol w:w="120"/>
        <w:gridCol w:w="2571"/>
      </w:tblGrid>
      <w:tr>
        <w:trPr/>
        <w:tc>
          <w:tcPr>
            <w:tcW w:w="2274"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227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Redemptions in Connection</w:t>
              <w:br/>
              <w:t>with our Initial Business</w:t>
              <w:br/>
              <w:t>Combination</w:t>
            </w:r>
          </w:p>
        </w:tc>
        <w:tc>
          <w:tcPr>
            <w:tcW w:w="193" w:type="dxa"/>
            <w:tcBorders/>
            <w:vAlign w:val="bottom"/>
          </w:tcPr>
          <w:p>
            <w:pPr>
              <w:pStyle w:val="TableContents"/>
              <w:bidi w:val="0"/>
              <w:spacing w:before="0" w:after="283"/>
              <w:jc w:val="left"/>
              <w:rPr/>
            </w:pPr>
            <w:r>
              <w:rPr/>
              <w:t>  </w:t>
            </w:r>
          </w:p>
        </w:tc>
        <w:tc>
          <w:tcPr>
            <w:tcW w:w="24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Other Permitted Purchases of</w:t>
              <w:br/>
              <w:t>Public Shares by our</w:t>
              <w:br/>
              <w:t>Affiliates</w:t>
            </w:r>
          </w:p>
        </w:tc>
        <w:tc>
          <w:tcPr>
            <w:tcW w:w="120" w:type="dxa"/>
            <w:tcBorders/>
            <w:vAlign w:val="bottom"/>
          </w:tcPr>
          <w:p>
            <w:pPr>
              <w:pStyle w:val="TableContents"/>
              <w:bidi w:val="0"/>
              <w:spacing w:before="0" w:after="283"/>
              <w:jc w:val="left"/>
              <w:rPr/>
            </w:pPr>
            <w:r>
              <w:rPr/>
              <w:t>  </w:t>
            </w:r>
          </w:p>
        </w:tc>
        <w:tc>
          <w:tcPr>
            <w:tcW w:w="25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Redemptions if we fail to</w:t>
              <w:br/>
              <w:t>Complete an Initial Business</w:t>
              <w:br/>
              <w:t>Combination</w:t>
            </w:r>
          </w:p>
        </w:tc>
      </w:tr>
      <w:tr>
        <w:trPr/>
        <w:tc>
          <w:tcPr>
            <w:tcW w:w="2274" w:type="dxa"/>
            <w:tcBorders/>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shareholders may redeem their public shares for cash equal to the aggregate amount then on deposit in the trust account calculated as of two business days prior to the consummation of the initial business combination (which is initially anticipated to be $10.00 per share), including interest (which interest shall be net of permitted withdrawals), divided by the number of then issued and outstanding public shares, subject to any limitations (including but not limited to cash requirements) agreed to in connection with the negotiation of terms of a proposed business combination.</w:t>
            </w:r>
          </w:p>
        </w:tc>
        <w:tc>
          <w:tcPr>
            <w:tcW w:w="193" w:type="dxa"/>
            <w:tcBorders/>
            <w:vAlign w:val="bottom"/>
          </w:tcPr>
          <w:p>
            <w:pPr>
              <w:pStyle w:val="TableContents"/>
              <w:bidi w:val="0"/>
              <w:spacing w:before="0" w:after="283"/>
              <w:jc w:val="left"/>
              <w:rPr/>
            </w:pPr>
            <w:r>
              <w:rPr/>
              <w:t>  </w:t>
            </w:r>
          </w:p>
        </w:tc>
        <w:tc>
          <w:tcPr>
            <w:tcW w:w="2404" w:type="dxa"/>
            <w:tcBorders/>
          </w:tcPr>
          <w:p>
            <w:pPr>
              <w:pStyle w:val="TableContents"/>
              <w:bidi w:val="0"/>
              <w:spacing w:before="0" w:after="283"/>
              <w:jc w:val="left"/>
              <w:rPr/>
            </w:pPr>
            <w:r>
              <w:rPr/>
              <w:t>completion of our initial business combination.</w:t>
            </w:r>
          </w:p>
        </w:tc>
        <w:tc>
          <w:tcPr>
            <w:tcW w:w="120" w:type="dxa"/>
            <w:tcBorders/>
            <w:vAlign w:val="bottom"/>
          </w:tcPr>
          <w:p>
            <w:pPr>
              <w:pStyle w:val="TableContents"/>
              <w:bidi w:val="0"/>
              <w:spacing w:before="0" w:after="283"/>
              <w:jc w:val="left"/>
              <w:rPr/>
            </w:pPr>
            <w:r>
              <w:rPr/>
              <w:t>  </w:t>
            </w:r>
          </w:p>
        </w:tc>
        <w:tc>
          <w:tcPr>
            <w:tcW w:w="2571" w:type="dxa"/>
            <w:tcBorders/>
          </w:tcPr>
          <w:p>
            <w:pPr>
              <w:pStyle w:val="TableContents"/>
              <w:bidi w:val="0"/>
              <w:spacing w:before="0" w:after="283"/>
              <w:jc w:val="left"/>
              <w:rPr/>
            </w:pPr>
            <w:r>
              <w:rPr/>
              <w:t>per share), including interest (which interest shall be net of permitted withdrawals and up to $100,000 of interest to pay liquidation expenses) divided by the number of then issued and outstanding public shares.</w:t>
            </w:r>
          </w:p>
        </w:tc>
      </w:tr>
      <w:tr>
        <w:trPr>
          <w:trHeight w:val="120" w:hRule="atLeast"/>
        </w:trPr>
        <w:tc>
          <w:tcPr>
            <w:tcW w:w="2274" w:type="dxa"/>
            <w:tcBorders/>
            <w:vAlign w:val="center"/>
          </w:tcPr>
          <w:p>
            <w:pPr>
              <w:pStyle w:val="TableContents"/>
              <w:bidi w:val="0"/>
              <w:spacing w:before="0" w:after="283"/>
              <w:jc w:val="left"/>
              <w:rPr>
                <w:sz w:val="4"/>
                <w:szCs w:val="4"/>
              </w:rPr>
            </w:pPr>
            <w:r>
              <w:rPr>
                <w:sz w:val="4"/>
                <w:szCs w:val="4"/>
              </w:rPr>
            </w:r>
          </w:p>
        </w:tc>
        <w:tc>
          <w:tcPr>
            <w:tcW w:w="2643" w:type="dxa"/>
            <w:gridSpan w:val="2"/>
            <w:tcBorders/>
            <w:vAlign w:val="center"/>
          </w:tcPr>
          <w:p>
            <w:pPr>
              <w:pStyle w:val="TableContents"/>
              <w:bidi w:val="0"/>
              <w:spacing w:before="0" w:after="283"/>
              <w:jc w:val="left"/>
              <w:rPr>
                <w:sz w:val="4"/>
                <w:szCs w:val="4"/>
              </w:rPr>
            </w:pPr>
            <w:r>
              <w:rPr>
                <w:sz w:val="4"/>
                <w:szCs w:val="4"/>
              </w:rPr>
            </w:r>
          </w:p>
        </w:tc>
        <w:tc>
          <w:tcPr>
            <w:tcW w:w="2597" w:type="dxa"/>
            <w:gridSpan w:val="2"/>
            <w:tcBorders/>
            <w:vAlign w:val="center"/>
          </w:tcPr>
          <w:p>
            <w:pPr>
              <w:pStyle w:val="TableContents"/>
              <w:bidi w:val="0"/>
              <w:spacing w:before="0" w:after="283"/>
              <w:jc w:val="left"/>
              <w:rPr>
                <w:sz w:val="4"/>
                <w:szCs w:val="4"/>
              </w:rPr>
            </w:pPr>
            <w:r>
              <w:rPr>
                <w:sz w:val="4"/>
                <w:szCs w:val="4"/>
              </w:rPr>
            </w:r>
          </w:p>
        </w:tc>
        <w:tc>
          <w:tcPr>
            <w:tcW w:w="2691" w:type="dxa"/>
            <w:gridSpan w:val="2"/>
            <w:tcBorders/>
            <w:vAlign w:val="center"/>
          </w:tcPr>
          <w:p>
            <w:pPr>
              <w:pStyle w:val="TableContents"/>
              <w:bidi w:val="0"/>
              <w:spacing w:before="0" w:after="283"/>
              <w:jc w:val="left"/>
              <w:rPr>
                <w:sz w:val="4"/>
                <w:szCs w:val="4"/>
              </w:rPr>
            </w:pPr>
            <w:r>
              <w:rPr>
                <w:sz w:val="4"/>
                <w:szCs w:val="4"/>
              </w:rPr>
            </w:r>
          </w:p>
        </w:tc>
      </w:tr>
      <w:tr>
        <w:trPr/>
        <w:tc>
          <w:tcPr>
            <w:tcW w:w="2274" w:type="dxa"/>
            <w:tcBorders/>
          </w:tcPr>
          <w:p>
            <w:pPr>
              <w:pStyle w:val="TableContents"/>
              <w:bidi w:val="0"/>
              <w:spacing w:before="0" w:after="283"/>
              <w:jc w:val="left"/>
              <w:rPr>
                <w:b/>
              </w:rPr>
            </w:pPr>
            <w:r>
              <w:rPr>
                <w:b/>
              </w:rPr>
              <w:t>Impact to remaining shareholders</w:t>
            </w:r>
          </w:p>
        </w:tc>
        <w:tc>
          <w:tcPr>
            <w:tcW w:w="193"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The redemptions in connection with our initial business combination will reduce the book value per share for our remaining shareholders, who will bear the burden of interest withdrawn in order to pay our taxes (to the extent not paid from amounts accrued as interest on the funds held in the trust account).</w:t>
            </w:r>
          </w:p>
        </w:tc>
        <w:tc>
          <w:tcPr>
            <w:tcW w:w="193" w:type="dxa"/>
            <w:tcBorders/>
            <w:vAlign w:val="bottom"/>
          </w:tcPr>
          <w:p>
            <w:pPr>
              <w:pStyle w:val="TableContents"/>
              <w:bidi w:val="0"/>
              <w:spacing w:before="0" w:after="283"/>
              <w:jc w:val="left"/>
              <w:rPr/>
            </w:pPr>
            <w:r>
              <w:rPr/>
              <w:t>  </w:t>
            </w:r>
          </w:p>
        </w:tc>
        <w:tc>
          <w:tcPr>
            <w:tcW w:w="2404" w:type="dxa"/>
            <w:tcBorders/>
          </w:tcPr>
          <w:p>
            <w:pPr>
              <w:pStyle w:val="TableContents"/>
              <w:bidi w:val="0"/>
              <w:spacing w:before="0" w:after="283"/>
              <w:jc w:val="left"/>
              <w:rPr/>
            </w:pPr>
            <w:r>
              <w:rPr/>
              <w:t>If the permitted purchases described above are made, there would be no impact to our remaining shareholders because the purchase price would not be paid by us.</w:t>
            </w:r>
          </w:p>
        </w:tc>
        <w:tc>
          <w:tcPr>
            <w:tcW w:w="120" w:type="dxa"/>
            <w:tcBorders/>
            <w:vAlign w:val="bottom"/>
          </w:tcPr>
          <w:p>
            <w:pPr>
              <w:pStyle w:val="TableContents"/>
              <w:bidi w:val="0"/>
              <w:spacing w:before="0" w:after="283"/>
              <w:jc w:val="left"/>
              <w:rPr/>
            </w:pPr>
            <w:r>
              <w:rPr/>
              <w:t>  </w:t>
            </w:r>
          </w:p>
        </w:tc>
        <w:tc>
          <w:tcPr>
            <w:tcW w:w="2571" w:type="dxa"/>
            <w:tcBorders/>
          </w:tcPr>
          <w:p>
            <w:pPr>
              <w:pStyle w:val="TableContents"/>
              <w:bidi w:val="0"/>
              <w:spacing w:before="0" w:after="283"/>
              <w:jc w:val="left"/>
              <w:rPr/>
            </w:pPr>
            <w:r>
              <w:rPr/>
              <w:t>The redemption of our public shares if we fail to complete our initial business combination will reduce the book value per share for the shares held by our initial shareholders, who will be our only remaining shareholders after such redemptions.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Comparison of This Offering to Those of Blank Check Companies Subject to Rule 419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of Our Offering</w:t>
            </w:r>
          </w:p>
        </w:tc>
        <w:tc>
          <w:tcPr>
            <w:tcW w:w="203" w:type="dxa"/>
            <w:tcBorders/>
            <w:vAlign w:val="bottom"/>
          </w:tcPr>
          <w:p>
            <w:pPr>
              <w:pStyle w:val="TableContents"/>
              <w:bidi w:val="0"/>
              <w:spacing w:before="0" w:after="283"/>
              <w:jc w:val="left"/>
              <w:rPr/>
            </w:pPr>
            <w:r>
              <w:rPr/>
              <w:t>  </w:t>
            </w:r>
          </w:p>
        </w:tc>
        <w:tc>
          <w:tcPr>
            <w:tcW w:w="29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Under a Rule 419 Offering</w:t>
            </w:r>
          </w:p>
        </w:tc>
      </w:tr>
      <w:tr>
        <w:trPr/>
        <w:tc>
          <w:tcPr>
            <w:tcW w:w="3572" w:type="dxa"/>
            <w:tcBorders/>
          </w:tcPr>
          <w:p>
            <w:pPr>
              <w:pStyle w:val="TableContents"/>
              <w:bidi w:val="0"/>
              <w:spacing w:before="0" w:after="283"/>
              <w:jc w:val="left"/>
              <w:rPr>
                <w:b/>
              </w:rPr>
            </w:pPr>
            <w:r>
              <w:rPr>
                <w:b/>
              </w:rPr>
              <w:t>Escrow of offering proceeds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$220,000,000 of the net proceeds of this offering and the sale of the private placement units will be deposited into a trust account located in the United States with Continental Stock Transfer &amp; Trust Company acting as trustee.</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Approximately $197,086,500 of the offering proceeds, representing the gross proceeds of this offering, would be required to be deposited into either an escrow account with an insured depositary institution or in a separate bank account established by a broker-dealer 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of Our Offering</w:t>
            </w:r>
          </w:p>
        </w:tc>
        <w:tc>
          <w:tcPr>
            <w:tcW w:w="204"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Under a Rule 419 Offering</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which the broker-dealer acts as trustee for persons having the beneficial interests in the account.</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Investment of net proceeds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$220,000,000 of the net proceeds of this offering and the sale of the private placement units, held in trust will be invested in United States “government securities” within the meaning of Section 2(a)(16) of the Investment Company Act with a maturity of 185 days or less or in money market funds meeting certain conditions under Rule 2a-7 promulgated under the Investment Company Act which invest only in direct U.S. government treasury obligations.</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Proceeds could be invested only in specified securities such as a money market fund meeting conditions of the Investment Company Act or in securities that are direct obligations of, or obligations guaranteed as to principal or interest by, the United States.</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Receipt of interest on escrowed funds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Interest on proceeds from the trust account to be paid to shareholders is reduced by permitted withdrawals and up to $100,000 payable for dissolution expenses.</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Interest on funds in escrow account would be held for the sole benefit of investors, unless and only after the funds held in escrow were released to us in connection with our consummation of a business combination.</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Limitation on fair value or net assets of target business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Our initial business combination must be with one or more target businesses or assets having an aggregate fair market value of at least 80% of the value of the trust account (less permitted withdrawals) at the time of the agreement to enter into such initial business combination.</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fair value or net assets of a target business must represent at least 80% of the maximum offering proceeds.</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Trading of securities issued</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public units may commence trading on or promptly after the date of this prospectus. The public shares and public rights may begin trading separately on the 52nd day after the date of this prospectus unless our underwriters inform us of their decision to allow earlier separate trading, provided we have filed with the SEC a Current Report on Form 8-K, which includes an audited balance sheet reflecting our receipt of the proceeds of this offering, such Form 8-K to be amended or supplemented with updated</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No trading of the public units or the underlying public shares and rights would be permitted until the completion of a business combination. During this period, the securities would be held in the escrow or trust account.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of Our Offering</w:t>
            </w:r>
          </w:p>
        </w:tc>
        <w:tc>
          <w:tcPr>
            <w:tcW w:w="204"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Under a Rule 419 Offering</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financial information in the event the over- allotment option is exercised or if our underwriters permit separate trading prior to the 52nd day after the date of this prospectus.</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Election to remain an investor</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We will provide our public shareholders with the opportunity to redeem their public shares for cash equal to their pro rata share of the aggregate amount then on deposit in the trust account as of two business days prior to the consummation of our initial business combination, including interest earned on the funds held in the trust account (which interest shall be net of permitted withdrawals), upon the completion of our initial business combination, subject to the limitations described herein. We may not be required by law to hold a shareholder vote. If we are not required by law and do not otherwise decide to hold a shareholder vote, we will, pursuant to our amended and restated memorandum and articles of association, conduct the redemptions pursuant to the tender offer rules of the SEC and file tender offer documents with the SEC which will contain substantially the same financial and other information about the initial business combination and the redemption rights as is required under the SEC’s proxy rules.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however, we hold a shareholder vote, we will, like many blank check companies, offer to redeem shares in conjunction with a proxy solicitation pursuant to the tender offer rules. Pursuant to the tender offer rules, the tender offer period will be not less than 20 business days and, in the case of a shareholder vote, a final proxy</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theinvestors and none of the securities are issued.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4"/>
        <w:gridCol w:w="3265"/>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of Our Offering</w:t>
            </w:r>
          </w:p>
        </w:tc>
        <w:tc>
          <w:tcPr>
            <w:tcW w:w="203" w:type="dxa"/>
            <w:tcBorders/>
            <w:vAlign w:val="bottom"/>
          </w:tcPr>
          <w:p>
            <w:pPr>
              <w:pStyle w:val="TableContents"/>
              <w:bidi w:val="0"/>
              <w:spacing w:before="0" w:after="283"/>
              <w:jc w:val="left"/>
              <w:rPr/>
            </w:pPr>
            <w:r>
              <w:rPr/>
              <w:t>  </w:t>
            </w:r>
          </w:p>
        </w:tc>
        <w:tc>
          <w:tcPr>
            <w:tcW w:w="29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Under a Rule 419 Offering</w:t>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0"/>
              <w:jc w:val="left"/>
              <w:rPr>
                <w:rFonts w:ascii="Times New Roman" w:hAnsi="Times New Roman"/>
                <w:sz w:val="20"/>
              </w:rPr>
            </w:pPr>
            <w:r>
              <w:rPr>
                <w:rFonts w:ascii="Times New Roman" w:hAnsi="Times New Roman"/>
                <w:sz w:val="20"/>
              </w:rPr>
              <w:t>statement would be mailed to public shareholders at least 20 days prior to the shareholder vote. However, we expect that a draft proxy statement would be made available to such shareholders well in advance of such time, providing additional notice of redemption if we conduct redemptions in conjunction with a proxy solicitation. If we seek shareholder approval, we will complete our initial business combination only if we obtain the approval of an ordinary resolution for such business combination under Cayman Islands law and pursuant to our amended and restated memorandum and articles of association (or such higher approval threshold as required by Cayman Islands law or other applicable law and pursuant to our amended and restated memorandum and articles of association). Additionally, each public shareholder may elect to redeem their public shares irrespective of whether they vote for or against the proposed transaction.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quorum for such meeting will consist of the holders present in person or by proxy of shares of the company representing at least one-third (1/3) of the voting power of all outstanding shares of the company entitled to vote at such meeting.</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sz w:val="4"/>
                <w:szCs w:val="4"/>
              </w:rPr>
            </w:pPr>
            <w:r>
              <w:rPr>
                <w:sz w:val="4"/>
                <w:szCs w:val="4"/>
              </w:rPr>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Release of funds</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pPr>
            <w:r>
              <w:rPr/>
              <w:t>Except for interest earned on the funds in the trust account that may be released to us to pay our tax obligations, the proceeds held in the trust account will not be released until the earlier; (1) of the completion of our initial business combination within the required time period; (2) our redemption of 100% of the outstanding public shares if we have not completed</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proceeds held in the escrow account are not released until the earlier of the completion of a business combination or the failure to effect our initial business combination within the allotted time.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of Our Offering</w:t>
            </w:r>
          </w:p>
        </w:tc>
        <w:tc>
          <w:tcPr>
            <w:tcW w:w="203" w:type="dxa"/>
            <w:tcBorders/>
            <w:vAlign w:val="bottom"/>
          </w:tcPr>
          <w:p>
            <w:pPr>
              <w:pStyle w:val="TableContents"/>
              <w:bidi w:val="0"/>
              <w:spacing w:before="0" w:after="283"/>
              <w:jc w:val="left"/>
              <w:rPr/>
            </w:pPr>
            <w:r>
              <w:rPr/>
              <w:t>  </w:t>
            </w:r>
          </w:p>
        </w:tc>
        <w:tc>
          <w:tcPr>
            <w:tcW w:w="29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Under a Rule 419 Offering</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an initial business combination in the required time period; and, if our amended and restated memorandum and articles of association are amended to require it and (3) the redemption of any public shares properly tendered in connection with a shareholder vote to amend our amended and restated memorandum and articles of association (A) to modify the substance or timing of our obligation to redeem 100% of our public shares if we do not complete our initial business combination within the required time period or (B) with respect to any other provision relating to shareholders’ rights or pre-business combination activity.</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sz w:val="4"/>
                <w:szCs w:val="4"/>
              </w:rPr>
            </w:pPr>
            <w:r>
              <w:rPr>
                <w:sz w:val="4"/>
                <w:szCs w:val="4"/>
              </w:rPr>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Delivering share certificates in connection with the exercise of redemption rights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vote in which the name of the beneficial owner of such shares is included. The proxy</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Many blank check companies provide that a shareholder can vote against a proposed business combination and check a box on the proxy card indicating that such shareholder is seeking to exercise its redemption rights. After the business combination is approved, the company would contact such shareholder to arrange for delivery of its share certificates to verify ownership.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of Our Offering</w:t>
            </w:r>
          </w:p>
        </w:tc>
        <w:tc>
          <w:tcPr>
            <w:tcW w:w="204"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Terms Under a Rule 419 Offering</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materials or tender offer documents, as applicable, that we will furnish to holders of our public shares in connection with our initial business combination will indicate whether we are requiring public shareholders to satisfy such delivery requirements, which will include the</w:t>
            </w:r>
          </w:p>
          <w:p>
            <w:pPr>
              <w:pStyle w:val="TableContents"/>
              <w:bidi w:val="0"/>
              <w:spacing w:before="0" w:after="0"/>
              <w:jc w:val="left"/>
              <w:rPr>
                <w:rFonts w:ascii="Times New Roman" w:hAnsi="Times New Roman"/>
                <w:sz w:val="20"/>
              </w:rPr>
            </w:pPr>
            <w:r>
              <w:rPr>
                <w:rFonts w:ascii="Times New Roman" w:hAnsi="Times New Roman"/>
                <w:sz w:val="20"/>
              </w:rPr>
              <w:t>requirement that any beneficial owner on whose behalf a redemption right is being exercised must identify itself in order to validly redeem its shares. Accordingly, a public shareholder would have up to two business days prior to the vote on the initial business combination if we distribute proxy materials, or from the time we send out our tender offer materials until the close of the tender offer period, as applicable, to submit or tender its</w:t>
            </w:r>
          </w:p>
          <w:p>
            <w:pPr>
              <w:pStyle w:val="TableContents"/>
              <w:bidi w:val="0"/>
              <w:spacing w:before="0" w:after="20"/>
              <w:jc w:val="left"/>
              <w:rPr>
                <w:rFonts w:ascii="Times New Roman" w:hAnsi="Times New Roman"/>
                <w:sz w:val="20"/>
              </w:rPr>
            </w:pPr>
            <w:r>
              <w:rPr>
                <w:rFonts w:ascii="Times New Roman" w:hAnsi="Times New Roman"/>
                <w:sz w:val="20"/>
              </w:rPr>
              <w:t>shares if it wishes to seek to exercise its redemption rights.</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Limitation on redemption rights of shareholders holding more than 15% of the shares sold in this offering if we hold a shareholder vote</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(including our affiliates),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which we refer to as the “Excess Shares.” However, we would not restrict our shareholders’ ability to vote all of their shares (including Excess Shares) for or against our initial business combination.</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Many blank check companies provide no restrictions on the ability of shareholders to redeem shares based on the number of shares held by such shareholders in connection with an initial business combination.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929696_12"/>
      <w:bookmarkEnd w:id="14"/>
      <w:r>
        <w:rPr>
          <w:rFonts w:ascii="Times New Roman" w:hAnsi="Times New Roman"/>
          <w:b/>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 xml:space="preserve">Our current directors, director nominees and executive officers are listed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1"/>
        <w:gridCol w:w="242"/>
        <w:gridCol w:w="429"/>
        <w:gridCol w:w="242"/>
        <w:gridCol w:w="5761"/>
      </w:tblGrid>
      <w:tr>
        <w:trPr/>
        <w:tc>
          <w:tcPr>
            <w:tcW w:w="3531"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5761" w:type="dxa"/>
            <w:tcBorders/>
            <w:vAlign w:val="center"/>
          </w:tcPr>
          <w:p>
            <w:pPr>
              <w:pStyle w:val="TableContents"/>
              <w:bidi w:val="0"/>
              <w:spacing w:before="0" w:after="283"/>
              <w:jc w:val="left"/>
              <w:rPr>
                <w:sz w:val="4"/>
                <w:szCs w:val="4"/>
              </w:rPr>
            </w:pPr>
            <w:r>
              <w:rPr>
                <w:sz w:val="4"/>
                <w:szCs w:val="4"/>
              </w:rPr>
            </w:r>
          </w:p>
        </w:tc>
      </w:tr>
      <w:tr>
        <w:trPr/>
        <w:tc>
          <w:tcPr>
            <w:tcW w:w="35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2" w:type="dxa"/>
            <w:tcBorders/>
            <w:vAlign w:val="bottom"/>
          </w:tcPr>
          <w:p>
            <w:pPr>
              <w:pStyle w:val="TableContents"/>
              <w:bidi w:val="0"/>
              <w:spacing w:before="0" w:after="283"/>
              <w:jc w:val="left"/>
              <w:rPr/>
            </w:pPr>
            <w:r>
              <w:rPr/>
              <w:t>  </w:t>
            </w:r>
          </w:p>
        </w:tc>
        <w:tc>
          <w:tcPr>
            <w:tcW w:w="429"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42" w:type="dxa"/>
            <w:tcBorders/>
            <w:vAlign w:val="bottom"/>
          </w:tcPr>
          <w:p>
            <w:pPr>
              <w:pStyle w:val="TableContents"/>
              <w:bidi w:val="0"/>
              <w:spacing w:before="0" w:after="283"/>
              <w:jc w:val="left"/>
              <w:rPr/>
            </w:pPr>
            <w:r>
              <w:rPr/>
              <w:t>  </w:t>
            </w:r>
          </w:p>
        </w:tc>
        <w:tc>
          <w:tcPr>
            <w:tcW w:w="576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3531" w:type="dxa"/>
            <w:tcBorders/>
          </w:tcPr>
          <w:p>
            <w:pPr>
              <w:pStyle w:val="TableContents"/>
              <w:bidi w:val="0"/>
              <w:spacing w:before="0" w:after="283"/>
              <w:jc w:val="left"/>
              <w:rPr/>
            </w:pPr>
            <w:r>
              <w:rPr/>
              <w:t>Dr. Avi S. Katz</w:t>
            </w:r>
          </w:p>
        </w:tc>
        <w:tc>
          <w:tcPr>
            <w:tcW w:w="24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67</w:t>
            </w:r>
          </w:p>
        </w:tc>
        <w:tc>
          <w:tcPr>
            <w:tcW w:w="242" w:type="dxa"/>
            <w:tcBorders/>
            <w:vAlign w:val="bottom"/>
          </w:tcPr>
          <w:p>
            <w:pPr>
              <w:pStyle w:val="TableContents"/>
              <w:bidi w:val="0"/>
              <w:spacing w:before="0" w:after="283"/>
              <w:jc w:val="left"/>
              <w:rPr/>
            </w:pPr>
            <w:r>
              <w:rPr/>
              <w:t>  </w:t>
            </w:r>
          </w:p>
        </w:tc>
        <w:tc>
          <w:tcPr>
            <w:tcW w:w="5761" w:type="dxa"/>
            <w:tcBorders/>
          </w:tcPr>
          <w:p>
            <w:pPr>
              <w:pStyle w:val="TableContents"/>
              <w:bidi w:val="0"/>
              <w:spacing w:before="0" w:after="283"/>
              <w:jc w:val="left"/>
              <w:rPr/>
            </w:pPr>
            <w:r>
              <w:rPr/>
              <w:t>Chairman of the Board of Directors and Chief Executive Officer</w:t>
            </w:r>
          </w:p>
        </w:tc>
      </w:tr>
      <w:tr>
        <w:trPr/>
        <w:tc>
          <w:tcPr>
            <w:tcW w:w="3531" w:type="dxa"/>
            <w:tcBorders/>
          </w:tcPr>
          <w:p>
            <w:pPr>
              <w:pStyle w:val="TableContents"/>
              <w:bidi w:val="0"/>
              <w:spacing w:before="0" w:after="283"/>
              <w:jc w:val="left"/>
              <w:rPr/>
            </w:pPr>
            <w:r>
              <w:rPr/>
              <w:t>Christine M. Marshall</w:t>
            </w:r>
          </w:p>
        </w:tc>
        <w:tc>
          <w:tcPr>
            <w:tcW w:w="24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54</w:t>
            </w:r>
          </w:p>
        </w:tc>
        <w:tc>
          <w:tcPr>
            <w:tcW w:w="242" w:type="dxa"/>
            <w:tcBorders/>
            <w:vAlign w:val="bottom"/>
          </w:tcPr>
          <w:p>
            <w:pPr>
              <w:pStyle w:val="TableContents"/>
              <w:bidi w:val="0"/>
              <w:spacing w:before="0" w:after="283"/>
              <w:jc w:val="left"/>
              <w:rPr/>
            </w:pPr>
            <w:r>
              <w:rPr/>
              <w:t>  </w:t>
            </w:r>
          </w:p>
        </w:tc>
        <w:tc>
          <w:tcPr>
            <w:tcW w:w="5761" w:type="dxa"/>
            <w:tcBorders/>
          </w:tcPr>
          <w:p>
            <w:pPr>
              <w:pStyle w:val="TableContents"/>
              <w:bidi w:val="0"/>
              <w:spacing w:before="0" w:after="283"/>
              <w:jc w:val="left"/>
              <w:rPr/>
            </w:pPr>
            <w:r>
              <w:rPr/>
              <w:t>Chief Financial Officer</w:t>
            </w:r>
          </w:p>
        </w:tc>
      </w:tr>
      <w:tr>
        <w:trPr/>
        <w:tc>
          <w:tcPr>
            <w:tcW w:w="3531" w:type="dxa"/>
            <w:tcBorders/>
          </w:tcPr>
          <w:p>
            <w:pPr>
              <w:pStyle w:val="TableContents"/>
              <w:bidi w:val="0"/>
              <w:spacing w:before="0" w:after="283"/>
              <w:jc w:val="left"/>
              <w:rPr/>
            </w:pPr>
            <w:r>
              <w:rPr/>
              <w:t>Dr. Raluca Dinu</w:t>
            </w:r>
          </w:p>
        </w:tc>
        <w:tc>
          <w:tcPr>
            <w:tcW w:w="24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51</w:t>
            </w:r>
          </w:p>
        </w:tc>
        <w:tc>
          <w:tcPr>
            <w:tcW w:w="242" w:type="dxa"/>
            <w:tcBorders/>
            <w:vAlign w:val="bottom"/>
          </w:tcPr>
          <w:p>
            <w:pPr>
              <w:pStyle w:val="TableContents"/>
              <w:bidi w:val="0"/>
              <w:spacing w:before="0" w:after="283"/>
              <w:jc w:val="left"/>
              <w:rPr/>
            </w:pPr>
            <w:r>
              <w:rPr/>
              <w:t>  </w:t>
            </w:r>
          </w:p>
        </w:tc>
        <w:tc>
          <w:tcPr>
            <w:tcW w:w="5761" w:type="dxa"/>
            <w:tcBorders/>
          </w:tcPr>
          <w:p>
            <w:pPr>
              <w:pStyle w:val="TableContents"/>
              <w:bidi w:val="0"/>
              <w:spacing w:before="0" w:after="283"/>
              <w:jc w:val="left"/>
              <w:rPr/>
            </w:pPr>
            <w:r>
              <w:rPr/>
              <w:t>Director</w:t>
            </w:r>
          </w:p>
        </w:tc>
      </w:tr>
      <w:tr>
        <w:trPr/>
        <w:tc>
          <w:tcPr>
            <w:tcW w:w="3531" w:type="dxa"/>
            <w:tcBorders/>
          </w:tcPr>
          <w:p>
            <w:pPr>
              <w:pStyle w:val="TableContents"/>
              <w:bidi w:val="0"/>
              <w:spacing w:before="0" w:after="283"/>
              <w:jc w:val="left"/>
              <w:rPr/>
            </w:pPr>
            <w:r>
              <w:rPr/>
              <w:t>Admiral (Ret.) David Ben-Bashat</w:t>
            </w:r>
          </w:p>
        </w:tc>
        <w:tc>
          <w:tcPr>
            <w:tcW w:w="24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75</w:t>
            </w:r>
          </w:p>
        </w:tc>
        <w:tc>
          <w:tcPr>
            <w:tcW w:w="242" w:type="dxa"/>
            <w:tcBorders/>
            <w:vAlign w:val="bottom"/>
          </w:tcPr>
          <w:p>
            <w:pPr>
              <w:pStyle w:val="TableContents"/>
              <w:bidi w:val="0"/>
              <w:spacing w:before="0" w:after="283"/>
              <w:jc w:val="left"/>
              <w:rPr/>
            </w:pPr>
            <w:r>
              <w:rPr/>
              <w:t>  </w:t>
            </w:r>
          </w:p>
        </w:tc>
        <w:tc>
          <w:tcPr>
            <w:tcW w:w="5761" w:type="dxa"/>
            <w:tcBorders/>
          </w:tcPr>
          <w:p>
            <w:pPr>
              <w:pStyle w:val="TableContents"/>
              <w:bidi w:val="0"/>
              <w:spacing w:before="0" w:after="283"/>
              <w:jc w:val="left"/>
              <w:rPr/>
            </w:pPr>
            <w:r>
              <w:rPr/>
              <w:t>Director Nominee</w:t>
            </w:r>
          </w:p>
        </w:tc>
      </w:tr>
      <w:tr>
        <w:trPr/>
        <w:tc>
          <w:tcPr>
            <w:tcW w:w="3531" w:type="dxa"/>
            <w:tcBorders/>
          </w:tcPr>
          <w:p>
            <w:pPr>
              <w:pStyle w:val="TableContents"/>
              <w:bidi w:val="0"/>
              <w:spacing w:before="0" w:after="283"/>
              <w:jc w:val="left"/>
              <w:rPr/>
            </w:pPr>
            <w:r>
              <w:rPr/>
              <w:t>Raanan I. Horowitz</w:t>
            </w:r>
          </w:p>
        </w:tc>
        <w:tc>
          <w:tcPr>
            <w:tcW w:w="24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64</w:t>
            </w:r>
          </w:p>
        </w:tc>
        <w:tc>
          <w:tcPr>
            <w:tcW w:w="242" w:type="dxa"/>
            <w:tcBorders/>
            <w:vAlign w:val="bottom"/>
          </w:tcPr>
          <w:p>
            <w:pPr>
              <w:pStyle w:val="TableContents"/>
              <w:bidi w:val="0"/>
              <w:spacing w:before="0" w:after="283"/>
              <w:jc w:val="left"/>
              <w:rPr/>
            </w:pPr>
            <w:r>
              <w:rPr/>
              <w:t>  </w:t>
            </w:r>
          </w:p>
        </w:tc>
        <w:tc>
          <w:tcPr>
            <w:tcW w:w="5761" w:type="dxa"/>
            <w:tcBorders/>
          </w:tcPr>
          <w:p>
            <w:pPr>
              <w:pStyle w:val="TableContents"/>
              <w:bidi w:val="0"/>
              <w:spacing w:before="0" w:after="283"/>
              <w:jc w:val="left"/>
              <w:rPr/>
            </w:pPr>
            <w:r>
              <w:rPr/>
              <w:t>Director Nominee</w:t>
            </w:r>
          </w:p>
        </w:tc>
      </w:tr>
      <w:tr>
        <w:trPr/>
        <w:tc>
          <w:tcPr>
            <w:tcW w:w="3531" w:type="dxa"/>
            <w:tcBorders/>
          </w:tcPr>
          <w:p>
            <w:pPr>
              <w:pStyle w:val="TableContents"/>
              <w:bidi w:val="0"/>
              <w:spacing w:before="0" w:after="283"/>
              <w:jc w:val="left"/>
              <w:rPr/>
            </w:pPr>
            <w:r>
              <w:rPr/>
              <w:t>Ambassador Adrian Zuckerman</w:t>
            </w:r>
          </w:p>
        </w:tc>
        <w:tc>
          <w:tcPr>
            <w:tcW w:w="24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67</w:t>
            </w:r>
          </w:p>
        </w:tc>
        <w:tc>
          <w:tcPr>
            <w:tcW w:w="242" w:type="dxa"/>
            <w:tcBorders/>
            <w:vAlign w:val="bottom"/>
          </w:tcPr>
          <w:p>
            <w:pPr>
              <w:pStyle w:val="TableContents"/>
              <w:bidi w:val="0"/>
              <w:spacing w:before="0" w:after="283"/>
              <w:jc w:val="left"/>
              <w:rPr/>
            </w:pPr>
            <w:r>
              <w:rPr/>
              <w:t>  </w:t>
            </w:r>
          </w:p>
        </w:tc>
        <w:tc>
          <w:tcPr>
            <w:tcW w:w="5761" w:type="dxa"/>
            <w:tcBorders/>
          </w:tcPr>
          <w:p>
            <w:pPr>
              <w:pStyle w:val="TableContents"/>
              <w:bidi w:val="0"/>
              <w:spacing w:before="0" w:after="283"/>
              <w:jc w:val="left"/>
              <w:rPr/>
            </w:pPr>
            <w:r>
              <w:rPr/>
              <w:t>Director Nominee</w:t>
            </w:r>
          </w:p>
        </w:tc>
      </w:tr>
      <w:tr>
        <w:trPr/>
        <w:tc>
          <w:tcPr>
            <w:tcW w:w="3531" w:type="dxa"/>
            <w:tcBorders/>
          </w:tcPr>
          <w:p>
            <w:pPr>
              <w:pStyle w:val="TableContents"/>
              <w:bidi w:val="0"/>
              <w:spacing w:before="0" w:after="283"/>
              <w:jc w:val="left"/>
              <w:rPr/>
            </w:pPr>
            <w:r>
              <w:rPr/>
              <w:t>Luis Machuca</w:t>
            </w:r>
          </w:p>
        </w:tc>
        <w:tc>
          <w:tcPr>
            <w:tcW w:w="24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67</w:t>
            </w:r>
          </w:p>
        </w:tc>
        <w:tc>
          <w:tcPr>
            <w:tcW w:w="242" w:type="dxa"/>
            <w:tcBorders/>
            <w:vAlign w:val="bottom"/>
          </w:tcPr>
          <w:p>
            <w:pPr>
              <w:pStyle w:val="TableContents"/>
              <w:bidi w:val="0"/>
              <w:spacing w:before="0" w:after="283"/>
              <w:jc w:val="left"/>
              <w:rPr/>
            </w:pPr>
            <w:r>
              <w:rPr/>
              <w:t>  </w:t>
            </w:r>
          </w:p>
        </w:tc>
        <w:tc>
          <w:tcPr>
            <w:tcW w:w="5761" w:type="dxa"/>
            <w:tcBorders/>
          </w:tcPr>
          <w:p>
            <w:pPr>
              <w:pStyle w:val="TableContents"/>
              <w:bidi w:val="0"/>
              <w:spacing w:before="0" w:after="283"/>
              <w:jc w:val="left"/>
              <w:rPr/>
            </w:pPr>
            <w:r>
              <w:rPr/>
              <w:t>Director Nominee</w:t>
            </w:r>
          </w:p>
        </w:tc>
      </w:tr>
      <w:tr>
        <w:trPr/>
        <w:tc>
          <w:tcPr>
            <w:tcW w:w="3531" w:type="dxa"/>
            <w:tcBorders/>
          </w:tcPr>
          <w:p>
            <w:pPr>
              <w:pStyle w:val="TableContents"/>
              <w:bidi w:val="0"/>
              <w:spacing w:before="0" w:after="283"/>
              <w:jc w:val="left"/>
              <w:rPr/>
            </w:pPr>
            <w:r>
              <w:rPr/>
              <w:t>Rear Admiral (Ret.) Omri Dagul</w:t>
            </w:r>
          </w:p>
        </w:tc>
        <w:tc>
          <w:tcPr>
            <w:tcW w:w="24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67</w:t>
            </w:r>
          </w:p>
        </w:tc>
        <w:tc>
          <w:tcPr>
            <w:tcW w:w="242" w:type="dxa"/>
            <w:tcBorders/>
            <w:vAlign w:val="bottom"/>
          </w:tcPr>
          <w:p>
            <w:pPr>
              <w:pStyle w:val="TableContents"/>
              <w:bidi w:val="0"/>
              <w:spacing w:before="0" w:after="283"/>
              <w:jc w:val="left"/>
              <w:rPr/>
            </w:pPr>
            <w:r>
              <w:rPr/>
              <w:t>  </w:t>
            </w:r>
          </w:p>
        </w:tc>
        <w:tc>
          <w:tcPr>
            <w:tcW w:w="5761" w:type="dxa"/>
            <w:tcBorders/>
          </w:tcPr>
          <w:p>
            <w:pPr>
              <w:pStyle w:val="TableContents"/>
              <w:bidi w:val="0"/>
              <w:spacing w:before="0" w:after="283"/>
              <w:jc w:val="left"/>
              <w:rPr/>
            </w:pPr>
            <w:r>
              <w:rPr/>
              <w:t>Director Nominee</w:t>
            </w:r>
          </w:p>
        </w:tc>
      </w:tr>
      <w:tr>
        <w:trPr/>
        <w:tc>
          <w:tcPr>
            <w:tcW w:w="3531" w:type="dxa"/>
            <w:tcBorders/>
          </w:tcPr>
          <w:p>
            <w:pPr>
              <w:pStyle w:val="TableContents"/>
              <w:bidi w:val="0"/>
              <w:spacing w:before="0" w:after="283"/>
              <w:jc w:val="left"/>
              <w:rPr/>
            </w:pPr>
            <w:r>
              <w:rPr/>
              <w:t>Bryan Timm</w:t>
            </w:r>
          </w:p>
        </w:tc>
        <w:tc>
          <w:tcPr>
            <w:tcW w:w="24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61</w:t>
            </w:r>
          </w:p>
        </w:tc>
        <w:tc>
          <w:tcPr>
            <w:tcW w:w="242" w:type="dxa"/>
            <w:tcBorders/>
            <w:vAlign w:val="bottom"/>
          </w:tcPr>
          <w:p>
            <w:pPr>
              <w:pStyle w:val="TableContents"/>
              <w:bidi w:val="0"/>
              <w:spacing w:before="0" w:after="283"/>
              <w:jc w:val="left"/>
              <w:rPr/>
            </w:pPr>
            <w:r>
              <w:rPr/>
              <w:t>  </w:t>
            </w:r>
          </w:p>
        </w:tc>
        <w:tc>
          <w:tcPr>
            <w:tcW w:w="5761" w:type="dxa"/>
            <w:tcBorders/>
          </w:tcPr>
          <w:p>
            <w:pPr>
              <w:pStyle w:val="TableContents"/>
              <w:bidi w:val="0"/>
              <w:spacing w:before="0" w:after="283"/>
              <w:jc w:val="left"/>
              <w:rPr/>
            </w:pPr>
            <w:r>
              <w:rPr/>
              <w:t>Director Nominee</w:t>
            </w:r>
          </w:p>
        </w:tc>
      </w:tr>
      <w:tr>
        <w:trPr/>
        <w:tc>
          <w:tcPr>
            <w:tcW w:w="3531" w:type="dxa"/>
            <w:tcBorders/>
          </w:tcPr>
          <w:p>
            <w:pPr>
              <w:pStyle w:val="TableContents"/>
              <w:bidi w:val="0"/>
              <w:spacing w:before="0" w:after="283"/>
              <w:jc w:val="left"/>
              <w:rPr/>
            </w:pPr>
            <w:r>
              <w:rPr/>
              <w:t>James Greene</w:t>
            </w:r>
          </w:p>
        </w:tc>
        <w:tc>
          <w:tcPr>
            <w:tcW w:w="242"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71</w:t>
            </w:r>
          </w:p>
        </w:tc>
        <w:tc>
          <w:tcPr>
            <w:tcW w:w="242" w:type="dxa"/>
            <w:tcBorders/>
            <w:vAlign w:val="bottom"/>
          </w:tcPr>
          <w:p>
            <w:pPr>
              <w:pStyle w:val="TableContents"/>
              <w:bidi w:val="0"/>
              <w:spacing w:before="0" w:after="283"/>
              <w:jc w:val="left"/>
              <w:rPr/>
            </w:pPr>
            <w:r>
              <w:rPr/>
              <w:t>  </w:t>
            </w:r>
          </w:p>
        </w:tc>
        <w:tc>
          <w:tcPr>
            <w:tcW w:w="5761" w:type="dxa"/>
            <w:tcBorders/>
          </w:tcPr>
          <w:p>
            <w:pPr>
              <w:pStyle w:val="TableContents"/>
              <w:bidi w:val="0"/>
              <w:spacing w:before="0" w:after="283"/>
              <w:jc w:val="left"/>
              <w:rPr/>
            </w:pPr>
            <w:r>
              <w:rPr/>
              <w:t>Director Nominee</w:t>
            </w:r>
          </w:p>
        </w:tc>
      </w:tr>
    </w:tbl>
    <w:p>
      <w:pPr>
        <w:pStyle w:val="TextBody"/>
        <w:bidi w:val="0"/>
        <w:spacing w:before="240" w:after="0"/>
        <w:jc w:val="left"/>
        <w:rPr>
          <w:rFonts w:ascii="Times New Roman" w:hAnsi="Times New Roman"/>
          <w:sz w:val="20"/>
        </w:rPr>
      </w:pPr>
      <w:r>
        <w:rPr>
          <w:rFonts w:ascii="Times New Roman" w:hAnsi="Times New Roman"/>
          <w:b/>
          <w:sz w:val="20"/>
        </w:rPr>
        <w:t>Dr.</w:t>
      </w:r>
      <w:r>
        <w:rPr>
          <w:rFonts w:ascii="Times New Roman" w:hAnsi="Times New Roman"/>
          <w:sz w:val="20"/>
        </w:rPr>
        <w:t> </w:t>
      </w:r>
      <w:r>
        <w:rPr>
          <w:rFonts w:ascii="Times New Roman" w:hAnsi="Times New Roman"/>
          <w:b/>
          <w:sz w:val="20"/>
        </w:rPr>
        <w:t>Avi</w:t>
      </w:r>
      <w:r>
        <w:rPr>
          <w:rFonts w:ascii="Times New Roman" w:hAnsi="Times New Roman"/>
          <w:sz w:val="20"/>
        </w:rPr>
        <w:t> </w:t>
      </w:r>
      <w:r>
        <w:rPr>
          <w:rFonts w:ascii="Times New Roman" w:hAnsi="Times New Roman"/>
          <w:b/>
          <w:sz w:val="20"/>
        </w:rPr>
        <w:t>S. Katz</w:t>
      </w:r>
      <w:r>
        <w:rPr>
          <w:rFonts w:ascii="Times New Roman" w:hAnsi="Times New Roman"/>
          <w:sz w:val="20"/>
        </w:rPr>
        <w:t xml:space="preserve"> serves as our Chief Executive Officer and Chairman of the Board. Dr. Katz has served as the Chairman of the Board of QT 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 </w:t>
      </w:r>
    </w:p>
    <w:p>
      <w:pPr>
        <w:pStyle w:val="TextBody"/>
        <w:bidi w:val="0"/>
        <w:spacing w:before="240" w:after="0"/>
        <w:jc w:val="left"/>
        <w:rPr>
          <w:rFonts w:ascii="Times New Roman" w:hAnsi="Times New Roman"/>
          <w:sz w:val="20"/>
        </w:rPr>
      </w:pPr>
      <w:r>
        <w:rPr>
          <w:rFonts w:ascii="Times New Roman" w:hAnsi="Times New Roman"/>
          <w:b/>
          <w:sz w:val="20"/>
        </w:rPr>
        <w:t>Dr.</w:t>
      </w:r>
      <w:r>
        <w:rPr>
          <w:rFonts w:ascii="Times New Roman" w:hAnsi="Times New Roman"/>
          <w:sz w:val="20"/>
        </w:rPr>
        <w:t> </w:t>
      </w:r>
      <w:r>
        <w:rPr>
          <w:rFonts w:ascii="Times New Roman" w:hAnsi="Times New Roman"/>
          <w:b/>
          <w:sz w:val="20"/>
        </w:rPr>
        <w:t>Raluca Dinu</w:t>
      </w:r>
      <w:r>
        <w:rPr>
          <w:rFonts w:ascii="Times New Roman" w:hAnsi="Times New Roman"/>
          <w:sz w:val="20"/>
        </w:rPr>
        <w:t xml:space="preserve"> is our director. Dr. Dinu is the Chief Executive Officer, President, Secretary, serving in those roles since March 2024 and as a 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 </w:t>
      </w:r>
    </w:p>
    <w:p>
      <w:pPr>
        <w:pStyle w:val="TextBody"/>
        <w:bidi w:val="0"/>
        <w:spacing w:before="240" w:after="0"/>
        <w:jc w:val="left"/>
        <w:rPr>
          <w:rFonts w:ascii="Times New Roman" w:hAnsi="Times New Roman"/>
          <w:sz w:val="20"/>
        </w:rPr>
      </w:pPr>
      <w:r>
        <w:rPr>
          <w:rFonts w:ascii="Times New Roman" w:hAnsi="Times New Roman"/>
          <w:b/>
          <w:sz w:val="20"/>
        </w:rPr>
        <w:t>Christine M. Marshall</w:t>
      </w:r>
      <w:r>
        <w:rPr>
          <w:rFonts w:ascii="Times New Roman" w:hAnsi="Times New Roman"/>
          <w:sz w:val="20"/>
        </w:rPr>
        <w:t xml:space="preserve"> joined our company as Chief Financial Officer on June 30, 2025. Ms. Marshall is an accomplished finance leader with extensive expertise in GAAP, SEC reporting, SOX compliance, financial policies and procedures, process enhancements, mergers and acquisitions, debt offerings and operation accounting. Ms. Marshall has a proven track record of building and leading high performing teams throughout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 </w:t>
      </w:r>
    </w:p>
    <w:p>
      <w:pPr>
        <w:pStyle w:val="TextBody"/>
        <w:bidi w:val="0"/>
        <w:spacing w:before="240" w:after="0"/>
        <w:jc w:val="left"/>
        <w:rPr>
          <w:rFonts w:ascii="Times New Roman" w:hAnsi="Times New Roman"/>
          <w:sz w:val="20"/>
        </w:rPr>
      </w:pPr>
      <w:r>
        <w:rPr>
          <w:rFonts w:ascii="Times New Roman" w:hAnsi="Times New Roman"/>
          <w:b/>
          <w:sz w:val="20"/>
        </w:rPr>
        <w:t xml:space="preserve">Admiral (Ret.) David Ben-Bashat </w:t>
      </w:r>
      <w:r>
        <w:rPr>
          <w:rFonts w:ascii="Times New Roman" w:hAnsi="Times New Roman"/>
          <w:sz w:val="20"/>
        </w:rPr>
        <w:t xml:space="preserve">will serve as our independent director upon the completion of this offering. V. Admiral (Ret.) Ben-Bashat was 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 </w:t>
      </w:r>
    </w:p>
    <w:p>
      <w:pPr>
        <w:pStyle w:val="TextBody"/>
        <w:bidi w:val="0"/>
        <w:spacing w:before="240" w:after="0"/>
        <w:jc w:val="left"/>
        <w:rPr>
          <w:rFonts w:ascii="Times New Roman" w:hAnsi="Times New Roman"/>
          <w:sz w:val="20"/>
        </w:rPr>
      </w:pPr>
      <w:r>
        <w:rPr>
          <w:rFonts w:ascii="Times New Roman" w:hAnsi="Times New Roman"/>
          <w:b/>
          <w:sz w:val="20"/>
        </w:rPr>
        <w:t>Rear Admiral (Ret.) Omri Dagul</w:t>
      </w:r>
      <w:r>
        <w:rPr>
          <w:rFonts w:ascii="Times New Roman" w:hAnsi="Times New Roman"/>
          <w:sz w:val="20"/>
        </w:rPr>
        <w:t xml:space="preserve"> will serve as our independent director upon the completion of this offering. Over several decades, R. Admiral (Ret.)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Materiel Command. R. Admiral (Ret.) Omri holds a B.Sc. in Mechanical Engineering from the Technion, Haifa, Israel and a M.Sc. in Naval Architecture and Marine Engineering from the University of Michigan. </w:t>
      </w:r>
    </w:p>
    <w:p>
      <w:pPr>
        <w:pStyle w:val="TextBody"/>
        <w:bidi w:val="0"/>
        <w:spacing w:before="240" w:after="0"/>
        <w:jc w:val="left"/>
        <w:rPr>
          <w:rFonts w:ascii="Times New Roman" w:hAnsi="Times New Roman"/>
          <w:sz w:val="20"/>
        </w:rPr>
      </w:pPr>
      <w:r>
        <w:rPr>
          <w:rFonts w:ascii="Times New Roman" w:hAnsi="Times New Roman"/>
          <w:b/>
          <w:sz w:val="20"/>
        </w:rPr>
        <w:t xml:space="preserve">Raanan I. Horowitz </w:t>
      </w:r>
      <w:r>
        <w:rPr>
          <w:rFonts w:ascii="Times New Roman" w:hAnsi="Times New Roman"/>
          <w:sz w:val="20"/>
        </w:rPr>
        <w:t xml:space="preserve">will serve as our independent director upon the completion of this offering. Mr. Horowitz currently serves on the Board of 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 </w:t>
      </w:r>
    </w:p>
    <w:p>
      <w:pPr>
        <w:pStyle w:val="TextBody"/>
        <w:bidi w:val="0"/>
        <w:spacing w:before="240" w:after="0"/>
        <w:jc w:val="left"/>
        <w:rPr>
          <w:rFonts w:ascii="Times New Roman" w:hAnsi="Times New Roman"/>
          <w:sz w:val="20"/>
        </w:rPr>
      </w:pPr>
      <w:r>
        <w:rPr>
          <w:rFonts w:ascii="Times New Roman" w:hAnsi="Times New Roman"/>
          <w:b/>
          <w:sz w:val="20"/>
        </w:rPr>
        <w:t>Ambassador Adrian Zuckerman</w:t>
      </w:r>
      <w:r>
        <w:rPr>
          <w:rFonts w:ascii="Times New Roman" w:hAnsi="Times New Roman"/>
          <w:sz w:val="20"/>
        </w:rPr>
        <w:t xml:space="preserve"> will serve as our independent director upon the completion of this offering. Ambassador Zuckerman was the 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Luis Machuca</w:t>
      </w:r>
      <w:r>
        <w:rPr>
          <w:rFonts w:ascii="Times New Roman" w:hAnsi="Times New Roman"/>
          <w:sz w:val="20"/>
        </w:rPr>
        <w:t xml:space="preserve"> will serve as our independent director upon the completion of this offering. He also serves as a director of UpHealth, Inc. (OTC 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 </w:t>
      </w:r>
    </w:p>
    <w:p>
      <w:pPr>
        <w:pStyle w:val="TextBody"/>
        <w:bidi w:val="0"/>
        <w:spacing w:before="240" w:after="0"/>
        <w:jc w:val="left"/>
        <w:rPr>
          <w:rFonts w:ascii="Times New Roman" w:hAnsi="Times New Roman"/>
          <w:sz w:val="20"/>
        </w:rPr>
      </w:pPr>
      <w:r>
        <w:rPr>
          <w:rFonts w:ascii="Times New Roman" w:hAnsi="Times New Roman"/>
          <w:b/>
          <w:sz w:val="20"/>
        </w:rPr>
        <w:t>Bryan Timm</w:t>
      </w:r>
      <w:r>
        <w:rPr>
          <w:rFonts w:ascii="Times New Roman" w:hAnsi="Times New Roman"/>
          <w:sz w:val="20"/>
        </w:rPr>
        <w:t xml:space="preserve"> will serve as our independent director upon the completion of this offering. Mr. Timm currently serves as a Board Advisor for Pape’ Group, a family company serving the West Coast with Kenworth, 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 </w:t>
      </w:r>
    </w:p>
    <w:p>
      <w:pPr>
        <w:pStyle w:val="TextBody"/>
        <w:bidi w:val="0"/>
        <w:spacing w:before="240" w:after="0"/>
        <w:jc w:val="left"/>
        <w:rPr>
          <w:rFonts w:ascii="Times New Roman" w:hAnsi="Times New Roman"/>
          <w:sz w:val="20"/>
        </w:rPr>
      </w:pPr>
      <w:r>
        <w:rPr>
          <w:rFonts w:ascii="Times New Roman" w:hAnsi="Times New Roman"/>
          <w:b/>
          <w:sz w:val="20"/>
        </w:rPr>
        <w:t>James Greene</w:t>
      </w:r>
      <w:r>
        <w:rPr>
          <w:rFonts w:ascii="Times New Roman" w:hAnsi="Times New Roman"/>
          <w:sz w:val="20"/>
        </w:rPr>
        <w:t xml:space="preserve"> will serve as our independent director upon completion of this offering. Mr. Greene served as a director of Umpqua Bank (Nasdaq: 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Number, Terms of Office and Election of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will be elected each year at our annual meeting of shareholders. We may not hold an annual meeting of shareholders until after we consummate our initial business combination (unless required by Nasdaq).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are elected by the board of directors and serve at the discretion of the board of directors, rather than for specific terms of office. Our board of directors is authorized by our amended and restated memorandum and articles of association to appoint persons to serve as officers as it deems appropriate. Our executive officers may consist of a Chairman, a Chief Executive Officer, a President, a Chief Financial Officer, Vice Presidents, a Secretary, Assistant Secretaries, a Treasurer and such other offices as may be determined by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Nasdaq requires that a majority of our board must be composed of “independent directors,” which is defined generally as a person other than an executive officer or employee of our company or its subsidiaries or any other individual having a relationship, which, in the opinion of our company’s board of directors would interfere with the director’s exercise of independent judgment in carrying out the responsibilities of a director. </w:t>
      </w:r>
    </w:p>
    <w:p>
      <w:pPr>
        <w:pStyle w:val="TextBody"/>
        <w:bidi w:val="0"/>
        <w:spacing w:before="240" w:after="0"/>
        <w:jc w:val="left"/>
        <w:rPr>
          <w:rFonts w:ascii="Times New Roman" w:hAnsi="Times New Roman"/>
          <w:sz w:val="20"/>
        </w:rPr>
      </w:pPr>
      <w:r>
        <w:rPr>
          <w:rFonts w:ascii="Times New Roman" w:hAnsi="Times New Roman"/>
          <w:sz w:val="20"/>
        </w:rPr>
        <w:t xml:space="preserve">Upon the effective date of the registration statement of which this prospectus forms a part, Mr. Horowitz, Ambassador Zuckerman, V. Admiral (Ret.) Ben-Bashat. Rear Admiral (Ret.) Dagul, Mr. Machuca and Mr. Timm will be our independent directors. Our independent directors may have regularly scheduled meetings at which only independent directors are present in certain circumstances. Any initial business combination must be approved by a majority of our independent directors. Any affiliated transactions will be on terms no less favorable to us than could be obtained from independent parties. Any affiliated transactions must be approved by a majority of our independent and disinterested directors, and neither the sponsor, nor any executive officer or director, will be entitled to receive or accept a finder’s fee or any other compensation in the event such party originates a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 and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date that our securities are first listed on Nasdaq through the earlier of consummation of our initial business combination and our liquidation, we will pay GigManagement, LLC, an affiliate of our sponsor, a monthly fee of $30,000 per month for office space and general and administrative services until the consummation of an initial business combination. The Chief Financial Officer shall be entitled to payment of up to $15,000 per month for services in such capacity, and sponsor and the officers and directors shall also be entitled to reimbursement from our company for their out-of-pocket expenses incurred and advisory fees shall be paid to the directors and advisors in connection with certain activities on our company’s behalf. This arrangement is being agreed to by GigManagement, LLC, an affiliate of our Chairman of our board of directors, for our benefit and is not intended to provide such affiliate of our Chairman of our board of directors and Chief Executive Officer compensation in lieu of a salary. We believe that such fees are at least as favorable as we could have obtained from an unaffiliated third party for such services.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above and in this paragraph, no compensation will be paid to our sponsor, executive officers and directors, or any of their respective affiliates, prior to or in connection with the consummation of our initial business combination. Additionally, these individuals will be reimbursed for any out-of-pocket expenses incurred in connection with activities on our behalf such as identifying potential target businesses and performing due diligence on suitable business combinations. Our board of directors may also approve the payment of advisory fees to directors in connection with such activities, including board committee service, and extraordinary administrative and analytical services. Our independent directors will review on a quarterly basis all payments that were made to our sponsor, executive officers, directors or our or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our initial business combination, members of our management team who remain with us, may be paid consulting, management or other fees from the combined company with any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being fully disclosed to shareholders, to the extent then known, in the tender offer materials or proxy solicitation materials furnished to our shareholders in connection with a proposed business combination. It is unlikely the amount of such compensation will be known at the time, as it will be up to the directors of the post-combination business to determine executive and director compensation. Any compensation to be paid to our officers will be determined, or recommenced, to the board of directors for determination, either by a committee constituted solely of independent directors or by a majority of the independent directors on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the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Upon the effective date of the Registration Statement of which this prospectus forms a part, our board of directors will have three standing committees: an audit committee; a compensation committee; and a nominating and corporate governance committee. Each of our audit committee, our compensation committee and our nominating and corporate governance committee will be composed solely of independent directors. Each committee will operate under a charter that will be approved by our board of directors and will have the composition and responsibilities described below. The charter of each committee will be available on our website following the closing of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effectiveness of the registration statement of which this prospectus forms a part, we will establish an audit committee of the board of directors. Mr. Horowitz and Mr. Machuca will serve as members of our audit committee. Mr. Timm will serve as the chairman of the audit committee. Under Nasdaq listing standards and applicable SEC rules, we are required to have three members of the audit committee, all of whom must be independent. Each of Mr. Timm, Mr. Horowitz and Ambassador Zuckerman are independent. </w:t>
      </w:r>
    </w:p>
    <w:p>
      <w:pPr>
        <w:pStyle w:val="TextBody"/>
        <w:bidi w:val="0"/>
        <w:spacing w:before="240" w:after="0"/>
        <w:jc w:val="left"/>
        <w:rPr>
          <w:rFonts w:ascii="Times New Roman" w:hAnsi="Times New Roman"/>
          <w:sz w:val="20"/>
        </w:rPr>
      </w:pPr>
      <w:r>
        <w:rPr>
          <w:rFonts w:ascii="Times New Roman" w:hAnsi="Times New Roman"/>
          <w:sz w:val="20"/>
        </w:rPr>
        <w:t xml:space="preserve">Each member of the audit committee is financially literate and our board of directors will determine that Mr. Timm qualifies as an “audit committee financial expert” as defined in applicable SEC rules. </w:t>
      </w:r>
    </w:p>
    <w:p>
      <w:pPr>
        <w:pStyle w:val="TextBody"/>
        <w:bidi w:val="0"/>
        <w:spacing w:before="240" w:after="0"/>
        <w:jc w:val="left"/>
        <w:rPr>
          <w:rFonts w:ascii="Times New Roman" w:hAnsi="Times New Roman"/>
          <w:sz w:val="20"/>
        </w:rPr>
      </w:pPr>
      <w:r>
        <w:rPr>
          <w:rFonts w:ascii="Times New Roman" w:hAnsi="Times New Roman"/>
          <w:sz w:val="20"/>
        </w:rPr>
        <w:t xml:space="preserve">We will adopt an audit committee charter, which will detail the purpose and principal functions of the audit committee,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the board of directors in the oversight of (1) the accounting and financial reporting processes of the company and the audits of the financial statements of the company, (2) the preparation and integrity of the financial statements of the company, (3) the compliance by the company with financial statement and regulatory requirements, (4) the performance of the company’s internal finance and accounting personnel and its independent registered public accounting firms, and (5) the qualifications and independence of the company’s independent registered public accounting firms;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each of the internal and independent registered public accounting firms the overall scope and plans for audits, including authority and organizational reporting lines and adequacy of staffing and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internal auditors and the independent registered public accounting firm the company’s financial and critical accounting practices, and policies relating to risk assessment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and reviewing reports of the independent registered public accounting firm and discussing 1) all critical accounting policies and practices to be used in the firm’s audit of the company’s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reviewing and discussing with management and the independent registered public accounting firm the annual and quarterly financial statements and section entitled “</w:t>
            </w:r>
            <w:r>
              <w:rPr>
                <w:rFonts w:ascii="Times New Roman" w:hAnsi="Times New Roman"/>
                <w:i/>
                <w:sz w:val="20"/>
              </w:rPr>
              <w:t>Management’s Discussion and Analysis of Financial Condition and Results of Operations</w:t>
            </w:r>
            <w:r>
              <w:rPr>
                <w:rFonts w:ascii="Times New Roman" w:hAnsi="Times New Roman"/>
                <w:sz w:val="20"/>
              </w:rPr>
              <w:t>” of the company prior to the filing of the company’s Annual Report on Form 10-K and Quarterly Reports on Form 10-Q;</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or establishing, standards for the type of information and the type of presentation of such information to be included in, earnings press releases and earnings guidance provided to analysts and rating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and the independent registered public accounting firm any changes in the company’s critical accounting principles and the effects of alternative GAAP methods, off-balance sheet structures and regulatory and accounting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material pending legal proceedings involving the company and other contingent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meeting periodically with the Chief Executive Officer, Chief Financial Officer, the senior internal auditing executive and the independent registered public accounting firm in separate executive sessions to discuss results of examinations;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all transactions between the company and related parties or affiliates of the officers of the company requiring disclosure under Item 404 of Regulation S-K prior to the company entering into such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the company regarding accounting, internal accounting controls or auditing matters, and the confidential, anonymous submissions by employees or contractors of concerns regarding questionable accounting or accounting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periodically with the company’s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company’s financial statements or accounting policies and any significant changes in accounting standards or rules promulgated by the Financial Accounting Standards Board, the SEC or other regulatory authorities;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for the hiring of employees and former employees of the independent registered public accounting firm.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effectiveness of the registration statement of which this prospectus forms a part, we will establish a compensation committee of the board of directors. The members of our compensation committee will be Mr. Horowitz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Rear Admiral (Ret.) Dagul, and Mr. Greene will serve as the chairman of the compensation committee. We will adopt a compensation committee charter, which will detail the purpose and responsibility of the compensation committee,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performance of the Chief Executive Officer and executive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the Board in developing and evaluating potential candidates for executive positions (including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goals and objectives relevant to the Chief Executive Officer and other executive officer compensation, evaluating the Chief Executive Officer’s and other executive officers’ performance in light of these corporate goals and objectives, and setting the Chief Executive Officer and other executive officer compensation levels consistent with its evaluation and the company philosophy;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the salaries, bonus and other compensation for all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compensation packages for new corporate officers and termination packages for corporate officers as requested by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the board of directors and senior officers plans for officer development and corporate succession plans for the Chief Executive Officer and other senior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concerning executive compensation policies and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board of directors the adoption of or changes to the compensation of the Company’s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awards made under any executive officer bonus plan, and providing an appropriate report to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concerning long-term incentive compensation plans, including the use of share options and other equity-based plans, and, except as otherwise delegated by the board of directors, acting as the “Plan Administrator” for equity-based and employee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all special perquisites, special cash payments and other special compensation and benefit arrangements for the Company’s executive officers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periodic reports from management on matters relating to the Company’s personnel appointments and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management in complying with the Company’s proxy statement and annual report disclosure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issuing an annual Report of the Compensation Committee on Executive Compensation for the Company’s annual proxy statement in compliance with applicable SEC rules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annually evaluating the committee’s performance and the committee’s charter and recommending to the board of directors any proposed changes to the charter or the committee;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undertaking all further actions and discharge all further responsibilities imposed upon the Committee from time to time by the board of directors, the federal securities laws or the rules and regulations of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effectiveness of the registration statement of which this prospectus forms a part, we will establish a nominating and corporate governance committee of the board of directors. The members of our nominating and corporate governance will be Admiral (Ret.) Ben-Bashat and Mr. Greene, and Mr. Machuca will serve as the chairman of the nominating and corporate governance committee. We will adopt a nominating and corporate governance committee charter, which will detail the purpose and responsibilities of the nominating and corporate governance committee,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board of directors the criteria for appointment as a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considering, recruiting and recommending candidates to fill new positions on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candidates recommended by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conducting the appropriate and necessary inquiries into the backgrounds and qualifications of possible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director nominees for approval by the board of directors and election by the shareholders at the next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 </w:t>
      </w:r>
    </w:p>
    <w:p>
      <w:pPr>
        <w:pStyle w:val="TextBody"/>
        <w:bidi w:val="0"/>
        <w:spacing w:before="200" w:after="0"/>
        <w:jc w:val="left"/>
        <w:rPr>
          <w:rFonts w:ascii="Times New Roman" w:hAnsi="Times New Roman"/>
          <w:sz w:val="20"/>
        </w:rPr>
      </w:pPr>
      <w:r>
        <w:rPr>
          <w:rFonts w:ascii="Times New Roman" w:hAnsi="Times New Roman"/>
          <w:sz w:val="20"/>
        </w:rPr>
        <w:t xml:space="preserve">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Upon the effectiveness of the registration statement of which this prospectus forms a part, we will adopt a code of conduct and ethics applicable to our directors, officers and employees in accordance with applicable federal securities laws. We will file a copy of our form of Code of Business Conduct and our board committee charters as exhibits to the registration statement. You will be able to review these documents by accessing our public filings at the SEC’s web site at </w:t>
      </w:r>
      <w:r>
        <w:rPr>
          <w:rFonts w:ascii="Times New Roman" w:hAnsi="Times New Roman"/>
          <w:i/>
          <w:sz w:val="20"/>
        </w:rPr>
        <w:t>www.sec.gov</w:t>
      </w:r>
      <w:r>
        <w:rPr>
          <w:rFonts w:ascii="Times New Roman" w:hAnsi="Times New Roman"/>
          <w:sz w:val="20"/>
        </w:rPr>
        <w:t>. In addition, a copy of the Code of Business Conduct will be provided without charge upon request from us. We intend to disclose any amendments to or waivers of certain provisions of our Code of Business Conduct in a Current Report on Form 8-K. See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w:t>
      </w:r>
      <w:r>
        <w:rPr>
          <w:rFonts w:ascii="Times New Roman" w:hAnsi="Times New Roman"/>
          <w:i/>
          <w:sz w:val="20"/>
        </w:rPr>
        <w:t>Proposed Business—Initial Business Combination</w:t>
      </w:r>
      <w:r>
        <w:rPr>
          <w:rFonts w:ascii="Times New Roman" w:hAnsi="Times New Roman"/>
          <w:sz w:val="20"/>
        </w:rPr>
        <w:t xml:space="preserve">”). These conflicts may not be resolved in our favor and a potential target business may be presented to another entity prior to its presentation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do not believe, however, that the fiduciary, contractual or other obligations or duties of our officers or directors will materially affect our ability to complete our initial business combination. Our amended and restated memorandum and articles of association provide that, to the fullest extent permitted by law: (i) no individual serving as a director or an officer, among other persons,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(a) may be a corporate opportunity for any director or officer, on the one hand, and us, on the other or (b) the presentation of which would breach an existing legal obligation of a director or officer to any other entity. We do not believe, however, that the fiduciary duties or contractual obligations of our officers or directors will materially affect our ability to complete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Our sponsor, officers or directors may sponsor or form other special purpose acquisition companies similar to ours or may pursue other business or investment ventures during the period in which we are seeking an initial business combination. As a result, our sponsor, officers and directors could have conflicts of interest in determining whether to present business combination opportunities to us or to any other special purpose acquisition company with which they may become involved. Any such companies, businesses or investments may present additional conflicts of interest in pursuing an initial business combination target. As the number of special purpose acquisition companies increases, the competition for available targets with attractive business models and strong financial presence intensifies, which could cause targets companies to demand improved acquisition terms. This could affect our ability to find and consummate an initial business combination or negotiate favorable to us provisions. </w:t>
      </w:r>
    </w:p>
    <w:p>
      <w:pPr>
        <w:pStyle w:val="TextBody"/>
        <w:bidi w:val="0"/>
        <w:spacing w:before="240" w:after="0"/>
        <w:jc w:val="left"/>
        <w:rPr>
          <w:rFonts w:ascii="Times New Roman" w:hAnsi="Times New Roman"/>
          <w:sz w:val="20"/>
        </w:rPr>
      </w:pPr>
      <w:r>
        <w:rPr>
          <w:rFonts w:ascii="Times New Roman" w:hAnsi="Times New Roman"/>
          <w:b/>
          <w:sz w:val="20"/>
        </w:rPr>
        <w:t>See “</w:t>
      </w:r>
      <w:r>
        <w:rPr>
          <w:rFonts w:ascii="Times New Roman" w:hAnsi="Times New Roman"/>
          <w:b/>
          <w:i/>
          <w:sz w:val="20"/>
        </w:rPr>
        <w:t>Risk Factors — We may engage in our initial</w:t>
      </w:r>
      <w:r>
        <w:rPr>
          <w:rFonts w:ascii="Times New Roman" w:hAnsi="Times New Roman"/>
          <w:sz w:val="20"/>
        </w:rPr>
        <w:t xml:space="preserve"> </w:t>
      </w:r>
      <w:r>
        <w:rPr>
          <w:rFonts w:ascii="Times New Roman" w:hAnsi="Times New Roman"/>
          <w:b/>
          <w:i/>
          <w:sz w:val="20"/>
        </w:rPr>
        <w:t>business combination with one or more target businesses that have</w:t>
      </w:r>
      <w:r>
        <w:rPr>
          <w:rFonts w:ascii="Times New Roman" w:hAnsi="Times New Roman"/>
          <w:sz w:val="20"/>
        </w:rPr>
        <w:t xml:space="preserve"> </w:t>
      </w:r>
      <w:r>
        <w:rPr>
          <w:rFonts w:ascii="Times New Roman" w:hAnsi="Times New Roman"/>
          <w:b/>
          <w:i/>
          <w:sz w:val="20"/>
        </w:rPr>
        <w:t>relationships with entities that may be affiliated with our sponsor,</w:t>
      </w:r>
      <w:r>
        <w:rPr>
          <w:rFonts w:ascii="Times New Roman" w:hAnsi="Times New Roman"/>
          <w:sz w:val="20"/>
        </w:rPr>
        <w:t xml:space="preserve"> </w:t>
      </w:r>
      <w:r>
        <w:rPr>
          <w:rFonts w:ascii="Times New Roman" w:hAnsi="Times New Roman"/>
          <w:b/>
          <w:i/>
          <w:sz w:val="20"/>
        </w:rPr>
        <w:t>executive officers or directors, which may raise potential conflicts of</w:t>
      </w:r>
      <w:r>
        <w:rPr>
          <w:rFonts w:ascii="Times New Roman" w:hAnsi="Times New Roman"/>
          <w:sz w:val="20"/>
        </w:rPr>
        <w:t xml:space="preserve"> </w:t>
      </w:r>
      <w:r>
        <w:rPr>
          <w:rFonts w:ascii="Times New Roman" w:hAnsi="Times New Roman"/>
          <w:b/>
          <w:i/>
          <w:sz w:val="20"/>
        </w:rPr>
        <w:t xml:space="preserve">interest.” </w:t>
      </w:r>
      <w:r>
        <w:rPr>
          <w:rFonts w:ascii="Times New Roman" w:hAnsi="Times New Roman"/>
          <w:sz w:val="20"/>
        </w:rPr>
        <w:t xml:space="preserve">and “— </w:t>
      </w:r>
      <w:r>
        <w:rPr>
          <w:rFonts w:ascii="Times New Roman" w:hAnsi="Times New Roman"/>
          <w:b/>
          <w:i/>
          <w:sz w:val="20"/>
        </w:rPr>
        <w:t>As the number of special purpose acquisition</w:t>
      </w:r>
      <w:r>
        <w:rPr>
          <w:rFonts w:ascii="Times New Roman" w:hAnsi="Times New Roman"/>
          <w:sz w:val="20"/>
        </w:rPr>
        <w:t xml:space="preserve"> </w:t>
      </w:r>
      <w:r>
        <w:rPr>
          <w:rFonts w:ascii="Times New Roman" w:hAnsi="Times New Roman"/>
          <w:b/>
          <w:i/>
          <w:sz w:val="20"/>
        </w:rPr>
        <w:t>companies evaluating targets increases, and other issued SPAC</w:t>
      </w:r>
      <w:r>
        <w:rPr>
          <w:rFonts w:ascii="Times New Roman" w:hAnsi="Times New Roman"/>
          <w:sz w:val="20"/>
        </w:rPr>
        <w:t xml:space="preserve"> </w:t>
      </w:r>
      <w:r>
        <w:rPr>
          <w:rFonts w:ascii="Times New Roman" w:hAnsi="Times New Roman"/>
          <w:b/>
          <w:i/>
          <w:sz w:val="20"/>
        </w:rPr>
        <w:t>entities may come to market with superior terms for the acquisition</w:t>
      </w:r>
      <w:r>
        <w:rPr>
          <w:rFonts w:ascii="Times New Roman" w:hAnsi="Times New Roman"/>
          <w:sz w:val="20"/>
        </w:rPr>
        <w:t xml:space="preserve"> </w:t>
      </w:r>
      <w:r>
        <w:rPr>
          <w:rFonts w:ascii="Times New Roman" w:hAnsi="Times New Roman"/>
          <w:b/>
          <w:i/>
          <w:sz w:val="20"/>
        </w:rPr>
        <w:t>targets, attractive targets may become scarcer and there may be</w:t>
      </w:r>
      <w:r>
        <w:rPr>
          <w:rFonts w:ascii="Times New Roman" w:hAnsi="Times New Roman"/>
          <w:sz w:val="20"/>
        </w:rPr>
        <w:t xml:space="preserve"> </w:t>
      </w:r>
      <w:r>
        <w:rPr>
          <w:rFonts w:ascii="Times New Roman" w:hAnsi="Times New Roman"/>
          <w:b/>
          <w:i/>
          <w:sz w:val="20"/>
        </w:rPr>
        <w:t>more competition for attractive targets. This could increase the cost</w:t>
      </w:r>
      <w:r>
        <w:rPr>
          <w:rFonts w:ascii="Times New Roman" w:hAnsi="Times New Roman"/>
          <w:sz w:val="20"/>
        </w:rPr>
        <w:t xml:space="preserve"> </w:t>
      </w:r>
      <w:r>
        <w:rPr>
          <w:rFonts w:ascii="Times New Roman" w:hAnsi="Times New Roman"/>
          <w:b/>
          <w:i/>
          <w:sz w:val="20"/>
        </w:rPr>
        <w:t>of our initial business combination and could even result in our</w:t>
      </w:r>
      <w:r>
        <w:rPr>
          <w:rFonts w:ascii="Times New Roman" w:hAnsi="Times New Roman"/>
          <w:sz w:val="20"/>
        </w:rPr>
        <w:t xml:space="preserve"> </w:t>
      </w:r>
      <w:r>
        <w:rPr>
          <w:rFonts w:ascii="Times New Roman" w:hAnsi="Times New Roman"/>
          <w:b/>
          <w:i/>
          <w:sz w:val="20"/>
        </w:rPr>
        <w:t>inability to find a target or to consummate an initial business</w:t>
      </w:r>
      <w:r>
        <w:rPr>
          <w:rFonts w:ascii="Times New Roman" w:hAnsi="Times New Roman"/>
          <w:sz w:val="20"/>
        </w:rPr>
        <w:t xml:space="preserve"> </w:t>
      </w:r>
      <w:r>
        <w:rPr>
          <w:rFonts w:ascii="Times New Roman" w:hAnsi="Times New Roman"/>
          <w:b/>
          <w:i/>
          <w:sz w:val="20"/>
        </w:rPr>
        <w:t>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and our directors may have interests that differ from you in connection with the business combination, including the fact that they may lose their entire investment in us if our initial business combination is not completed, except to the extent they receive liquidating distributions from assets outside the trust account, and accordingly, may have a conflict of interest in determining whether a particular target business is an appropriate business with which to effectuate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personal and financial interests of our directors and executive officers may influence their motivation in timely identifying and pursuing an initial business combination or completing our initial business combination. In the event we do not consummate a business combination within the completion window, and unless the time for us to consummate a business combination has been extended, the founder shares, private investor shares and the private placement units will expire worthless, which could create an incentive our officers and directors to complete a transaction even if the company selects an acquisition target that subsequently declines in value and is unprofitable for public investors. The different timelines of competing business combinations could cause our directors and executive officers to prioritize a different business combination over finding a suitable acquisition target for our business combination. Consequently, our directors’ and executive officers’ discretion in identifying and selecting a suitable target business may result in a conflict of interest when determining whether the terms, conditions and timing of a particular business combination are appropriate and in our shareholders’ best interest, which could negatively impact the timing for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above, our officers and directors are not required to commit any specified amount of time to our affairs, and, accordingly, may have conflicts of interest in allocating management time among various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activities, including selecting a business combination target and monitoring the related due diligence. </w:t>
      </w:r>
      <w:r>
        <w:rPr>
          <w:rFonts w:ascii="Times New Roman" w:hAnsi="Times New Roman"/>
          <w:b/>
          <w:sz w:val="20"/>
        </w:rPr>
        <w:t>See “</w:t>
      </w:r>
      <w:r>
        <w:rPr>
          <w:rFonts w:ascii="Times New Roman" w:hAnsi="Times New Roman"/>
          <w:b/>
          <w:i/>
          <w:sz w:val="20"/>
        </w:rPr>
        <w:t>Risk Factors —</w:t>
      </w:r>
      <w:r>
        <w:rPr>
          <w:rFonts w:ascii="Times New Roman" w:hAnsi="Times New Roman"/>
          <w:sz w:val="20"/>
        </w:rPr>
        <w:t xml:space="preserve"> </w:t>
      </w:r>
      <w:r>
        <w:rPr>
          <w:rFonts w:ascii="Times New Roman" w:hAnsi="Times New Roman"/>
          <w:b/>
          <w:i/>
          <w:sz w:val="20"/>
        </w:rPr>
        <w:t>Our officers and directors will allocate their time to other</w:t>
      </w:r>
      <w:r>
        <w:rPr>
          <w:rFonts w:ascii="Times New Roman" w:hAnsi="Times New Roman"/>
          <w:sz w:val="20"/>
        </w:rPr>
        <w:t xml:space="preserve"> </w:t>
      </w:r>
      <w:r>
        <w:rPr>
          <w:rFonts w:ascii="Times New Roman" w:hAnsi="Times New Roman"/>
          <w:b/>
          <w:i/>
          <w:sz w:val="20"/>
        </w:rPr>
        <w:t>businesses thereby causing</w:t>
      </w:r>
      <w:r>
        <w:rPr>
          <w:rFonts w:ascii="Times New Roman" w:hAnsi="Times New Roman"/>
          <w:sz w:val="20"/>
        </w:rPr>
        <w:t xml:space="preserve"> </w:t>
      </w:r>
      <w:r>
        <w:rPr>
          <w:rFonts w:ascii="Times New Roman" w:hAnsi="Times New Roman"/>
          <w:b/>
          <w:i/>
          <w:sz w:val="20"/>
        </w:rPr>
        <w:t>conflicts of interest in their</w:t>
      </w:r>
      <w:r>
        <w:rPr>
          <w:rFonts w:ascii="Times New Roman" w:hAnsi="Times New Roman"/>
          <w:sz w:val="20"/>
        </w:rPr>
        <w:t xml:space="preserve"> </w:t>
      </w:r>
      <w:r>
        <w:rPr>
          <w:rFonts w:ascii="Times New Roman" w:hAnsi="Times New Roman"/>
          <w:b/>
          <w:i/>
          <w:sz w:val="20"/>
        </w:rPr>
        <w:t>determination as to how much time to devote to our affairs. This</w:t>
      </w:r>
      <w:r>
        <w:rPr>
          <w:rFonts w:ascii="Times New Roman" w:hAnsi="Times New Roman"/>
          <w:sz w:val="20"/>
        </w:rPr>
        <w:t xml:space="preserve"> </w:t>
      </w:r>
      <w:r>
        <w:rPr>
          <w:rFonts w:ascii="Times New Roman" w:hAnsi="Times New Roman"/>
          <w:b/>
          <w:i/>
          <w:sz w:val="20"/>
        </w:rPr>
        <w:t>conflict of interest could have a negative impact on our ability to</w:t>
      </w:r>
      <w:r>
        <w:rPr>
          <w:rFonts w:ascii="Times New Roman" w:hAnsi="Times New Roman"/>
          <w:sz w:val="20"/>
        </w:rPr>
        <w:t xml:space="preserve"> </w:t>
      </w:r>
      <w:r>
        <w:rPr>
          <w:rFonts w:ascii="Times New Roman" w:hAnsi="Times New Roman"/>
          <w:b/>
          <w:i/>
          <w:sz w:val="20"/>
        </w:rPr>
        <w:t>complete our initial business 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sponsor and executive officers and directors have agreed to waive their redemption rights with respect to any founder shares, private placement units and any public shares held by them in connection with the consummation of our initial business combination. Further, our sponsor and executive officers and directors have agreed to waive their redemption rights with respect to any founder shares and private placement units held by them if we are unable to complete our initial business combination within 24 months from the closing of this offering or by such earlier liquidation date as our board of directors may approve. If we do not complete our initial business combination within the completion window, the proceeds of the sale of the private placement units held in the trust account will be used to fund the redemption of our public shares, and the rights may expire worthless. </w:t>
      </w:r>
    </w:p>
    <w:p>
      <w:pPr>
        <w:pStyle w:val="TextBody"/>
        <w:bidi w:val="0"/>
        <w:spacing w:before="240" w:after="0"/>
        <w:jc w:val="left"/>
        <w:rPr>
          <w:rFonts w:ascii="Times New Roman" w:hAnsi="Times New Roman"/>
          <w:sz w:val="20"/>
        </w:rPr>
      </w:pPr>
      <w:r>
        <w:rPr>
          <w:rFonts w:ascii="Times New Roman" w:hAnsi="Times New Roman"/>
          <w:sz w:val="20"/>
        </w:rPr>
        <w:t xml:space="preserve">With certain limited exceptions, the founder shares will not be transferable, assignable or salable by our insiders or its permitted transferees until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With certain limited exceptions, the private placement units (including the securities comprising such units) will not be transferable, assignable or salable by our sponsor or its permitted transferees until 30 days after the completion of our initial business combination. Since our sponsor and executive officers and directors may directly or indirectly own ordinary shares and rights following this offering, our executive officers and directors may have a conflict of interest in determining whether a particular target business is an appropriate business with which to effectuate our initial business combination because of their financial interest in completing an initial business combination within the completion window or by such earlier liquidation date as our board of directors may approve. </w:t>
      </w:r>
    </w:p>
    <w:p>
      <w:pPr>
        <w:pStyle w:val="TextBody"/>
        <w:bidi w:val="0"/>
        <w:spacing w:before="240" w:after="0"/>
        <w:jc w:val="left"/>
        <w:rPr>
          <w:rFonts w:ascii="Times New Roman" w:hAnsi="Times New Roman"/>
          <w:sz w:val="20"/>
        </w:rPr>
      </w:pPr>
      <w:r>
        <w:rPr>
          <w:rFonts w:ascii="Times New Roman" w:hAnsi="Times New Roman"/>
          <w:sz w:val="20"/>
        </w:rPr>
        <w:t xml:space="preserve">Our insiders, officers, advisors and directors, or any of their respective affiliates, will be reimbursed for any out-of-pocket expenses incurred in connection with activities on our behalf such as identifying and investigation potential target businesses, performing business due diligence on suitable target businesses and business combinations. There is no limit on the amount of out-of-pocket expenses reimbursable by us provided, however, to the extent such expenses exceed the available proceeds not deposited in the trust account, such expenses would not be reimbursed by us unless we consummate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our sponsor or members of our management team provide loans to us to finance transaction costs in connection with an initial business combination, such persons may have a conflict of interest in determining whether a particular target business is an appropriate business with which to effectuate our initial business combination as such loans may not be repaid unless we consummate such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Similarly, if we agree to pay our sponsor or a member of our management team a finder’s fee, advisory fee, consulting fee or success fee in order to effectuate the completion of our initial business combination, such persons may have a conflict of interest in determining whether a particular target business is an appropriate business with which to effectuate our initial business combination as any such fee may not be paid unless we consummate such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We are not prohibited from pursuing an initial business combination with a company that is affiliated with our sponsor, officers or directors, or completing the business combination through a joint venture or other form of shared ownership with our sponsor, officers or directors; accordingly, such affiliated person(s) may have a conflict of interest in determining whether a particular target business is an appropriate business with which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effectuate our initial business combination as such affiliated person(s) would have interests different from our public shareholders and would likely not receive any financial benefit unless we consummated such business combination. In the event we seek to complete our initial business combination with a target business that is affiliated (as defined in our amended and restated memorandum and articles of association) with our sponsor (including its members), officers or directors, we, or a committee of independent directors, will obtain an opinion from an independent investment banking firm or another independent entity that commonly renders valuation opinions, stating that the consideration to be paid by us in such an initial business combination is fair to our company from a financial point of view. We are not required to obtain such an opinion in any other context. </w:t>
      </w:r>
    </w:p>
    <w:p>
      <w:pPr>
        <w:pStyle w:val="TextBody"/>
        <w:bidi w:val="0"/>
        <w:spacing w:before="240" w:after="0"/>
        <w:jc w:val="left"/>
        <w:rPr>
          <w:rFonts w:ascii="Times New Roman" w:hAnsi="Times New Roman"/>
          <w:sz w:val="20"/>
        </w:rPr>
      </w:pPr>
      <w:r>
        <w:rPr>
          <w:rFonts w:ascii="Times New Roman" w:hAnsi="Times New Roman"/>
          <w:sz w:val="20"/>
        </w:rPr>
        <w:t xml:space="preserve">Below is a table summarizing the entities to which our executive officers and directors currently have fiduciary duties or contractual obligations.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5"/>
        <w:gridCol w:w="205"/>
        <w:gridCol w:w="2478"/>
        <w:gridCol w:w="205"/>
        <w:gridCol w:w="2341"/>
        <w:gridCol w:w="120"/>
        <w:gridCol w:w="2121"/>
      </w:tblGrid>
      <w:tr>
        <w:trPr/>
        <w:tc>
          <w:tcPr>
            <w:tcW w:w="2735"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r>
      <w:tr>
        <w:trPr/>
        <w:tc>
          <w:tcPr>
            <w:tcW w:w="27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Individual</w:t>
            </w:r>
          </w:p>
        </w:tc>
        <w:tc>
          <w:tcPr>
            <w:tcW w:w="205" w:type="dxa"/>
            <w:tcBorders/>
            <w:vAlign w:val="bottom"/>
          </w:tcPr>
          <w:p>
            <w:pPr>
              <w:pStyle w:val="TableContents"/>
              <w:bidi w:val="0"/>
              <w:spacing w:before="0" w:after="283"/>
              <w:jc w:val="left"/>
              <w:rPr/>
            </w:pPr>
            <w:r>
              <w:rPr/>
              <w:t>  </w:t>
            </w:r>
          </w:p>
        </w:tc>
        <w:tc>
          <w:tcPr>
            <w:tcW w:w="24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Entity</w:t>
            </w:r>
          </w:p>
        </w:tc>
        <w:tc>
          <w:tcPr>
            <w:tcW w:w="205" w:type="dxa"/>
            <w:tcBorders/>
            <w:vAlign w:val="bottom"/>
          </w:tcPr>
          <w:p>
            <w:pPr>
              <w:pStyle w:val="TableContents"/>
              <w:bidi w:val="0"/>
              <w:spacing w:before="0" w:after="283"/>
              <w:jc w:val="left"/>
              <w:rPr/>
            </w:pPr>
            <w:r>
              <w:rPr/>
              <w:t>  </w:t>
            </w:r>
          </w:p>
        </w:tc>
        <w:tc>
          <w:tcPr>
            <w:tcW w:w="23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Entity’s Business</w:t>
            </w:r>
          </w:p>
        </w:tc>
        <w:tc>
          <w:tcPr>
            <w:tcW w:w="120" w:type="dxa"/>
            <w:tcBorders/>
            <w:vAlign w:val="bottom"/>
          </w:tcPr>
          <w:p>
            <w:pPr>
              <w:pStyle w:val="TableContents"/>
              <w:bidi w:val="0"/>
              <w:spacing w:before="0" w:after="283"/>
              <w:jc w:val="left"/>
              <w:rPr/>
            </w:pPr>
            <w:r>
              <w:rPr/>
              <w:t>  </w:t>
            </w:r>
          </w:p>
        </w:tc>
        <w:tc>
          <w:tcPr>
            <w:tcW w:w="21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Affiliation</w:t>
            </w:r>
          </w:p>
        </w:tc>
      </w:tr>
      <w:tr>
        <w:trPr/>
        <w:tc>
          <w:tcPr>
            <w:tcW w:w="2735" w:type="dxa"/>
            <w:tcBorders/>
          </w:tcPr>
          <w:p>
            <w:pPr>
              <w:pStyle w:val="TableContents"/>
              <w:bidi w:val="0"/>
              <w:spacing w:before="0" w:after="283"/>
              <w:jc w:val="left"/>
              <w:rPr/>
            </w:pPr>
            <w:r>
              <w:rPr/>
              <w:t>Dr. Avi S. Katz</w:t>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Gig4L, LLC</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Consulting and Investment</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Founder and managing member</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GigManagement, LLC</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Management Company</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Co-founder and managing member</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GigAcquisitions2, LLC</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PPE (SPAC) sponsorship</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Founder and manager</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GigAcquisitions7 Corp.</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PPE (SPAC) sponsorship</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Founder and manager</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UpHealth, Inc.</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Healthcare and Telemedicine</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Chairman of board of directors</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QT Imaging Holdings, Inc.</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Medical Device</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Chairman of board of directors</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GigCapital7 Corp.</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SPAC</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Chief Executive Officer</w:t>
            </w:r>
          </w:p>
        </w:tc>
      </w:tr>
      <w:tr>
        <w:trPr>
          <w:trHeight w:val="120" w:hRule="atLeast"/>
        </w:trPr>
        <w:tc>
          <w:tcPr>
            <w:tcW w:w="2735" w:type="dxa"/>
            <w:tcBorders/>
            <w:vAlign w:val="center"/>
          </w:tcPr>
          <w:p>
            <w:pPr>
              <w:pStyle w:val="TableContents"/>
              <w:bidi w:val="0"/>
              <w:spacing w:before="0" w:after="283"/>
              <w:jc w:val="left"/>
              <w:rPr>
                <w:sz w:val="4"/>
                <w:szCs w:val="4"/>
              </w:rPr>
            </w:pPr>
            <w:r>
              <w:rPr>
                <w:sz w:val="4"/>
                <w:szCs w:val="4"/>
              </w:rPr>
            </w:r>
          </w:p>
        </w:tc>
        <w:tc>
          <w:tcPr>
            <w:tcW w:w="2683" w:type="dxa"/>
            <w:gridSpan w:val="2"/>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c>
          <w:tcPr>
            <w:tcW w:w="2241"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bidi w:val="0"/>
              <w:spacing w:before="0" w:after="283"/>
              <w:jc w:val="left"/>
              <w:rPr/>
            </w:pPr>
            <w:r>
              <w:rPr/>
              <w:t>Christine M. Marshall</w:t>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GigCapital7 Corp.</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SPAC</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Chief Financial Officer</w:t>
            </w:r>
          </w:p>
        </w:tc>
      </w:tr>
      <w:tr>
        <w:trPr>
          <w:trHeight w:val="120" w:hRule="atLeast"/>
        </w:trPr>
        <w:tc>
          <w:tcPr>
            <w:tcW w:w="2735" w:type="dxa"/>
            <w:tcBorders/>
            <w:vAlign w:val="center"/>
          </w:tcPr>
          <w:p>
            <w:pPr>
              <w:pStyle w:val="TableContents"/>
              <w:bidi w:val="0"/>
              <w:spacing w:before="0" w:after="283"/>
              <w:jc w:val="left"/>
              <w:rPr>
                <w:sz w:val="4"/>
                <w:szCs w:val="4"/>
              </w:rPr>
            </w:pPr>
            <w:r>
              <w:rPr>
                <w:sz w:val="4"/>
                <w:szCs w:val="4"/>
              </w:rPr>
            </w:r>
          </w:p>
        </w:tc>
        <w:tc>
          <w:tcPr>
            <w:tcW w:w="2683" w:type="dxa"/>
            <w:gridSpan w:val="2"/>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c>
          <w:tcPr>
            <w:tcW w:w="2241"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bidi w:val="0"/>
              <w:spacing w:before="0" w:after="283"/>
              <w:jc w:val="left"/>
              <w:rPr/>
            </w:pPr>
            <w:r>
              <w:rPr/>
              <w:t>Dr. Raluca Dinu</w:t>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GigManagement, LLC</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Management Company</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Co-founder and managing member</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Gig4L, LLC</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Consulting and Investment</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Founder and managing member</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UpHealth, Inc.</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Healthcare and Telemedicine</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Director</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QT Imaging Holdings, Inc.</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Medical Device</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Chief Executive Officer, President, Secretary and Director</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GigCapital7 Corp.</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SPAC</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Director</w:t>
            </w:r>
          </w:p>
        </w:tc>
      </w:tr>
      <w:tr>
        <w:trPr>
          <w:trHeight w:val="120" w:hRule="atLeast"/>
        </w:trPr>
        <w:tc>
          <w:tcPr>
            <w:tcW w:w="2735" w:type="dxa"/>
            <w:tcBorders/>
            <w:vAlign w:val="center"/>
          </w:tcPr>
          <w:p>
            <w:pPr>
              <w:pStyle w:val="TableContents"/>
              <w:bidi w:val="0"/>
              <w:spacing w:before="0" w:after="283"/>
              <w:jc w:val="left"/>
              <w:rPr>
                <w:sz w:val="4"/>
                <w:szCs w:val="4"/>
              </w:rPr>
            </w:pPr>
            <w:r>
              <w:rPr>
                <w:sz w:val="4"/>
                <w:szCs w:val="4"/>
              </w:rPr>
            </w:r>
          </w:p>
        </w:tc>
        <w:tc>
          <w:tcPr>
            <w:tcW w:w="2683" w:type="dxa"/>
            <w:gridSpan w:val="2"/>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c>
          <w:tcPr>
            <w:tcW w:w="2241"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bidi w:val="0"/>
              <w:spacing w:before="0" w:after="283"/>
              <w:jc w:val="left"/>
              <w:rPr/>
            </w:pPr>
            <w:r>
              <w:rPr/>
              <w:t>Ambassador Adrian Zuckerman</w:t>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DLA Piper LLP (US)</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Law Firm</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Of Counsel</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GigCapital7 Corp.</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SPAC</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Director</w:t>
            </w:r>
          </w:p>
        </w:tc>
      </w:tr>
      <w:tr>
        <w:trPr>
          <w:trHeight w:val="120" w:hRule="atLeast"/>
        </w:trPr>
        <w:tc>
          <w:tcPr>
            <w:tcW w:w="2735" w:type="dxa"/>
            <w:tcBorders/>
            <w:vAlign w:val="center"/>
          </w:tcPr>
          <w:p>
            <w:pPr>
              <w:pStyle w:val="TableContents"/>
              <w:bidi w:val="0"/>
              <w:spacing w:before="0" w:after="283"/>
              <w:jc w:val="left"/>
              <w:rPr>
                <w:sz w:val="4"/>
                <w:szCs w:val="4"/>
              </w:rPr>
            </w:pPr>
            <w:r>
              <w:rPr>
                <w:sz w:val="4"/>
                <w:szCs w:val="4"/>
              </w:rPr>
            </w:r>
          </w:p>
        </w:tc>
        <w:tc>
          <w:tcPr>
            <w:tcW w:w="2683" w:type="dxa"/>
            <w:gridSpan w:val="2"/>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c>
          <w:tcPr>
            <w:tcW w:w="2241"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bidi w:val="0"/>
              <w:spacing w:before="0" w:after="283"/>
              <w:jc w:val="left"/>
              <w:rPr/>
            </w:pPr>
            <w:r>
              <w:rPr/>
              <w:t>Raanan Horowitz</w:t>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Institute for Defense Analysis</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Technical and Scientific Analysis</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Member of board of trustees</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Parry Labs LLC</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Engineering Services</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Director</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GigCapital7 Corp.</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SPAC</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Director</w:t>
            </w:r>
          </w:p>
        </w:tc>
      </w:tr>
      <w:tr>
        <w:trPr>
          <w:trHeight w:val="120" w:hRule="atLeast"/>
        </w:trPr>
        <w:tc>
          <w:tcPr>
            <w:tcW w:w="2735" w:type="dxa"/>
            <w:tcBorders/>
            <w:vAlign w:val="center"/>
          </w:tcPr>
          <w:p>
            <w:pPr>
              <w:pStyle w:val="TableContents"/>
              <w:bidi w:val="0"/>
              <w:spacing w:before="0" w:after="283"/>
              <w:jc w:val="left"/>
              <w:rPr>
                <w:sz w:val="4"/>
                <w:szCs w:val="4"/>
              </w:rPr>
            </w:pPr>
            <w:r>
              <w:rPr>
                <w:sz w:val="4"/>
                <w:szCs w:val="4"/>
              </w:rPr>
            </w:r>
          </w:p>
        </w:tc>
        <w:tc>
          <w:tcPr>
            <w:tcW w:w="2683" w:type="dxa"/>
            <w:gridSpan w:val="2"/>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c>
          <w:tcPr>
            <w:tcW w:w="2241"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bidi w:val="0"/>
              <w:spacing w:before="0" w:after="283"/>
              <w:jc w:val="left"/>
              <w:rPr/>
            </w:pPr>
            <w:r>
              <w:rPr/>
              <w:t>Admiral (Ret,) David Ben-Bashat</w:t>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GaitMetrics</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Security Company</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Director</w:t>
            </w:r>
          </w:p>
        </w:tc>
      </w:tr>
      <w:tr>
        <w:trPr>
          <w:trHeight w:val="120" w:hRule="atLeast"/>
        </w:trPr>
        <w:tc>
          <w:tcPr>
            <w:tcW w:w="2735" w:type="dxa"/>
            <w:tcBorders/>
            <w:vAlign w:val="center"/>
          </w:tcPr>
          <w:p>
            <w:pPr>
              <w:pStyle w:val="TableContents"/>
              <w:bidi w:val="0"/>
              <w:spacing w:before="0" w:after="283"/>
              <w:jc w:val="left"/>
              <w:rPr>
                <w:sz w:val="4"/>
                <w:szCs w:val="4"/>
              </w:rPr>
            </w:pPr>
            <w:r>
              <w:rPr>
                <w:sz w:val="4"/>
                <w:szCs w:val="4"/>
              </w:rPr>
            </w:r>
          </w:p>
        </w:tc>
        <w:tc>
          <w:tcPr>
            <w:tcW w:w="2683" w:type="dxa"/>
            <w:gridSpan w:val="2"/>
            <w:tcBorders/>
            <w:vAlign w:val="center"/>
          </w:tcPr>
          <w:p>
            <w:pPr>
              <w:pStyle w:val="TableContents"/>
              <w:bidi w:val="0"/>
              <w:spacing w:before="0" w:after="283"/>
              <w:jc w:val="left"/>
              <w:rPr>
                <w:sz w:val="4"/>
                <w:szCs w:val="4"/>
              </w:rPr>
            </w:pPr>
            <w:r>
              <w:rPr>
                <w:sz w:val="4"/>
                <w:szCs w:val="4"/>
              </w:rPr>
            </w:r>
          </w:p>
        </w:tc>
        <w:tc>
          <w:tcPr>
            <w:tcW w:w="2546" w:type="dxa"/>
            <w:gridSpan w:val="2"/>
            <w:tcBorders/>
            <w:vAlign w:val="center"/>
          </w:tcPr>
          <w:p>
            <w:pPr>
              <w:pStyle w:val="TableContents"/>
              <w:bidi w:val="0"/>
              <w:spacing w:before="0" w:after="283"/>
              <w:jc w:val="left"/>
              <w:rPr>
                <w:sz w:val="4"/>
                <w:szCs w:val="4"/>
              </w:rPr>
            </w:pPr>
            <w:r>
              <w:rPr>
                <w:sz w:val="4"/>
                <w:szCs w:val="4"/>
              </w:rPr>
            </w:r>
          </w:p>
        </w:tc>
        <w:tc>
          <w:tcPr>
            <w:tcW w:w="2241"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bidi w:val="0"/>
              <w:spacing w:before="0" w:after="283"/>
              <w:jc w:val="left"/>
              <w:rPr/>
            </w:pPr>
            <w:r>
              <w:rPr/>
              <w:t>Luis Machuca</w:t>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UpHealth, Inc.</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Healthcare and Telemedicine</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Director</w:t>
            </w:r>
          </w:p>
        </w:tc>
      </w:tr>
      <w:tr>
        <w:trPr/>
        <w:tc>
          <w:tcPr>
            <w:tcW w:w="2735"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2478" w:type="dxa"/>
            <w:tcBorders/>
          </w:tcPr>
          <w:p>
            <w:pPr>
              <w:pStyle w:val="TableContents"/>
              <w:bidi w:val="0"/>
              <w:spacing w:before="0" w:after="283"/>
              <w:jc w:val="left"/>
              <w:rPr/>
            </w:pPr>
            <w:r>
              <w:rPr/>
              <w:t>Columbia Banking System</w:t>
            </w:r>
          </w:p>
        </w:tc>
        <w:tc>
          <w:tcPr>
            <w:tcW w:w="205" w:type="dxa"/>
            <w:tcBorders/>
            <w:vAlign w:val="bottom"/>
          </w:tcPr>
          <w:p>
            <w:pPr>
              <w:pStyle w:val="TableContents"/>
              <w:bidi w:val="0"/>
              <w:spacing w:before="0" w:after="283"/>
              <w:jc w:val="left"/>
              <w:rPr/>
            </w:pPr>
            <w:r>
              <w:rPr/>
              <w:t>  </w:t>
            </w:r>
          </w:p>
        </w:tc>
        <w:tc>
          <w:tcPr>
            <w:tcW w:w="2341" w:type="dxa"/>
            <w:tcBorders/>
          </w:tcPr>
          <w:p>
            <w:pPr>
              <w:pStyle w:val="TableContents"/>
              <w:bidi w:val="0"/>
              <w:spacing w:before="0" w:after="283"/>
              <w:jc w:val="left"/>
              <w:rPr/>
            </w:pPr>
            <w:r>
              <w:rPr/>
              <w:t>Financial Institution</w:t>
            </w:r>
          </w:p>
        </w:tc>
        <w:tc>
          <w:tcPr>
            <w:tcW w:w="120"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750"/>
        <w:gridCol w:w="211"/>
        <w:gridCol w:w="2344"/>
        <w:gridCol w:w="211"/>
        <w:gridCol w:w="2412"/>
        <w:gridCol w:w="120"/>
        <w:gridCol w:w="2157"/>
      </w:tblGrid>
      <w:tr>
        <w:trPr/>
        <w:tc>
          <w:tcPr>
            <w:tcW w:w="275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r>
      <w:tr>
        <w:trPr/>
        <w:tc>
          <w:tcPr>
            <w:tcW w:w="275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Individual</w:t>
            </w:r>
          </w:p>
        </w:tc>
        <w:tc>
          <w:tcPr>
            <w:tcW w:w="211" w:type="dxa"/>
            <w:tcBorders/>
            <w:vAlign w:val="bottom"/>
          </w:tcPr>
          <w:p>
            <w:pPr>
              <w:pStyle w:val="TableContents"/>
              <w:bidi w:val="0"/>
              <w:spacing w:before="0" w:after="283"/>
              <w:jc w:val="left"/>
              <w:rPr/>
            </w:pPr>
            <w:r>
              <w:rPr/>
              <w:t>  </w:t>
            </w:r>
          </w:p>
        </w:tc>
        <w:tc>
          <w:tcPr>
            <w:tcW w:w="23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Entity</w:t>
            </w:r>
          </w:p>
        </w:tc>
        <w:tc>
          <w:tcPr>
            <w:tcW w:w="211" w:type="dxa"/>
            <w:tcBorders/>
            <w:vAlign w:val="bottom"/>
          </w:tcPr>
          <w:p>
            <w:pPr>
              <w:pStyle w:val="TableContents"/>
              <w:bidi w:val="0"/>
              <w:spacing w:before="0" w:after="283"/>
              <w:jc w:val="left"/>
              <w:rPr/>
            </w:pPr>
            <w:r>
              <w:rPr/>
              <w:t>  </w:t>
            </w:r>
          </w:p>
        </w:tc>
        <w:tc>
          <w:tcPr>
            <w:tcW w:w="24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Entity’s Business</w:t>
            </w:r>
          </w:p>
        </w:tc>
        <w:tc>
          <w:tcPr>
            <w:tcW w:w="120" w:type="dxa"/>
            <w:tcBorders/>
            <w:vAlign w:val="bottom"/>
          </w:tcPr>
          <w:p>
            <w:pPr>
              <w:pStyle w:val="TableContents"/>
              <w:bidi w:val="0"/>
              <w:spacing w:before="0" w:after="283"/>
              <w:jc w:val="left"/>
              <w:rPr/>
            </w:pPr>
            <w:r>
              <w:rPr/>
              <w:t>  </w:t>
            </w:r>
          </w:p>
        </w:tc>
        <w:tc>
          <w:tcPr>
            <w:tcW w:w="21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Affiliation</w:t>
            </w:r>
          </w:p>
        </w:tc>
      </w:tr>
      <w:tr>
        <w:trPr/>
        <w:tc>
          <w:tcPr>
            <w:tcW w:w="2750" w:type="dxa"/>
            <w:tcBorders/>
          </w:tcPr>
          <w:p>
            <w:pPr>
              <w:pStyle w:val="TableContents"/>
              <w:bidi w:val="0"/>
              <w:spacing w:before="0" w:after="283"/>
              <w:jc w:val="left"/>
              <w:rPr/>
            </w:pPr>
            <w:r>
              <w:rPr/>
              <w:t>Rear Admiral (Ret.) Omri Dagul</w:t>
            </w:r>
          </w:p>
        </w:tc>
        <w:tc>
          <w:tcPr>
            <w:tcW w:w="211" w:type="dxa"/>
            <w:tcBorders/>
            <w:vAlign w:val="bottom"/>
          </w:tcPr>
          <w:p>
            <w:pPr>
              <w:pStyle w:val="TableContents"/>
              <w:bidi w:val="0"/>
              <w:spacing w:before="0" w:after="283"/>
              <w:jc w:val="left"/>
              <w:rPr/>
            </w:pPr>
            <w:r>
              <w:rPr/>
              <w:t>  </w:t>
            </w:r>
          </w:p>
        </w:tc>
        <w:tc>
          <w:tcPr>
            <w:tcW w:w="2344" w:type="dxa"/>
            <w:tcBorders/>
          </w:tcPr>
          <w:p>
            <w:pPr>
              <w:pStyle w:val="TableContents"/>
              <w:bidi w:val="0"/>
              <w:spacing w:before="0" w:after="283"/>
              <w:jc w:val="left"/>
              <w:rPr/>
            </w:pPr>
            <w:r>
              <w:rPr/>
              <w:t>Dockport</w:t>
            </w:r>
          </w:p>
        </w:tc>
        <w:tc>
          <w:tcPr>
            <w:tcW w:w="211" w:type="dxa"/>
            <w:tcBorders/>
            <w:vAlign w:val="bottom"/>
          </w:tcPr>
          <w:p>
            <w:pPr>
              <w:pStyle w:val="TableContents"/>
              <w:bidi w:val="0"/>
              <w:spacing w:before="0" w:after="283"/>
              <w:jc w:val="left"/>
              <w:rPr/>
            </w:pPr>
            <w:r>
              <w:rPr/>
              <w:t>  </w:t>
            </w:r>
          </w:p>
        </w:tc>
        <w:tc>
          <w:tcPr>
            <w:tcW w:w="2412" w:type="dxa"/>
            <w:tcBorders/>
          </w:tcPr>
          <w:p>
            <w:pPr>
              <w:pStyle w:val="TableContents"/>
              <w:bidi w:val="0"/>
              <w:spacing w:before="0" w:after="283"/>
              <w:jc w:val="left"/>
              <w:rPr/>
            </w:pPr>
            <w:r>
              <w:rPr/>
              <w:t>Consultancy and Project Management company</w:t>
            </w:r>
          </w:p>
        </w:tc>
        <w:tc>
          <w:tcPr>
            <w:tcW w:w="120"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283"/>
              <w:jc w:val="left"/>
              <w:rPr/>
            </w:pPr>
            <w:r>
              <w:rPr/>
              <w:t>Owner and Chief Executive Officer</w:t>
            </w:r>
          </w:p>
        </w:tc>
      </w:tr>
      <w:tr>
        <w:trPr/>
        <w:tc>
          <w:tcPr>
            <w:tcW w:w="2750" w:type="dxa"/>
            <w:tcBorders/>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2344" w:type="dxa"/>
            <w:tcBorders/>
          </w:tcPr>
          <w:p>
            <w:pPr>
              <w:pStyle w:val="TableContents"/>
              <w:bidi w:val="0"/>
              <w:spacing w:before="0" w:after="283"/>
              <w:jc w:val="left"/>
              <w:rPr/>
            </w:pPr>
            <w:r>
              <w:rPr/>
              <w:t>Ray Shipping</w:t>
            </w:r>
          </w:p>
        </w:tc>
        <w:tc>
          <w:tcPr>
            <w:tcW w:w="211" w:type="dxa"/>
            <w:tcBorders/>
            <w:vAlign w:val="bottom"/>
          </w:tcPr>
          <w:p>
            <w:pPr>
              <w:pStyle w:val="TableContents"/>
              <w:bidi w:val="0"/>
              <w:spacing w:before="0" w:after="283"/>
              <w:jc w:val="left"/>
              <w:rPr/>
            </w:pPr>
            <w:r>
              <w:rPr/>
              <w:t>  </w:t>
            </w:r>
          </w:p>
        </w:tc>
        <w:tc>
          <w:tcPr>
            <w:tcW w:w="2412" w:type="dxa"/>
            <w:tcBorders/>
          </w:tcPr>
          <w:p>
            <w:pPr>
              <w:pStyle w:val="TableContents"/>
              <w:bidi w:val="0"/>
              <w:spacing w:before="0" w:after="283"/>
              <w:jc w:val="left"/>
              <w:rPr/>
            </w:pPr>
            <w:r>
              <w:rPr/>
              <w:t>Maritime Business</w:t>
            </w:r>
          </w:p>
        </w:tc>
        <w:tc>
          <w:tcPr>
            <w:tcW w:w="120"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283"/>
              <w:jc w:val="left"/>
              <w:rPr/>
            </w:pPr>
            <w:r>
              <w:rPr/>
              <w:t>Executive Vice President</w:t>
            </w:r>
          </w:p>
        </w:tc>
      </w:tr>
      <w:tr>
        <w:trPr>
          <w:trHeight w:val="120" w:hRule="atLeast"/>
        </w:trPr>
        <w:tc>
          <w:tcPr>
            <w:tcW w:w="2750" w:type="dxa"/>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2623" w:type="dxa"/>
            <w:gridSpan w:val="2"/>
            <w:tcBorders/>
            <w:vAlign w:val="center"/>
          </w:tcPr>
          <w:p>
            <w:pPr>
              <w:pStyle w:val="TableContents"/>
              <w:bidi w:val="0"/>
              <w:spacing w:before="0" w:after="283"/>
              <w:jc w:val="left"/>
              <w:rPr>
                <w:sz w:val="4"/>
                <w:szCs w:val="4"/>
              </w:rPr>
            </w:pPr>
            <w:r>
              <w:rPr>
                <w:sz w:val="4"/>
                <w:szCs w:val="4"/>
              </w:rPr>
            </w:r>
          </w:p>
        </w:tc>
        <w:tc>
          <w:tcPr>
            <w:tcW w:w="2277" w:type="dxa"/>
            <w:gridSpan w:val="2"/>
            <w:tcBorders/>
            <w:vAlign w:val="center"/>
          </w:tcPr>
          <w:p>
            <w:pPr>
              <w:pStyle w:val="TableContents"/>
              <w:bidi w:val="0"/>
              <w:spacing w:before="0" w:after="283"/>
              <w:jc w:val="left"/>
              <w:rPr>
                <w:sz w:val="4"/>
                <w:szCs w:val="4"/>
              </w:rPr>
            </w:pPr>
            <w:r>
              <w:rPr>
                <w:sz w:val="4"/>
                <w:szCs w:val="4"/>
              </w:rPr>
            </w:r>
          </w:p>
        </w:tc>
      </w:tr>
      <w:tr>
        <w:trPr/>
        <w:tc>
          <w:tcPr>
            <w:tcW w:w="2750" w:type="dxa"/>
            <w:tcBorders/>
          </w:tcPr>
          <w:p>
            <w:pPr>
              <w:pStyle w:val="TableContents"/>
              <w:bidi w:val="0"/>
              <w:spacing w:before="0" w:after="283"/>
              <w:jc w:val="left"/>
              <w:rPr/>
            </w:pPr>
            <w:r>
              <w:rPr/>
              <w:t>Bryan Timm</w:t>
            </w:r>
          </w:p>
        </w:tc>
        <w:tc>
          <w:tcPr>
            <w:tcW w:w="211" w:type="dxa"/>
            <w:tcBorders/>
            <w:vAlign w:val="bottom"/>
          </w:tcPr>
          <w:p>
            <w:pPr>
              <w:pStyle w:val="TableContents"/>
              <w:bidi w:val="0"/>
              <w:spacing w:before="0" w:after="283"/>
              <w:jc w:val="left"/>
              <w:rPr/>
            </w:pPr>
            <w:r>
              <w:rPr/>
              <w:t>  </w:t>
            </w:r>
          </w:p>
        </w:tc>
        <w:tc>
          <w:tcPr>
            <w:tcW w:w="2344" w:type="dxa"/>
            <w:tcBorders/>
          </w:tcPr>
          <w:p>
            <w:pPr>
              <w:pStyle w:val="TableContents"/>
              <w:bidi w:val="0"/>
              <w:spacing w:before="0" w:after="283"/>
              <w:jc w:val="left"/>
              <w:rPr/>
            </w:pPr>
            <w:r>
              <w:rPr/>
              <w:t>N/A</w:t>
            </w:r>
          </w:p>
        </w:tc>
        <w:tc>
          <w:tcPr>
            <w:tcW w:w="211" w:type="dxa"/>
            <w:tcBorders/>
            <w:vAlign w:val="bottom"/>
          </w:tcPr>
          <w:p>
            <w:pPr>
              <w:pStyle w:val="TableContents"/>
              <w:bidi w:val="0"/>
              <w:spacing w:before="0" w:after="283"/>
              <w:jc w:val="left"/>
              <w:rPr/>
            </w:pPr>
            <w:r>
              <w:rPr/>
              <w:t>  </w:t>
            </w:r>
          </w:p>
        </w:tc>
        <w:tc>
          <w:tcPr>
            <w:tcW w:w="2412"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283"/>
              <w:jc w:val="left"/>
              <w:rPr/>
            </w:pPr>
            <w:r>
              <w:rPr/>
              <w:t>N/A</w:t>
            </w:r>
          </w:p>
        </w:tc>
      </w:tr>
      <w:tr>
        <w:trPr>
          <w:trHeight w:val="120" w:hRule="atLeast"/>
        </w:trPr>
        <w:tc>
          <w:tcPr>
            <w:tcW w:w="2750" w:type="dxa"/>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c>
          <w:tcPr>
            <w:tcW w:w="2623" w:type="dxa"/>
            <w:gridSpan w:val="2"/>
            <w:tcBorders/>
            <w:vAlign w:val="center"/>
          </w:tcPr>
          <w:p>
            <w:pPr>
              <w:pStyle w:val="TableContents"/>
              <w:bidi w:val="0"/>
              <w:spacing w:before="0" w:after="283"/>
              <w:jc w:val="left"/>
              <w:rPr>
                <w:sz w:val="4"/>
                <w:szCs w:val="4"/>
              </w:rPr>
            </w:pPr>
            <w:r>
              <w:rPr>
                <w:sz w:val="4"/>
                <w:szCs w:val="4"/>
              </w:rPr>
            </w:r>
          </w:p>
        </w:tc>
        <w:tc>
          <w:tcPr>
            <w:tcW w:w="2277" w:type="dxa"/>
            <w:gridSpan w:val="2"/>
            <w:tcBorders/>
            <w:vAlign w:val="center"/>
          </w:tcPr>
          <w:p>
            <w:pPr>
              <w:pStyle w:val="TableContents"/>
              <w:bidi w:val="0"/>
              <w:spacing w:before="0" w:after="283"/>
              <w:jc w:val="left"/>
              <w:rPr>
                <w:sz w:val="4"/>
                <w:szCs w:val="4"/>
              </w:rPr>
            </w:pPr>
            <w:r>
              <w:rPr>
                <w:sz w:val="4"/>
                <w:szCs w:val="4"/>
              </w:rPr>
            </w:r>
          </w:p>
        </w:tc>
      </w:tr>
      <w:tr>
        <w:trPr/>
        <w:tc>
          <w:tcPr>
            <w:tcW w:w="2750" w:type="dxa"/>
            <w:tcBorders/>
          </w:tcPr>
          <w:p>
            <w:pPr>
              <w:pStyle w:val="TableContents"/>
              <w:bidi w:val="0"/>
              <w:spacing w:before="0" w:after="283"/>
              <w:jc w:val="left"/>
              <w:rPr/>
            </w:pPr>
            <w:r>
              <w:rPr/>
              <w:t>James Greene</w:t>
            </w:r>
          </w:p>
        </w:tc>
        <w:tc>
          <w:tcPr>
            <w:tcW w:w="211" w:type="dxa"/>
            <w:tcBorders/>
            <w:vAlign w:val="bottom"/>
          </w:tcPr>
          <w:p>
            <w:pPr>
              <w:pStyle w:val="TableContents"/>
              <w:bidi w:val="0"/>
              <w:spacing w:before="0" w:after="283"/>
              <w:jc w:val="left"/>
              <w:rPr/>
            </w:pPr>
            <w:r>
              <w:rPr/>
              <w:t>  </w:t>
            </w:r>
          </w:p>
        </w:tc>
        <w:tc>
          <w:tcPr>
            <w:tcW w:w="2344" w:type="dxa"/>
            <w:tcBorders/>
          </w:tcPr>
          <w:p>
            <w:pPr>
              <w:pStyle w:val="TableContents"/>
              <w:bidi w:val="0"/>
              <w:spacing w:before="0" w:after="283"/>
              <w:jc w:val="left"/>
              <w:rPr/>
            </w:pPr>
            <w:r>
              <w:rPr/>
              <w:t>QT Imaging Holdings, Inc.</w:t>
            </w:r>
          </w:p>
        </w:tc>
        <w:tc>
          <w:tcPr>
            <w:tcW w:w="211" w:type="dxa"/>
            <w:tcBorders/>
            <w:vAlign w:val="bottom"/>
          </w:tcPr>
          <w:p>
            <w:pPr>
              <w:pStyle w:val="TableContents"/>
              <w:bidi w:val="0"/>
              <w:spacing w:before="0" w:after="283"/>
              <w:jc w:val="left"/>
              <w:rPr/>
            </w:pPr>
            <w:r>
              <w:rPr/>
              <w:t>  </w:t>
            </w:r>
          </w:p>
        </w:tc>
        <w:tc>
          <w:tcPr>
            <w:tcW w:w="2412" w:type="dxa"/>
            <w:tcBorders/>
          </w:tcPr>
          <w:p>
            <w:pPr>
              <w:pStyle w:val="TableContents"/>
              <w:bidi w:val="0"/>
              <w:spacing w:before="0" w:after="283"/>
              <w:jc w:val="left"/>
              <w:rPr/>
            </w:pPr>
            <w:r>
              <w:rPr/>
              <w:t>Medical Device</w:t>
            </w:r>
          </w:p>
        </w:tc>
        <w:tc>
          <w:tcPr>
            <w:tcW w:w="120"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283"/>
              <w:jc w:val="left"/>
              <w:rPr/>
            </w:pPr>
            <w:r>
              <w:rPr/>
              <w:t>Director</w:t>
            </w:r>
          </w:p>
        </w:tc>
      </w:tr>
      <w:tr>
        <w:trPr/>
        <w:tc>
          <w:tcPr>
            <w:tcW w:w="2750" w:type="dxa"/>
            <w:tcBorders/>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2344" w:type="dxa"/>
            <w:tcBorders/>
          </w:tcPr>
          <w:p>
            <w:pPr>
              <w:pStyle w:val="TableContents"/>
              <w:bidi w:val="0"/>
              <w:spacing w:before="0" w:after="283"/>
              <w:jc w:val="left"/>
              <w:rPr/>
            </w:pPr>
            <w:r>
              <w:rPr/>
              <w:t>UpHealth, Inc.</w:t>
            </w:r>
          </w:p>
        </w:tc>
        <w:tc>
          <w:tcPr>
            <w:tcW w:w="211" w:type="dxa"/>
            <w:tcBorders/>
            <w:vAlign w:val="bottom"/>
          </w:tcPr>
          <w:p>
            <w:pPr>
              <w:pStyle w:val="TableContents"/>
              <w:bidi w:val="0"/>
              <w:spacing w:before="0" w:after="283"/>
              <w:jc w:val="left"/>
              <w:rPr/>
            </w:pPr>
            <w:r>
              <w:rPr/>
              <w:t>  </w:t>
            </w:r>
          </w:p>
        </w:tc>
        <w:tc>
          <w:tcPr>
            <w:tcW w:w="2412" w:type="dxa"/>
            <w:tcBorders/>
          </w:tcPr>
          <w:p>
            <w:pPr>
              <w:pStyle w:val="TableContents"/>
              <w:bidi w:val="0"/>
              <w:spacing w:before="0" w:after="283"/>
              <w:jc w:val="left"/>
              <w:rPr/>
            </w:pPr>
            <w:r>
              <w:rPr/>
              <w:t>Healthcare and Telemedicine</w:t>
            </w:r>
          </w:p>
        </w:tc>
        <w:tc>
          <w:tcPr>
            <w:tcW w:w="120"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283"/>
              <w:jc w:val="left"/>
              <w:rPr/>
            </w:pPr>
            <w:r>
              <w:rPr/>
              <w:t>Director</w:t>
            </w:r>
          </w:p>
        </w:tc>
      </w:tr>
      <w:tr>
        <w:trPr/>
        <w:tc>
          <w:tcPr>
            <w:tcW w:w="2750" w:type="dxa"/>
            <w:tcBorders/>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2344" w:type="dxa"/>
            <w:tcBorders/>
          </w:tcPr>
          <w:p>
            <w:pPr>
              <w:pStyle w:val="TableContents"/>
              <w:bidi w:val="0"/>
              <w:spacing w:before="0" w:after="283"/>
              <w:jc w:val="left"/>
              <w:rPr/>
            </w:pPr>
            <w:r>
              <w:rPr/>
              <w:t>Umpqua Bank</w:t>
            </w:r>
          </w:p>
        </w:tc>
        <w:tc>
          <w:tcPr>
            <w:tcW w:w="211" w:type="dxa"/>
            <w:tcBorders/>
            <w:vAlign w:val="bottom"/>
          </w:tcPr>
          <w:p>
            <w:pPr>
              <w:pStyle w:val="TableContents"/>
              <w:bidi w:val="0"/>
              <w:spacing w:before="0" w:after="283"/>
              <w:jc w:val="left"/>
              <w:rPr/>
            </w:pPr>
            <w:r>
              <w:rPr/>
              <w:t>  </w:t>
            </w:r>
          </w:p>
        </w:tc>
        <w:tc>
          <w:tcPr>
            <w:tcW w:w="2412" w:type="dxa"/>
            <w:tcBorders/>
          </w:tcPr>
          <w:p>
            <w:pPr>
              <w:pStyle w:val="TableContents"/>
              <w:bidi w:val="0"/>
              <w:spacing w:before="0" w:after="283"/>
              <w:jc w:val="left"/>
              <w:rPr/>
            </w:pPr>
            <w:r>
              <w:rPr/>
              <w:t>Financial Institution</w:t>
            </w:r>
          </w:p>
        </w:tc>
        <w:tc>
          <w:tcPr>
            <w:tcW w:w="120"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283"/>
              <w:jc w:val="left"/>
              <w:rPr/>
            </w:pPr>
            <w:r>
              <w:rPr/>
              <w:t>Director</w:t>
            </w:r>
          </w:p>
        </w:tc>
      </w:tr>
      <w:tr>
        <w:trPr/>
        <w:tc>
          <w:tcPr>
            <w:tcW w:w="2750" w:type="dxa"/>
            <w:tcBorders/>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2344" w:type="dxa"/>
            <w:tcBorders/>
          </w:tcPr>
          <w:p>
            <w:pPr>
              <w:pStyle w:val="TableContents"/>
              <w:bidi w:val="0"/>
              <w:spacing w:before="0" w:after="283"/>
              <w:jc w:val="left"/>
              <w:rPr/>
            </w:pPr>
            <w:r>
              <w:rPr/>
              <w:t>Sky D Ventures</w:t>
            </w:r>
          </w:p>
        </w:tc>
        <w:tc>
          <w:tcPr>
            <w:tcW w:w="211" w:type="dxa"/>
            <w:tcBorders/>
            <w:vAlign w:val="bottom"/>
          </w:tcPr>
          <w:p>
            <w:pPr>
              <w:pStyle w:val="TableContents"/>
              <w:bidi w:val="0"/>
              <w:spacing w:before="0" w:after="283"/>
              <w:jc w:val="left"/>
              <w:rPr/>
            </w:pPr>
            <w:r>
              <w:rPr/>
              <w:t>  </w:t>
            </w:r>
          </w:p>
        </w:tc>
        <w:tc>
          <w:tcPr>
            <w:tcW w:w="2412" w:type="dxa"/>
            <w:tcBorders/>
          </w:tcPr>
          <w:p>
            <w:pPr>
              <w:pStyle w:val="TableContents"/>
              <w:bidi w:val="0"/>
              <w:spacing w:before="0" w:after="283"/>
              <w:jc w:val="left"/>
              <w:rPr/>
            </w:pPr>
            <w:r>
              <w:rPr/>
              <w:t>Venture Fund and Advisory Service Firm</w:t>
            </w:r>
          </w:p>
        </w:tc>
        <w:tc>
          <w:tcPr>
            <w:tcW w:w="120"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283"/>
              <w:jc w:val="left"/>
              <w:rPr/>
            </w:pPr>
            <w:r>
              <w:rPr/>
              <w:t>Founder and Managing Partner</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 above executive officers, directors or director nominees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 </w:t>
      </w:r>
    </w:p>
    <w:p>
      <w:pPr>
        <w:pStyle w:val="TextBody"/>
        <w:bidi w:val="0"/>
        <w:spacing w:before="240" w:after="0"/>
        <w:jc w:val="left"/>
        <w:rPr>
          <w:rFonts w:ascii="Times New Roman" w:hAnsi="Times New Roman"/>
          <w:sz w:val="20"/>
        </w:rPr>
      </w:pPr>
      <w:r>
        <w:rPr>
          <w:rFonts w:ascii="Times New Roman" w:hAnsi="Times New Roman"/>
          <w:sz w:val="20"/>
        </w:rPr>
        <w:t xml:space="preserve">Potential investors should also be aware of the following potential conflicts of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our officers and directors is required to commit their full time to our affairs and, accordingly, they may have conflicts of interest in allocating their time among various business activities.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sponsor, which is owned by two of our directors, Dr. Raluca Dinu and Dr. Avi S. Katz, and four of our other directors, James Greene, Luis Machuca, Bryan Timm, and Raanan Horowitz, will directly or indirectly own our securities following this offering, and accordingly, they may have a conflict of interest in determining whether a particular target business is an appropriate business with which to effectuate our initial business combination, including the fact that they may lose their entire investment in us if our initial business combination is not completed, except to the extent they receive liquidating distributions from assets outside the trust account or are entitled to receive liquidating distributions from the trust account in the event they choose to purchase public shares. Upon the closing of this offering, assuming the underwriters’ over-allotment option is not exercised, our sponsor and the four other directors will have invested in us an aggregate of $452,000.48, comprised of $2,626 paid by the sponsor for 6,058,167 founder shares (after giving effect to the sales of shares to the four directors) (or $0.000434 per share), $9,244 paid by the four directors for the aggregate of 375,397 founder shares (or $0.02462 per share) and the $440,130.48 purchase price for the private placement units (or $9.7374 per unit). In addition, prior to the making of this offering, the sponsor transferred 5,000 founder shares to Christine Marshall, our Chief Financial Officer, solely in consideration of future services to us. The 5,000 founder shares granted to Ms. Marshall are subject to forfeiture back to the sponsor in the event she resigns or is removed for cause from her position with us prior to consummation of our initial business combination. Following this transfer and sale of shares, the sponsor will hold 6,053,167 founder shares. Accordingly, our management team may be more willing to pursue a business combination with a riskier or less-established target business than would be the case if our insiders had paid the same per share price for the founder shares as our public shareholders paid for their public shares in this offering, as our sponsor and members of our management team would likely not receive any financial benefit unless we consummated such business combination. These interests of our sponsor, executive officers and directors may affect the consideration paid, terms, conditions and timing relating to a business combination in a way that conflicts with the interests of our public shareholders.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insiders purchased or will purchase founder shares prior to the completion of this offering and will purchase private placement units in a transaction that will close simultaneously with the closing of this offering. Our sponsor, officers and directors have entered into a letter agreement with us, pursuant to which they have agreed to waive their redemption rights with respect to their founder shares, private placement shares and public shares in connection with the completion of our initial business combination. Additionally, our sponsor, officers and directors have agreed to waive their rights to liquidating distributions from the trust account with respect to their founder shares and private placement shares if we fail to complete our initial business combination within the prescribed time frame, although they will be entitled to liquidating distributions from assets outside the trust account. If we do not complete our initial business combination within the prescribed time frame, the private placement units (and the securities comprising such units) will expire worthless. Furthermore, our sponsor, officers and directors have agreed not to transfer, assign or sell any of their founder shares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The private placement units (including the private placement shares and the Class A ordinary shares issuable upon exercise of the private placement rights) will not be transferable until 30 days following the completion of our initial business combination. Because certain of our officers and director nominees will own ordinary shares or rights directly or indirectly, they may have a conflict of interest in determining whether a particular target business is an appropriate business with which to effectuate our initial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our sponsor or members of our management team provide loans to us to finance transaction costs and/or incur expenses on our behalf in connection with an initial business combination, such persons may have a conflict of interest in determining whether a particular target business is an appropriate business with which to effectuate our initial business combination as such loans may not be repaid and/or such expenses may not be reimbursed unless we consummate such business combination. Up to $1,500,000 of working capital loans may be convertible into private placement units at a price of $10.00 per unit at the option of the lender. Such units would be identical to the private placement units. Except for the foregoing, the terms of such working capital loans, if any, have not been determined and no written agreements exist with respect to such loans.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reimburse an affiliate of our sponsor for office space, utilities and secretarial and administrative support made available to us by an affiliate of our sponsor, in an amount equal to $30,000 per month.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reimburse the sponsor for any out-of-pocket expenses related to identifying, investigating, negotiating and completing an initial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Prior to or in connection with the completion of our initial business combination, there may be payment by the company to our sponsor, officers or directors, or our or their affiliates, of a finder’s fee, advisory fee, consulting fee or success fee for any services they render in order to effectuate the completion of our initial business, which, if made prior to the completion of our initial business combination, will be paid from funds held outside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any of the above-mentioned conflicts will be resolved in our favor.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submit our initial business combination to our public shareholders for a vote, our initial shareholders have agreed to vote their founder shares, private investor shares and private placement shares in favor of our initial business combination, but not any public shares that non-managing investors may buy in this offering or after this offering on the open market. In addition, they have agreed to waive their respective rights to participate in any liquidation distribution with respect to their founder shares, private investor shares and private placement shares. If they purchase public shares as part of this offering or on the open market, however, they would be entitled to participate in any liquidation distribution in respect of such shares but have agreed not to convert or sell such shares to us in connection with the consummation of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All ongoing and future transactions between us and any of our sponsor, executive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 In such event, neither the sponsor, nor any executive officer or director, will be entitled to receive or accept a finder’s fee or any other compensation in the event such party originates a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929696_13"/>
      <w:bookmarkEnd w:id="15"/>
      <w:r>
        <w:rPr>
          <w:rFonts w:ascii="Times New Roman" w:hAnsi="Times New Roman"/>
          <w:b/>
          <w:sz w:val="20"/>
        </w:rPr>
        <w:t xml:space="preserve">PRINCIPAL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shares as of the date of this prospectus, and as adjusted to reflect the sale of our public shares included in the public units offered by this prospectus and private placement units, and assuming no purchase of units in this offering,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by us to be the beneficial owner of more than 5% of the outstanding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executive officers and directors that beneficially owns ordinary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we believe that all persons named in the table have sole voting and investment power with respect to all shares beneficially owned by them. The following table does not reflect record or beneficial ownership of any shares issuable upon the consummation of our initial business combination as a result of the rights as such issuance is not expected to occur within 60 days of the date of this prospectus. The post-offering numbers and percentages presented assume the forfeiture of 1,410,624 shares that are subject to forfeiture depending on the extent to which the underwriters’ option to purchase additional shares is exercised, and that there are 31,741,483 ordinary shares issued and outstanding after this offering. </w:t>
      </w:r>
    </w:p>
    <w:p>
      <w:pPr>
        <w:pStyle w:val="TextBody"/>
        <w:bidi w:val="0"/>
        <w:spacing w:before="0" w:after="0"/>
        <w:jc w:val="left"/>
        <w:rPr/>
      </w:pPr>
      <w:r>
        <w:rPr/>
        <w:t> </w:t>
      </w:r>
    </w:p>
    <w:tbl>
      <w:tblPr>
        <w:tblW w:w="12405" w:type="dxa"/>
        <w:jc w:val="center"/>
        <w:tblInd w:w="0" w:type="dxa"/>
        <w:tblLayout w:type="fixed"/>
        <w:tblCellMar>
          <w:top w:w="0" w:type="dxa"/>
          <w:left w:w="0" w:type="dxa"/>
          <w:bottom w:w="0" w:type="dxa"/>
          <w:right w:w="0" w:type="dxa"/>
        </w:tblCellMar>
      </w:tblPr>
      <w:tblGrid>
        <w:gridCol w:w="1280"/>
        <w:gridCol w:w="60"/>
        <w:gridCol w:w="133"/>
        <w:gridCol w:w="847"/>
        <w:gridCol w:w="60"/>
        <w:gridCol w:w="60"/>
        <w:gridCol w:w="60"/>
        <w:gridCol w:w="980"/>
        <w:gridCol w:w="60"/>
        <w:gridCol w:w="60"/>
        <w:gridCol w:w="164"/>
        <w:gridCol w:w="1206"/>
        <w:gridCol w:w="275"/>
        <w:gridCol w:w="60"/>
        <w:gridCol w:w="79"/>
        <w:gridCol w:w="901"/>
        <w:gridCol w:w="60"/>
        <w:gridCol w:w="60"/>
        <w:gridCol w:w="60"/>
        <w:gridCol w:w="980"/>
        <w:gridCol w:w="60"/>
        <w:gridCol w:w="60"/>
        <w:gridCol w:w="186"/>
        <w:gridCol w:w="1184"/>
        <w:gridCol w:w="60"/>
        <w:gridCol w:w="60"/>
        <w:gridCol w:w="164"/>
        <w:gridCol w:w="1206"/>
        <w:gridCol w:w="275"/>
        <w:gridCol w:w="60"/>
        <w:gridCol w:w="164"/>
        <w:gridCol w:w="1206"/>
        <w:gridCol w:w="27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Prior to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After Offering(2)</w:t>
            </w:r>
          </w:p>
        </w:tc>
        <w:tc>
          <w:tcPr>
            <w:tcW w:w="27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Amount and Nature</w:t>
              <w:br/>
              <w:t>of Beneficial</w:t>
              <w:br/>
              <w:t>Ownership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Amount and Nature</w:t>
              <w:br/>
              <w:t>of Beneficial</w:t>
              <w:br/>
              <w:t>Ownership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b/>
              </w:rPr>
            </w:pPr>
            <w:r>
              <w:rPr>
                <w:b/>
              </w:rPr>
              <w:t>Name and Address of Beneficial</w:t>
              <w:br/>
              <w:t>Owner(1)</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br/>
              <w:t>Ordinary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br/>
              <w:t>Ordinary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Approximate</w:t>
              <w:br/>
              <w:t>Percentage</w:t>
              <w:br/>
              <w:t>of</w:t>
              <w:br/>
              <w:t>Outstanding</w:t>
              <w:br/>
              <w:t>Class B</w:t>
              <w:br/>
              <w:t>Ordinary</w:t>
              <w:br/>
              <w:t>Shares(3)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br/>
              <w:t>Ordinary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br/>
              <w:t>Ordinary</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Approximate</w:t>
              <w:br/>
              <w:t>Percentage</w:t>
              <w:br/>
              <w:t>of</w:t>
              <w:br/>
              <w:t>Outstanding</w:t>
              <w:br/>
              <w:t>Class A</w:t>
              <w:br/>
              <w:t>Ordinary</w:t>
              <w:br/>
              <w:t>Shares(4)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Approximate</w:t>
              <w:br/>
              <w:t>Percentage</w:t>
              <w:br/>
              <w:t>of</w:t>
              <w:br/>
              <w:t>Outstanding</w:t>
              <w:br/>
              <w:t>Class B</w:t>
              <w:br/>
              <w:t>Ordinary</w:t>
              <w:br/>
              <w:t>Shares(5)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Approximate</w:t>
              <w:br/>
              <w:t>Percentage</w:t>
              <w:br/>
              <w:t>of</w:t>
              <w:br/>
              <w:t>Outstanding</w:t>
              <w:br/>
              <w:t>Shares(6)</w:t>
            </w:r>
          </w:p>
        </w:tc>
        <w:tc>
          <w:tcPr>
            <w:tcW w:w="27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i/>
                <w:sz w:val="18"/>
              </w:rPr>
            </w:pPr>
            <w:r>
              <w:rPr>
                <w:rFonts w:ascii="Times New Roman" w:hAnsi="Times New Roman"/>
                <w:b/>
                <w:i/>
                <w:sz w:val="18"/>
              </w:rPr>
              <w:t>Directors and Named Executive Officers:</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9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18"/>
              </w:rPr>
            </w:pPr>
            <w:r>
              <w:rPr>
                <w:rFonts w:ascii="Times New Roman" w:hAnsi="Times New Roman"/>
                <w:sz w:val="18"/>
              </w:rPr>
              <w:t>Dr. Avi S. Katz(7)</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7,845,229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99.9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5,271,960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56.1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16.6</w:t>
            </w:r>
          </w:p>
        </w:tc>
        <w:tc>
          <w:tcPr>
            <w:tcW w:w="27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Dr. Raluca Dinu(7)</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7,845,229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99.9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5,271,960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56.1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16.6</w:t>
            </w:r>
          </w:p>
        </w:tc>
        <w:tc>
          <w:tcPr>
            <w:tcW w:w="27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18"/>
              </w:rPr>
            </w:pPr>
            <w:r>
              <w:rPr>
                <w:rFonts w:ascii="Times New Roman" w:hAnsi="Times New Roman"/>
                <w:sz w:val="18"/>
              </w:rPr>
              <w:t>Christine M. Marshall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Raanan I. Horowitz</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5,200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47,581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18"/>
              </w:rPr>
            </w:pPr>
            <w:r>
              <w:rPr>
                <w:rFonts w:ascii="Times New Roman" w:hAnsi="Times New Roman"/>
                <w:sz w:val="18"/>
              </w:rPr>
              <w:t>Ambassador Adrian Zuckerman</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Luis Machuca</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91,503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18"/>
              </w:rPr>
            </w:pPr>
            <w:r>
              <w:rPr>
                <w:rFonts w:ascii="Times New Roman" w:hAnsi="Times New Roman"/>
                <w:sz w:val="18"/>
              </w:rPr>
              <w:t>Rear Admiral (Ret.) Omri Dagul</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Bryan Timm</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91,503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18"/>
              </w:rPr>
            </w:pPr>
            <w:r>
              <w:rPr>
                <w:rFonts w:ascii="Times New Roman" w:hAnsi="Times New Roman"/>
                <w:sz w:val="18"/>
              </w:rPr>
              <w:t>Admiral (Ret.) David Ben-Bashat</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James Greene</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91,503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9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18"/>
              </w:rPr>
            </w:pPr>
            <w:r>
              <w:rPr>
                <w:rFonts w:ascii="Times New Roman" w:hAnsi="Times New Roman"/>
                <w:i/>
                <w:sz w:val="18"/>
              </w:rPr>
              <w:t>All directors and officers as a group</w:t>
            </w:r>
            <w:r>
              <w:rPr>
                <w:rFonts w:ascii="Times New Roman" w:hAnsi="Times New Roman"/>
                <w:sz w:val="18"/>
              </w:rPr>
              <w:t xml:space="preserve"> </w:t>
            </w:r>
            <w:r>
              <w:rPr>
                <w:rFonts w:ascii="Times New Roman" w:hAnsi="Times New Roman"/>
                <w:i/>
                <w:sz w:val="18"/>
              </w:rPr>
              <w:t>(10 individuals)</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7,850,229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45,200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5,599,050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59.5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17.8</w:t>
            </w:r>
          </w:p>
        </w:tc>
        <w:tc>
          <w:tcPr>
            <w:tcW w:w="27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9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b/>
                <w:i/>
                <w:sz w:val="18"/>
              </w:rPr>
            </w:pPr>
            <w:r>
              <w:rPr>
                <w:rFonts w:ascii="Times New Roman" w:hAnsi="Times New Roman"/>
                <w:b/>
                <w:i/>
                <w:sz w:val="18"/>
              </w:rPr>
              <w:t>Five Percent or Greater Holders: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9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GigAcquisitions8 Corp.(7)</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7,845,229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99.9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5,271,960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56.1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16.6</w:t>
            </w:r>
          </w:p>
        </w:tc>
        <w:tc>
          <w:tcPr>
            <w:tcW w:w="27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18"/>
              </w:rPr>
            </w:pPr>
            <w:r>
              <w:rPr>
                <w:rFonts w:ascii="Times New Roman" w:hAnsi="Times New Roman"/>
                <w:sz w:val="18"/>
              </w:rPr>
              <w:t>Dr. Avi S. Katz(7)</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7,845,229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99.9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5,271,960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56.1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16.6</w:t>
            </w:r>
          </w:p>
        </w:tc>
        <w:tc>
          <w:tcPr>
            <w:tcW w:w="27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Dr. Raluca Dinu (7)</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7,845,229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99.9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5,271,960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56.1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16.6</w:t>
            </w:r>
          </w:p>
        </w:tc>
        <w:tc>
          <w:tcPr>
            <w:tcW w:w="27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18"/>
              </w:rPr>
            </w:pPr>
            <w:r>
              <w:rPr>
                <w:rFonts w:ascii="Times New Roman" w:hAnsi="Times New Roman"/>
                <w:sz w:val="18"/>
              </w:rPr>
              <w:t>Lynrock Lake Master</w:t>
              <w:br/>
              <w:t>Fund LP(8)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1,227,236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business address of each of the individuals is 1731 Embarcadero Rd., Suite 200, Palo Alto, CA 94303.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(i) no exercise of the over-allotment option and (ii) an aggregate of 1,023,943 Class B ordinary shares have been forfeited by our initial shareholders and 386,681 Class B ordinary shares have been forfeited by the non-managing investors.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7,850,229 ordinary shares outstanding immediately prior to this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22,337,675 Class A ordinary shares outstanding immediately after this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9,403,808 Class B ordinary shares outstanding immediately after this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31,741,483 ordinary shares outstanding immediately after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held by our sponsor. The shares held by our sponsor are beneficially owned equally (50% each) by Dr. Katz, our Chief Executive Officer and Chairman of the board of directors, and Dr. Raluca Dinu, our director, who both have the voting and dispositive power over the shares held by our sponsor. The sponsor’s business address is 1731 Embarcadero Rd., Suite 200, Palo Alto, CA 94303.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Lynrock Lake Master Fund LP is contractually obligated to acquire private placement units from us and Class B ordinary shares from our sponsor upon satisfaction of the contingency of the offering occurring, which contingency is outside the control of Lynrock Lake Master Fund LP. These securities will be issued or transferred simultaneously upon consummation of this offering. Lynrock Lake LP is the investment manager of Lynrock Lake Master Fund LP, and pursuant to an investment management agreement, Lynrock Lake LP has been delegated full voting and investment power over the shares held by Lynrock Lake Master Fund LP. Cynthia Paul, the Chief Investment Officer of Lynrock Lake LP and Sole Member of Lynrock Lake Partners LLC, the general partner of Lynrock Lake LP, may be deemed to exercise voting and investment power over the shares held by Lynrock Lake Master Fund LP. The address of the foregoing entities is c/o Lynrock Lake LP, 2 International Drive, Suite 130, Rye Brook, New York 10573. </w:t>
            </w:r>
          </w:p>
        </w:tc>
      </w:tr>
    </w:tbl>
    <w:p>
      <w:pPr>
        <w:pStyle w:val="TextBody"/>
        <w:bidi w:val="0"/>
        <w:spacing w:before="240" w:after="0"/>
        <w:jc w:val="left"/>
        <w:rPr>
          <w:rFonts w:ascii="Times New Roman" w:hAnsi="Times New Roman"/>
          <w:sz w:val="20"/>
        </w:rPr>
      </w:pPr>
      <w:r>
        <w:rPr>
          <w:rFonts w:ascii="Times New Roman" w:hAnsi="Times New Roman"/>
          <w:sz w:val="20"/>
        </w:rPr>
        <w:t xml:space="preserve">Immediately after this offering (without the exercise of the underwriters’ over-allotment option), our insiders and non-managing investors and any of their permitted transferees will beneficially own approximately 30.7% of our issued and outstanding shares (assuming none of our initial shareholders purchases any public units), with our sponsor beneficially owning approximately 20.7% of such issued and outstanding shares. Because of this ownership block, our sponsor, acting along with the non-managing investors, may be able to effectively influence the outcome of all matters requiring approval by our shareholders, including the election of directors, amendments to our amended and restated memorandum and articles of association and approval of significant corporate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 underwriters do not exercise their over-allotment option, up to an aggregate of 1,023,943 founder shares and 386,681 private investor shares will be subject to forfeiture. Our insiders and non-managing investors will be required to forfeit only that number of founder shares and private investor shares, respectively, necessary to maintain the representation that the founder shares, together with the private investor shares held by the non-managing investors, of a 30% ownership interest in our issued and outstanding ordinary shares (without giving effect to the sale of the private placement shares and assuming none of the initial shareholders purchases public units or public shares in this offering) after consummation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initial shareholders have agreed (A) to vote their founder shares, private investor shares and private placement shares (and in case of the sponsor, executive officers and directors, any public shares) in favor of any proposed business combination, (B) not to propose an amendment to our amended and restated memorandum and articles of association with respect to our pre-business combination activities prior to the consummation of such a business combination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in which case such initial shareholders will not redeem any founder shares, private investor shares or private placement shares in connection with such shareholder approval, (C) not to redeem any founder shares, private investor shares and private placement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a shareholder vote to approve our proposed initial business combination and (D) that such founder shares, private investor shares and private placement shares shall not participate in any liquidating distribution upon winding up if a business combination is not consummated, until all of the claims of any redeeming shareholders and creditors are fully satisfied (and then only from funds held outside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non-managing investors have agreed (A) to vote their private investor shares and private placement shares in favor of any proposed business combination, (B) not to redeem any private investor shares and private placement shares in connection with a shareholder vote to approve our proposed initial business combination or in connection with a shareholder vote to approve an amendment to our memorandum and articles of association, (1) to modify the substance or timing of our obligation to redeem 100% of our outstanding public shares if we do not timely complete a business combination or (2) with respect to any other provision relating to shareholders’ rights or pre-business combination activity and (C) that such private investor shares and private placement shares shall not participate in any liquidating distribution upon winding up if a business combination is not consummated, until all of the claims of any redeeming shareholders and creditors are fully satisfied (and then only from funds held outside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Our initial shareholders have agreed not to transfer, assign or sell any of their respective founder shares, private investor shares, and any Class A ordinary shares issuable upon conversion thereof that is in the case of the founder shares, private investor shares, and any Class A ordinary shares issuable upon conversion thereof,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In addition, our initial shareholders have agreed not to transfer, assign or sell any of the private placement units (including the underlying securities) until thirty days after the date we complete our initial business combination, except as described below. We refer to such transfer restrictions throughout this prospectus as the lock-up. Notwithstanding the foregoing, the lock-up period of the non-managing investors shall not be longer than the sponsor’s lock-up period; provided that if upon consummation of an initial business combination, any securityholder holding more than three percent (3.0%) of the capital stock of the surviving company is not subject to a lock-up agreement or is subject to a lock-up agreement for a shorter period of time than non-managing investors, the non-managing investors’ lock-up period shall be reduced to the shortest lock-up period or terminated, as the case may be, unless such exclusion from the lock-up obligations is required in compliance with the listing rules of Nasdaq or any other national stock exchange. Further, if any such securityholder is released from the lock-up period subsequent to the consummation of an initial business combination, our company shall release the private investor shares and private placement shares held by non-managing investors from the lock-up provisions.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during their respective lock-up periods, the initial shareholders may transfer, assign or sell any of the aforenamed securities (1) amongst such holders and their affiliates, to our executive officers or directors, or to any affiliate or family member of any of our executive officers or directors, (2) in the case of an entity, as a distribution to its partners, shareholders or members upon its 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 (iii) pursuant to a qualified domestic relations order, (4) by certain pledges to secure obligations incurred in connection with purchases of our company’s securities, (5) through private sales or transfers made in connection with the consummation of our initial business combination at prices no greater than the price at which such securities were originally purchased, (6) to us for no value for cancellation in connection with the consummation of our initial business combination; provided that (except for clause (6)) these permitted transferees have entered into a written agreement with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agreeing to be bound by the transfer restrictions agreed to by the original holder in connection with the purchase of the securities being transferred. In addition, the sponsor, executive officers and directors may transfer, assign or sell any of the aforenamed securities (i) in the event of our liquidation prior to the consummation of our initial business combination; (ii)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the sponsor that holds any such securities, upon liquidation or dissolution of such subsidiary; or (iii) in the event of our completion of a liquidation, merger, share exchange, reorganization or other similar transaction which results in all of our shareholders having the right to exchange their ordinary shares for cash, securities or other property subsequent to the completion of our initial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Our initial shareholders and their permitted transferees can demand that we register the founder shares, private investor shares, private placement shares and shares that are issued upon conversion of the private placement rights upon consummation of our initial business combination.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on registration statements filed after our company’s consummation of a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929696_14"/>
      <w:bookmarkEnd w:id="16"/>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founder shares remain subject to forfeiture depending on the extent to which the underwriters’ over-allotment option is exercised during this offering. The purchase price per founder share was determined by dividing the amount of cash contributed to our company by the number of founder shares issued. Prior to the investment of $25,000 by our sponsor (before giving effect to the sales of shares to four of our directors), our company had no assets, tangible or intangible. </w:t>
      </w:r>
    </w:p>
    <w:p>
      <w:pPr>
        <w:pStyle w:val="TextBody"/>
        <w:bidi w:val="0"/>
        <w:spacing w:before="240" w:after="0"/>
        <w:jc w:val="left"/>
        <w:rPr>
          <w:rFonts w:ascii="Times New Roman" w:hAnsi="Times New Roman"/>
          <w:sz w:val="20"/>
        </w:rPr>
      </w:pPr>
      <w:r>
        <w:rPr>
          <w:rFonts w:ascii="Times New Roman" w:hAnsi="Times New Roman"/>
          <w:sz w:val="20"/>
        </w:rPr>
        <w:t xml:space="preserve">Prior to the making of this offering, the sponsor transferred 5,000 founder shares to Christine Marshall, our Chief Financial Officer, solely in consideration of future services to us. The 5,000 founder shares granted to Ms. Marshall are subject to forfeiture back to the sponsor in the event she resigns or is removed for cause from her position with us prior to consummation of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Our sponsor intends at the time of the consummation of this offering to sell 375,397 founder shares in the aggregate to Messrs. Greene, Machuca, Timm and Horowitz at an aggregate price of $9,244. Following this sale of shares, the sponsor will hold 6,053,167 founder shares, and the price paid by our sponsor for the 6,053,167 founder shares (after also giving effect to the sale of 1,416,665 founder shares to Lynrock at an aggregate price of $13,130) which it is retaining will be reduced to $2,626, or $0.00433 per share. Up to 1,023,943 founder shares held by our insiders and Lynrock will remain subject to forfeiture on a pro rata basis depending on the extent to which the underwriters’ over-allotment option is exercised during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number of founder shares, and the forfeiture mechanism underlying the founder shares, has been determined in order to ensure that the founder shares, together with the private investor shares owned by the non-managing investors will collectively represent 30% of the issued and outstanding shares (assuming none of the initial shareholders purchases public units or public shares in this offering) upon completion of this offering and the exercise of the underwriters’ over-allotment option, if any. In connection with this offering, our sponsor and four of our directors hold 6,433,564 founder shares, of which up to 1,023,943 founder shares are subject to forfeiture depending on the extent to which the underwriters’ over-allotment option is exercised during this offering. </w:t>
      </w:r>
    </w:p>
    <w:p>
      <w:pPr>
        <w:pStyle w:val="TextBody"/>
        <w:bidi w:val="0"/>
        <w:spacing w:before="240" w:after="0"/>
        <w:jc w:val="left"/>
        <w:rPr>
          <w:rFonts w:ascii="Times New Roman" w:hAnsi="Times New Roman"/>
          <w:sz w:val="20"/>
        </w:rPr>
      </w:pPr>
      <w:r>
        <w:rPr>
          <w:rFonts w:ascii="Times New Roman" w:hAnsi="Times New Roman"/>
          <w:sz w:val="20"/>
        </w:rPr>
        <w:t>Except with respect to permitted transferees as described herein under “</w:t>
      </w:r>
      <w:r>
        <w:rPr>
          <w:rFonts w:ascii="Times New Roman" w:hAnsi="Times New Roman"/>
          <w:i/>
          <w:sz w:val="20"/>
        </w:rPr>
        <w:t>Principal Shareholders</w:t>
      </w:r>
      <w:r>
        <w:rPr>
          <w:rFonts w:ascii="Times New Roman" w:hAnsi="Times New Roman"/>
          <w:sz w:val="20"/>
        </w:rPr>
        <w:t xml:space="preserve">,” our initial shareholders have agreed not to transfer, assign or sell any of their respective founder shares and private investor shares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In addition, our initial shareholders have agreed not to transfer, assign or sell any of the private placement units (including the underlying securities) until thirty days after the date we complete our initial business combination, except as described below. Permitted transferees would be subject to the same restrictions and other agreements of our initial shareholders with respect to any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On July 18, 2025, we issued a promissory note to our Sponsor with a principal amount of $100,000, all of which remained outstanding as of July 21,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meet our working capital needs following the consummation of this offering, our sponsor, executive officers, directors or their affiliates may, but are not obligated to, loan us funds, from time to time or at any time, in whatever amount they deem reasonable in their sole discretion. Each loan would be evidenced by a promissory note.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our founder shares, private investor shares and private placement shares issued and outstanding on the date of this prospectus, and the shares to be issued upon conversion of the private placement rights upon consummation of our initial business combination, as well as, our sponsor,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w:t>
      </w:r>
    </w:p>
    <w:p>
      <w:pPr>
        <w:pStyle w:val="TextBody"/>
        <w:bidi w:val="0"/>
        <w:spacing w:before="240" w:after="0"/>
        <w:jc w:val="left"/>
        <w:rPr>
          <w:rFonts w:ascii="Times New Roman" w:hAnsi="Times New Roman"/>
          <w:sz w:val="20"/>
        </w:rPr>
      </w:pPr>
      <w:r>
        <w:rPr>
          <w:rFonts w:ascii="Times New Roman" w:hAnsi="Times New Roman"/>
          <w:sz w:val="20"/>
        </w:rPr>
        <w:t xml:space="preserve">Dr. Katz, our Chief Executive Officer and Chairman, formed our sponsor, which 100% is owned equally by Drs. Katz and Dinu, who are husband and wife, and have the sole financial and voting interest in our sponsor that entitles them to participate in any economic return that the sponsor receives for its investment in the company. Accordingly, Drs. Katz and Dinu will benefit from the transaction to the extent of their interest in our sponsor. </w:t>
      </w:r>
    </w:p>
    <w:p>
      <w:pPr>
        <w:pStyle w:val="TextBody"/>
        <w:bidi w:val="0"/>
        <w:spacing w:before="240" w:after="0"/>
        <w:jc w:val="left"/>
        <w:rPr>
          <w:rFonts w:ascii="Times New Roman" w:hAnsi="Times New Roman"/>
          <w:sz w:val="20"/>
        </w:rPr>
      </w:pPr>
      <w:r>
        <w:rPr>
          <w:rFonts w:ascii="Times New Roman" w:hAnsi="Times New Roman"/>
          <w:sz w:val="20"/>
        </w:rPr>
        <w:t xml:space="preserve">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this prospectus, to pay GigManagement, LLC a monthly fee of $30,000 per month for office space and general and administrative services until the consummation of an initial business combination. In conjunction with our services agreement with GigManagement, LLC, we have a rights that permit us to use “Private-to-Public Equity (PPE).”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foregoing and as described in this paragraph,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such individuals will receive the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Our board of directors may also approve the payment of advisory fees for such activities, including board committee service, and extraordinary administrative and analytical services. There is no limit on the amount of out-of-pocket expenses reimbursable by us. Our independent directors will review on a quarterly basis all payments that were made to our sponsor, executive officers or our or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After our initial business combination, members of our management team who remain with us may be paid consulting, management or other fees from the combined company with any and all amounts being fully disclosed to shareholders, to the extent then known, in the proxy solicitation materials furnished to our shareholders. It is unlikely the amount of such compensation will be known at the time of a shareholder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 In such event, neither the sponsor, nor any executive officer or director, will be entitled to receive or accept a finder’s fee or any other compensation in the event such party originates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Dr. Katz, our Chief Executive Officer and Chairman of the board of directors, and Dr. Dinu, one of our directors, are husband and wife.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Party Policy </w:t>
      </w:r>
    </w:p>
    <w:p>
      <w:pPr>
        <w:pStyle w:val="TextBody"/>
        <w:bidi w:val="0"/>
        <w:spacing w:before="120" w:after="0"/>
        <w:jc w:val="left"/>
        <w:rPr>
          <w:rFonts w:ascii="Times New Roman" w:hAnsi="Times New Roman"/>
          <w:sz w:val="20"/>
        </w:rPr>
      </w:pPr>
      <w:r>
        <w:rPr>
          <w:rFonts w:ascii="Times New Roman" w:hAnsi="Times New Roman"/>
          <w:sz w:val="20"/>
        </w:rPr>
        <w:t xml:space="preserve">Our Code of Business Conduct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pursuant to its written charter, will be responsible for reviewing and approving related 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 party under the same or similar circumstances and the extent of the related party’s interest in the transaction. No director may participate in the approval of any transaction in which he is a related party, and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procedures are intended to determine whether any such related party transaction impairs the independence of a director or presents a conflict of interest on the part of a director, employee or officer. </w:t>
      </w:r>
    </w:p>
    <w:p>
      <w:pPr>
        <w:pStyle w:val="TextBody"/>
        <w:bidi w:val="0"/>
        <w:spacing w:before="240" w:after="0"/>
        <w:jc w:val="left"/>
        <w:rPr>
          <w:rFonts w:ascii="Times New Roman" w:hAnsi="Times New Roman"/>
          <w:sz w:val="20"/>
        </w:rPr>
      </w:pPr>
      <w:r>
        <w:rPr>
          <w:rFonts w:ascii="Times New Roman" w:hAnsi="Times New Roman"/>
          <w:sz w:val="20"/>
        </w:rPr>
        <w:t xml:space="preserve">To further minimize conflicts of interest, we have agreed not to consummate an initial business combination with an entity that is affiliated with any of our sponsor, officers or directors, including (i) an entity that is either a portfolio company of, or has otherwise received a material financial investment from, any private equity fund or investment company (or an affiliate thereof) that is affiliated with any of the foregoing, (ii) an entity in which any of the foregoing or their affiliates are currently passive investors, (iii) an entity in which any of the foregoing or their affiliates are currently officers or directors, or (iv) an entity in which any of the foregoing or their affiliates are currently invested through an investment vehicle controlled by them, unless we have obtained an opinion from an independent investment banking firm, or another independent entity that commonly renders valuation opinions on the type of target business we are seeking to acquire, and the approval of a majority of our disinterested independent directors that the business combination is fair to our unaffiliated shareholders from a financial point of view. In such event, neither the sponsor, nor any executive officer or director, will be entitled to receive or accept a finder’s fee or any other compensation in the event such party originates a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929696_15"/>
      <w:bookmarkEnd w:id="17"/>
      <w:r>
        <w:rPr>
          <w:rFonts w:ascii="Times New Roman" w:hAnsi="Times New Roman"/>
          <w:b/>
          <w:sz w:val="20"/>
        </w:rPr>
        <w:t xml:space="preserve">DESCRIPTION OF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are authorized to issue 200,000,000 Class A ordinary shares, par value $0.0001 per share, 20,000,000 Class B ordinary shares, par value $0.0001 per share, and 1,000,000 preferred shares, par value $0.0001 per share. As of the date of this prospectus, 7,850,229 Class B ordinary shares are outstanding, and we expect to issue 2,964,203 Class B ordinary shares to non-managing investors prior to the public offering. We also expect to issue 92,500 private placement units to our sponsor and 242,475 private placement units to non-managing investors. No preferred shares are currently outstanding. The following description summarizes the material terms of our securities. Because it is only a summary, it may not contain all the information that is important to you. For a complete description, you should refer to our amended and restated memorandum and articles of association, which is filed as exhibits to the registration statement of which this prospectus is a part, and to the applicable provisions of the Cayman Islands law. </w:t>
      </w:r>
    </w:p>
    <w:p>
      <w:pPr>
        <w:pStyle w:val="TextBody"/>
        <w:bidi w:val="0"/>
        <w:spacing w:before="360" w:after="0"/>
        <w:jc w:val="left"/>
        <w:rPr>
          <w:rFonts w:ascii="Times New Roman" w:hAnsi="Times New Roman"/>
          <w:b/>
          <w:sz w:val="20"/>
        </w:rPr>
      </w:pPr>
      <w:r>
        <w:rPr>
          <w:rFonts w:ascii="Times New Roman" w:hAnsi="Times New Roman"/>
          <w:b/>
          <w:sz w:val="20"/>
        </w:rPr>
        <w:t xml:space="preserve">Public Units </w:t>
      </w:r>
    </w:p>
    <w:p>
      <w:pPr>
        <w:pStyle w:val="TextBody"/>
        <w:bidi w:val="0"/>
        <w:spacing w:before="120" w:after="0"/>
        <w:jc w:val="left"/>
        <w:rPr>
          <w:rFonts w:ascii="Times New Roman" w:hAnsi="Times New Roman"/>
          <w:sz w:val="20"/>
        </w:rPr>
      </w:pPr>
      <w:r>
        <w:rPr>
          <w:rFonts w:ascii="Times New Roman" w:hAnsi="Times New Roman"/>
          <w:sz w:val="20"/>
        </w:rPr>
        <w:t xml:space="preserve">Each public unit consists of one Class A ordinary share and one right entitle the holder thereof to receive one-fifth of one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The public shares and public rights will begin to trade separately on the 52nd day after the date of this prospectus unless the underwriters inform us of their decision to allow earlier separate trading, provided that in no event may the public shares and public rights be traded separately until we have filed with the SEC a Current Report on Form 8-K which includes an audited balance sheet reflecting our receipt of the gross proceeds of this offering. Once the public shares and public rights commence separate trading, holders will have the option to continue to hold units or separate their units into the component pieces. </w:t>
      </w:r>
    </w:p>
    <w:p>
      <w:pPr>
        <w:pStyle w:val="TextBody"/>
        <w:bidi w:val="0"/>
        <w:spacing w:before="240" w:after="0"/>
        <w:jc w:val="left"/>
        <w:rPr>
          <w:rFonts w:ascii="Times New Roman" w:hAnsi="Times New Roman"/>
          <w:sz w:val="20"/>
        </w:rPr>
      </w:pPr>
      <w:r>
        <w:rPr>
          <w:rFonts w:ascii="Times New Roman" w:hAnsi="Times New Roman"/>
          <w:sz w:val="20"/>
        </w:rPr>
        <w:t xml:space="preserve">We will file a Current Report on Form 8-K which includes an audited balance sheet promptly upon the consummation of this offering. The audited balance sheet will reflect proceeds we receive from the exercise of the over-allotment option, if the over-allotment option is exercised on the date of this prospectus. If the over-allotment option is exercised after the date of this prospectus, we will file an amendment to the Form 8-K to provide updated financial information to reflect the exercise of the over-allotment option. We will also include in this Form 8-K, an amendment thereto, or in a subsequent Form 8-K information indicating if the underwriters have allowed separate trading of the public shares and public rights prior to the 52nd day after the date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Concurrent with the consummation of this offering, there will be 7,850,229 ordinary shares outstanding held of record by our insiders and Lynrock. Our insiders will own approximately 17.8% (inclusive of the 45,200 private placement shares but not inclusive of any founder shares held by Lynrock) of our issued and outstanding shares after this offering (assuming our sponsor does not purchase any units in this offering and the over-allotment option is not exercised by the underwriters). Up to 1,023,943 of the founder shares will be forfeited by our initial shareholders depending on the extent to which the underwriters’ over-allotment option is exercised. Upon the closing of this offering, 31,741,483 of our ordinary shares will be outstanding (assuming no exercise of the underwriters’ over-allotment option and the corresponding forfeiture of 1,410,624 Class B ordinary shares by our initial shareholders)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22,000,000 Class A ordinary shares underlying public units issued as part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6,826,286 Class B ordinary shares held by the sponsor, Lynrock and the four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2,577,522 Class B ordinary shares held by the non-managing investors;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337,675 Class A ordinary shares underlying private placement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increase or decrease the size of the offering pursuant to Rule 462(b) under the Securities Act, we will effect a share dividend or share contribution back to capital, as applicable, immediately prior to the consummation of the offering in such amount so that the founder shares and private investor shares will collectively represent 30% of the issued and outstanding ordinary shares upon completion of this offering upon the consummation of this offering, as described above. Ordinary shareholders of record are entitled to one vote for each share held on all matters to be voted on by shareholders. Unless specified in our amended and restated memorandum and articles of association, or as required by applicable provisions of Cayman Island laws or stock exchange rules, the affirmative vote of a majority of our shares that are voted is required to approve any such matter voted on by our shareholders. Our shareholders are entitled to receive ratable dividends when, as and if declared by the board of directors out of funds legally available therefor. </w:t>
      </w:r>
    </w:p>
    <w:p>
      <w:pPr>
        <w:pStyle w:val="TextBody"/>
        <w:bidi w:val="0"/>
        <w:spacing w:before="240" w:after="0"/>
        <w:jc w:val="left"/>
        <w:rPr>
          <w:rFonts w:ascii="Times New Roman" w:hAnsi="Times New Roman"/>
          <w:sz w:val="20"/>
        </w:rPr>
      </w:pPr>
      <w:r>
        <w:rPr>
          <w:rFonts w:ascii="Times New Roman" w:hAnsi="Times New Roman"/>
          <w:sz w:val="20"/>
        </w:rPr>
        <w:t xml:space="preserve">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otherwise specified in our amended and restated memorandum and articles of association, or as required by applicable provisions of the Companies Act or applicable stock exchange rules, the affirmative vote of a majority of our ordinary shares that are represented in person or by proxy and are voted is required to approve any such matter voted on by our shareholders. Approval of certain actions will require a special resolution under Cayman Islands law, being the affirmative vote of at least two-thirds of the votes cast by such shareholders as, being entitled to do so, vote in person or, where proxies are allowed, by proxy at the applicable general meeting of the company, and pursuant to our amended and restated memorandum and articles of association; such actions include amending our amended and restated memorandum and articles of association and approving a statutory merger or consolidation with another company. There is no cumulative voting with respect to the election of directors, with the result that the holders of more than 50% of the shares entitled to vote and voted for the election of directors can elect all of the directors. Our shareholders are entitled to receive ratable dividends when, as and if declared by the board of directors out of funds legally available therefor. Prior to our initial business combination, only holders of our Class B ordinary shares will have the right to vote on the appointment of directors. Holders of our public shares will not be entitled to vote on the election of directors during such time. Further, prior to the closing of our initial business combination, transferring the company by way of continuation in a jurisdiction outside the Cayman Islands only would require the approval of the board of directors. 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elected each year at our annual meeting of shareholders; however, we do not currently intend to hold an annual meeting of shareholders until after we consummate a business combination (unless required by Nasdaq).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Nasdaq corporate governance requirements, we are not required to hold an annual meeting until one year after our first fiscal year end following our listing on Nasdaq. Our fiscal year end will be on December 31.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our public shareholders with the opportunity to redeem all or a portion of their public shares upon the completion of our initial business combination at a per-share price which is payable in cash and equal to the aggregate amount then on deposit in the trust account as of two business days prior to the consummation of our initial business combination, including interest (which interest shall be net of permitted withdrawals by us) divided by the number of then outstanding public shares, subject to the limitations described in this prospectus. The amount in the trust account is initially anticipated to be approximately $10.00 per public share. Our initial shareholders have entered into agreements with us, pursuant to which they will agree to waive their redemption rights with respect to their founder shares, private investor shares and private placement shares in connection with the completion of our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requires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 </w:t>
      </w:r>
    </w:p>
    <w:p>
      <w:pPr>
        <w:pStyle w:val="TextBody"/>
        <w:bidi w:val="0"/>
        <w:spacing w:before="240" w:after="0"/>
        <w:jc w:val="left"/>
        <w:rPr>
          <w:rFonts w:ascii="Times New Roman" w:hAnsi="Times New Roman"/>
          <w:sz w:val="20"/>
        </w:rPr>
      </w:pPr>
      <w:r>
        <w:rPr>
          <w:rFonts w:ascii="Times New Roman" w:hAnsi="Times New Roman"/>
          <w:sz w:val="20"/>
        </w:rPr>
        <w:t xml:space="preserve">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public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 </w:t>
      </w:r>
    </w:p>
    <w:p>
      <w:pPr>
        <w:pStyle w:val="TextBody"/>
        <w:bidi w:val="0"/>
        <w:spacing w:before="240" w:after="0"/>
        <w:jc w:val="left"/>
        <w:rPr>
          <w:rFonts w:ascii="Times New Roman" w:hAnsi="Times New Roman"/>
          <w:sz w:val="20"/>
        </w:rPr>
      </w:pPr>
      <w:r>
        <w:rPr>
          <w:rFonts w:ascii="Times New Roman" w:hAnsi="Times New Roman"/>
          <w:sz w:val="20"/>
        </w:rPr>
        <w:t xml:space="preserve">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initial shareholders and each member of our management team have agreed to vote their founder shares, private investor shares and private placement shares and public shares purchased during or after this offering in favor of our initial business combination. As a result, in addition to our initial shareholders’ founder shares, private investor shares and private placement shares, we would need 6,129,259 public shares, or approximately 27.86% of the 22,000,000 public shares sold in this offering to be voted in favor of an initial business combination in order to have our initial business combination approved (assuming all issued and outstanding shares are voted and the over-allotment option is not exercised). Assuming that only the holders of one-third of our issued and outstanding ordinary shares, representing a quorum under our amended and restated memorandum and articles of association, vote their shares, we will not need any public shares in addition to our founder shares, private investor shares and private placement shares held by our initial shareholders to be voted in favor of an initial business combination in order to approve an initial business combination. Additionally, each public shareholder may elect to redeem their public shares irrespective of whether they vote for or against the proposed transaction or vote at all. </w:t>
      </w:r>
    </w:p>
    <w:p>
      <w:pPr>
        <w:pStyle w:val="TextBody"/>
        <w:bidi w:val="0"/>
        <w:spacing w:before="240" w:after="0"/>
        <w:jc w:val="left"/>
        <w:rPr>
          <w:rFonts w:ascii="Times New Roman" w:hAnsi="Times New Roman"/>
          <w:sz w:val="20"/>
        </w:rPr>
      </w:pPr>
      <w:r>
        <w:rPr>
          <w:rFonts w:ascii="Times New Roman" w:hAnsi="Times New Roman"/>
          <w:sz w:val="20"/>
        </w:rPr>
        <w:t xml:space="preserve">If we seek shareholder approval of our initial business combination and we do not conduct redemptions in connection with our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However, we would not be restricting our shareholders’ ability to vote all of their shares for or against our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amended and restated memorandum and articles of association, if we are unable to complete our business combination within 24 months from the closing of this offering, we will (i) cease all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for the purpose of winding up, (ii) as promptly as reasonably possible but no more than 10 business days thereafter, subject to lawfully available funds therefor, redeem the public shares, at a per-share price which is payable in cash and equal to the aggregate amount then on deposit in the trust account, including interest (which interest shall be net of permitted withdrawals by us and up to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Our initial shareholders have entered into a letter agreement or subscription agreements with us, pursuant to which they have agreed to waive their rights to liquidating distributions from the trust account with respect to their founder shares, private investor shares and private placement shares if we fail to complete our business combination within 24 months from the closing of this offering. However, if our initial shareholders or management team acquire public shares in or after this offering, they will be entitled to liquidating distributions from the trust account with respect to such public shares if we fail to complete our business combination within the prescribed time period.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equal to their pro rata share of the aggregate amount then on deposit in the trust account, including interest (which interest shall be net of permitted withdrawals by us) upon the completion of our initial business combination, subject to the limitations described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Rights </w:t>
      </w:r>
    </w:p>
    <w:p>
      <w:pPr>
        <w:pStyle w:val="TextBody"/>
        <w:bidi w:val="0"/>
        <w:spacing w:before="120" w:after="0"/>
        <w:jc w:val="left"/>
        <w:rPr>
          <w:rFonts w:ascii="Times New Roman" w:hAnsi="Times New Roman"/>
          <w:sz w:val="20"/>
        </w:rPr>
      </w:pPr>
      <w:r>
        <w:rPr>
          <w:rFonts w:ascii="Times New Roman" w:hAnsi="Times New Roman"/>
          <w:sz w:val="20"/>
        </w:rPr>
        <w:t xml:space="preserve">Except in cases where we are not the surviving company in a business combination, each holder of a right will automatically receive one-fifth (1/5) of one ordinary share upon consummation of our initial business combination, even if the holder of a public right redeemed all ordinary shares held by him, her or it in connection with the initial business combination or an amendment to our amended and restated memorandum and articles of association with respect to our pre-initial business combination activities. In the event we will not be the surviving company upon completion of our initial business combination, each holder of a right will be required to affirmatively convert his, her or its rights in order to receive the one-fifth (1/5) of one ordinary share underlying each right upon consummation of the business combination. No additional consideration will be required to be paid by a holder of rights in order to receive his, her or its additional ordinary shares upon consummation of an initial business combination. The ordinary shares issuable upon conversion of the rights will be freely tradable (except to the extent held by affiliates of ours). If we enter into a definitive agreement for a business combination in which we will not be the surviving entity, the definitive agreement will provide for the holders of rights to receive the same consideration per ordinary share the holders of the ordinary shares will receive in the transaction on an as-converted into ordinary shares basis. </w:t>
      </w:r>
    </w:p>
    <w:p>
      <w:pPr>
        <w:pStyle w:val="TextBody"/>
        <w:bidi w:val="0"/>
        <w:spacing w:before="240" w:after="0"/>
        <w:jc w:val="left"/>
        <w:rPr>
          <w:rFonts w:ascii="Times New Roman" w:hAnsi="Times New Roman"/>
          <w:sz w:val="20"/>
        </w:rPr>
      </w:pPr>
      <w:r>
        <w:rPr>
          <w:rFonts w:ascii="Times New Roman" w:hAnsi="Times New Roman"/>
          <w:sz w:val="20"/>
        </w:rPr>
        <w:t xml:space="preserve">We will not issue fractional ordinary shares in connection with an exchange of rights. Fractional shares will either be rounded down to the nearest whole share or otherwise addressed in accordance with Cayman Islands law. As a result, you must hold rights in multiples of five in order to receive ordinary shares for all of your rights upon closing of a business combination. If we are unable to complete an initial business combination within the required time period and we liquidate the funds held in the trust account, holders of rights will not receive any of such funds with respect to their rights, nor will they receive any distribution from our assets held outside of the trust account with respect to such rights. Further, there are no contractual penalties for failure to deliver securities to the holders of the rights upon consummation of an initial business combination. Additionally, in no event will we be required to net cash settle the rights. Accordingly, the rights may expire worthless.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rights will be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 </w:t>
      </w:r>
    </w:p>
    <w:p>
      <w:pPr>
        <w:pStyle w:val="TextBody"/>
        <w:bidi w:val="0"/>
        <w:spacing w:before="240" w:after="0"/>
        <w:jc w:val="left"/>
        <w:rPr>
          <w:rFonts w:ascii="Times New Roman" w:hAnsi="Times New Roman"/>
          <w:sz w:val="20"/>
        </w:rPr>
      </w:pPr>
      <w:r>
        <w:rPr>
          <w:rFonts w:ascii="Times New Roman" w:hAnsi="Times New Roman"/>
          <w:sz w:val="20"/>
        </w:rPr>
        <w:t xml:space="preserve">Our rights agreement will provide that, subject to applicable law, (i) any action, proceeding or claim against us arising out of or relating in any way to the rights agreement, including under the Securities Act, will be brought and enforced in the courts of the State of New York located in the County of New York or the United States District Court for the Southern District of New York, (ii)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 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 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Rights </w:t>
      </w:r>
    </w:p>
    <w:p>
      <w:pPr>
        <w:pStyle w:val="TextBody"/>
        <w:bidi w:val="0"/>
        <w:spacing w:before="120" w:after="0"/>
        <w:jc w:val="left"/>
        <w:rPr>
          <w:rFonts w:ascii="Times New Roman" w:hAnsi="Times New Roman"/>
          <w:sz w:val="20"/>
        </w:rPr>
      </w:pPr>
      <w:r>
        <w:rPr>
          <w:rFonts w:ascii="Times New Roman" w:hAnsi="Times New Roman"/>
          <w:sz w:val="20"/>
        </w:rPr>
        <w:t xml:space="preserve">The private placement rights have terms and provisions that are identical to those of the rights being sold as part of the units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rights (including the ordinary shares issuable upon conversion of the rights) will not be transferable, assignable, or salable until the completion of our initial business combination (except as described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There are no preferred shares outstanding. Our amended and restated memorandum and articles of association will authorize the issuance of 1,000,000 preferred shares with such designation, rights and preferences as may be determined from time to time by our board of directors. No preferred shares are being issued or registered in this offering. Accordingly, our board of directors is empowered, without shareholder approval, to issue preferred shares with dividend, liquidation, conversion, voting or other rights which could adversely affect the voting power or other rights of the holders of ordinary shares. However, the underwriting agreement prohibits us, prior to a business combination, from issuing preferred shares which participates in any manner in the proceeds of the trust account, or which votes as a class with the ordinary shares on a business combination. We may issue some or all of the preferred shares to effect a business combination. In addition, the preferred shares could be utilized as a method of discouraging, delaying or preventing a change in control of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we do not currently intend to issue any preferred shares, we cannot assure you that we will not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Register of Members </w:t>
      </w:r>
    </w:p>
    <w:p>
      <w:pPr>
        <w:pStyle w:val="TextBody"/>
        <w:bidi w:val="0"/>
        <w:spacing w:before="120" w:after="0"/>
        <w:jc w:val="left"/>
        <w:rPr>
          <w:rFonts w:ascii="Times New Roman" w:hAnsi="Times New Roman"/>
          <w:sz w:val="20"/>
        </w:rPr>
      </w:pPr>
      <w:r>
        <w:rPr>
          <w:rFonts w:ascii="Times New Roman" w:hAnsi="Times New Roman"/>
          <w:sz w:val="20"/>
        </w:rPr>
        <w:t xml:space="preserve">Under the Companies Act, we must keep a register of members and there should be entered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and addresses of the members of the company, a statement of the shares held by each member, which: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distinguishes each share by its number (so long as the share has a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confirms the amount paid, or agreed to be considered as paid, on the shares of each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confirms the number and category of shares held by each member;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confirms whether each relevant category of shares held by a member carries voting rights under the Articles, and if so, whether such voting rights are conditional;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name of any person was entered on the register as a member;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any person ceased to be a member.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purposes, “voting rights” means rights conferred on shareholders, including the right to appoint directors, in respect of their shares to vote at general meetings of the company on all or substantially all matters. A voting right is conditional where the voting right arises only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have not paid any cash dividends on our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Our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shares will be Continental Stock Transfer &amp; Trust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Listing of Securities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the public units, as well as the public shares and public rights underlying the public units (once they begin separate trading), will be listed on Nasdaq under the symbols “GIWWU,” “GIW,” and “GIWWR,”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Differences in Corporate Law </w:t>
      </w:r>
    </w:p>
    <w:p>
      <w:pPr>
        <w:pStyle w:val="TextBody"/>
        <w:bidi w:val="0"/>
        <w:spacing w:before="120" w:after="0"/>
        <w:jc w:val="left"/>
        <w:rPr>
          <w:rFonts w:ascii="Times New Roman" w:hAnsi="Times New Roman"/>
          <w:sz w:val="20"/>
        </w:rPr>
      </w:pPr>
      <w:r>
        <w:rPr>
          <w:rFonts w:ascii="Times New Roman" w:hAnsi="Times New Roman"/>
          <w:sz w:val="20"/>
        </w:rPr>
        <w:t xml:space="preserve">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 </w:t>
      </w:r>
    </w:p>
    <w:p>
      <w:pPr>
        <w:pStyle w:val="TextBody"/>
        <w:bidi w:val="0"/>
        <w:spacing w:before="240" w:after="0"/>
        <w:jc w:val="left"/>
        <w:rPr>
          <w:rFonts w:ascii="Times New Roman" w:hAnsi="Times New Roman"/>
          <w:sz w:val="20"/>
        </w:rPr>
      </w:pPr>
      <w:r>
        <w:rPr>
          <w:rFonts w:ascii="Times New Roman" w:hAnsi="Times New Roman"/>
          <w:i/>
          <w:sz w:val="20"/>
        </w:rPr>
        <w:t>Mergers and Similar Arrangements</w:t>
      </w:r>
      <w:r>
        <w:rPr>
          <w:rFonts w:ascii="Times New Roman" w:hAnsi="Times New Roman"/>
          <w:sz w:val="20"/>
        </w:rPr>
        <w:t>. In certain circumstances, the Companies Act allows for mergers or consolidations between two Cayman Islands companies, or between a Cayman Islands exempted company and a company incorporated in another jurisdiction (</w:t>
      </w:r>
      <w:r>
        <w:rPr>
          <w:rFonts w:ascii="Times New Roman" w:hAnsi="Times New Roman"/>
          <w:i/>
          <w:sz w:val="20"/>
        </w:rPr>
        <w:t>provided</w:t>
      </w:r>
      <w:r>
        <w:rPr>
          <w:rFonts w:ascii="Times New Roman" w:hAnsi="Times New Roman"/>
          <w:sz w:val="20"/>
        </w:rPr>
        <w:t xml:space="preserve"> that is facilitated by the laws of that other jurisdiction) so as to form a single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Where the merger or consolidation is between two Cayman Islands companies, the directors of each company must approve and enter into a written plan of merger or consolidation containing certain prescribed information. That plan or merger or consolidation must then be authorized by either (a) a special resolution (usually a majority of two-thirds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(iv) that no scheme, order, compromise or other similar arrangement has been entered into or made in any jurisdiction whereby the rights of creditors of the foreign company are and continue to be suspended or restricted; and (v) there is no other reason why it would be against the public interest to permit the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Where the above procedures are adopted, the Companies Act provides certain limited appraisal rights for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A shareholder who dissents must do so in respect of all shares that such person holds in the constituent company. Upon the giving of a notice of dissent under paragraph (c) above, the shareholder to whom the notice relates shall cease to have any of the rights of a shareholder except the right to be paid the fair value of that person’s shares and certain rights specified in the Companies Act.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w:t>
      </w:r>
    </w:p>
    <w:p>
      <w:pPr>
        <w:pStyle w:val="TextBody"/>
        <w:bidi w:val="0"/>
        <w:spacing w:before="240" w:after="0"/>
        <w:jc w:val="left"/>
        <w:rPr>
          <w:rFonts w:ascii="Times New Roman" w:hAnsi="Times New Roman"/>
          <w:sz w:val="20"/>
        </w:rPr>
      </w:pPr>
      <w:r>
        <w:rPr>
          <w:rFonts w:ascii="Times New Roman" w:hAnsi="Times New Roman"/>
          <w:sz w:val="20"/>
        </w:rPr>
        <w:t xml:space="preserve">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and in relation to a compromise or arrangement between a company and its shareholders or any class of them, shareholders who represent 75% in value of the company’s shareholders or class of shareholders, as the case may be, that are present and voting either in person or by proxy at a meeting summoned for that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not proposing to act illegally or beyond the scope of our corporate authority and the statutory provisions as to majority vote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have been fairly represented at the meeting in question;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arrangement is such as a businessman would reasonably approve;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arrangement is not one that would more properly be sanctioned under some other provision of the Companies Act or that would amount to a “fraud on the minority.”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scheme of arrangement or takeover offer (as described below) is approved, any dissenting shareholder would have no rights comparable to dissenters’ rights or appraisal rights (providing rights to receive payment in cash for the judicially determined value of the shares), which would otherwise ordinarily be available to dissenting shareholders of United States corporations. </w:t>
      </w:r>
    </w:p>
    <w:p>
      <w:pPr>
        <w:pStyle w:val="TextBody"/>
        <w:bidi w:val="0"/>
        <w:spacing w:before="240" w:after="0"/>
        <w:jc w:val="left"/>
        <w:rPr>
          <w:rFonts w:ascii="Times New Roman" w:hAnsi="Times New Roman"/>
          <w:sz w:val="20"/>
        </w:rPr>
      </w:pPr>
      <w:r>
        <w:rPr>
          <w:rFonts w:ascii="Times New Roman" w:hAnsi="Times New Roman"/>
          <w:i/>
          <w:sz w:val="20"/>
        </w:rPr>
        <w:t>Squeeze-out Provisions</w:t>
      </w:r>
      <w:r>
        <w:rPr>
          <w:rFonts w:ascii="Times New Roman" w:hAnsi="Times New Roman"/>
          <w:sz w:val="20"/>
        </w:rPr>
        <w:t xml:space="preserve">. When a tender offer is made and accepted by holders of 90% of the shares to whom the offer relates within four months, the offeror may, within a two-month period after the expiration of the initial four-month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 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 </w:t>
      </w:r>
    </w:p>
    <w:p>
      <w:pPr>
        <w:pStyle w:val="TextBody"/>
        <w:bidi w:val="0"/>
        <w:spacing w:before="240" w:after="0"/>
        <w:jc w:val="left"/>
        <w:rPr>
          <w:rFonts w:ascii="Times New Roman" w:hAnsi="Times New Roman"/>
          <w:sz w:val="20"/>
        </w:rPr>
      </w:pPr>
      <w:r>
        <w:rPr>
          <w:rFonts w:ascii="Times New Roman" w:hAnsi="Times New Roman"/>
          <w:i/>
          <w:sz w:val="20"/>
        </w:rPr>
        <w:t>Shareholders’ Suits</w:t>
      </w:r>
      <w:r>
        <w:rPr>
          <w:rFonts w:ascii="Times New Roman" w:hAnsi="Times New Roman"/>
          <w:sz w:val="20"/>
        </w:rPr>
        <w:t xml:space="preserve">. Our Cayman Islands counsel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is acting, or proposing to act, illegally or ultra vires (beyond the scope of its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 complained of, although not beyond the scope of the authority, could be effected if duly authorized by more than the number of votes which have actually been obtained;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who control the company are perpetrating a “fraud on the minority.”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shareholder may have a direct right of action against us where the individual rights of that shareholder have been infringed or are about to be infringed. </w:t>
      </w:r>
    </w:p>
    <w:p>
      <w:pPr>
        <w:pStyle w:val="TextBody"/>
        <w:bidi w:val="0"/>
        <w:spacing w:before="240" w:after="0"/>
        <w:jc w:val="left"/>
        <w:rPr>
          <w:rFonts w:ascii="Times New Roman" w:hAnsi="Times New Roman"/>
          <w:sz w:val="20"/>
        </w:rPr>
      </w:pPr>
      <w:r>
        <w:rPr>
          <w:rFonts w:ascii="Times New Roman" w:hAnsi="Times New Roman"/>
          <w:i/>
          <w:sz w:val="20"/>
        </w:rPr>
        <w:t>Enforcement of Civil Liabilities</w:t>
      </w:r>
      <w:r>
        <w:rPr>
          <w:rFonts w:ascii="Times New Roman" w:hAnsi="Times New Roman"/>
          <w:sz w:val="20"/>
        </w:rPr>
        <w:t xml:space="preserve">. The Cayman Islands has a different body of securities laws as compared to the United States and provides less protection to investors. Additionally, Cayman Islands companies may not have standing to sue before the Federal courts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Times New Roman" w:hAnsi="Times New Roman"/>
          <w:i/>
          <w:sz w:val="20"/>
        </w:rPr>
        <w:t>provided</w:t>
      </w:r>
      <w:r>
        <w:rPr>
          <w:rFonts w:ascii="Times New Roman" w:hAnsi="Times New Roman"/>
          <w:sz w:val="20"/>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bidi w:val="0"/>
        <w:spacing w:before="240" w:after="0"/>
        <w:jc w:val="left"/>
        <w:rPr>
          <w:rFonts w:ascii="Times New Roman" w:hAnsi="Times New Roman"/>
          <w:sz w:val="20"/>
        </w:rPr>
      </w:pPr>
      <w:r>
        <w:rPr>
          <w:rFonts w:ascii="Times New Roman" w:hAnsi="Times New Roman"/>
          <w:i/>
          <w:sz w:val="20"/>
        </w:rPr>
        <w:t>Special Considerations for Exempted Companies</w:t>
      </w:r>
      <w:r>
        <w:rPr>
          <w:rFonts w:ascii="Times New Roman" w:hAnsi="Times New Roman"/>
          <w:sz w:val="20"/>
        </w:rPr>
        <w:t xml:space="preserve">. We are an exempted company with limited liability (meaning our public shareholders have no 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reporting requirements are minimal and consist mainly of a statement that the company has conducted its operations mainly outside of the Cayman Islands and has complied with the provisions of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company’s register of members is not open to inspection;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does not have to hold an annual shareholder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issue negotiable or bearer shares or shares with no par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obtain an undertaking against the imposition of any future taxation (such undertakings are usually given for 20 years in the first instance);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register by way of continuation in another jurisdiction and be deregistered in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register as a limited duration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register as a segregated portfolio company.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Amended and Restated Memorandum and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two-thirds of the votes cast by such shareholders as, being entitled to do so, vote in person or, where proxies are allowed, by proxy at a shareholder meeting of the company (i.e., the lowest threshold permissible under Cayman Islands law), or by a unanimous written resolution of all of our shareholders. Further, our amended and restated memorandum and articles of association will provide that a quorum at our shareholder meetings will consist of one or more shareholders who together hold not less than one-third of the ordinary shares entitled to vote at such meeting being individuals present in person or by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initial shareholders, and their permitted transferees, if any, who will collectively beneficially own, on an as-converted basis, 30.7% of our issued and outstanding ordinary shares upon the closing of this offering (assuming they do not purchase any shares in this offering and that no over-allotment option is exercised by the underwriters), will participate in any vote to amend our amended and restated memorandum and articles of association and will have the discretion to vote in any manner they choose.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Specifically, our amended and restated memorandum and articles of association will provide,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do not consummate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for permitted withdrawals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completion of our initial business combination, we may not, except in connection with the conversion of Class B ordinary shares into Class A ordinary shares where the holders of such shares have waived any rights to receive funds from the trust account,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we enter into a business combination with a target business that is affiliated with our sponsor, our directors or our executive officers, we, or a committee of independent directors, will obtain an opinion from an independent investment banking firm or an independent valuation or accounting firm that such a business combination or transaction is fair to our company from a financial point of 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shareholder vote on our initial business combination is not required by applicable law or stock exchange rule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complete one or more business combinations that together have an aggregate fair market value of at least 80% of the net assets held in the trust account (excluding permitted withdrawals) at the time of signing the agreement to enter into the initial business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initial business combination must be approved by a majority of our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directors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public shares, we will provide our public shareholders with the opportunity to redeem all or a portion of their public shares upon such approval at a per-share price, payable in cash, equal to the aggregate amount then on deposit in the trust account, including interest earned on the funds held in the trust account and not previously released to us for permitted withdrawals, divided by the number of the then-outstanding public shares, subject to the limitations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effectuate our initial business combination solely with another blank check company or a similar company with nominal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we consent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Companies Act permits a company incorporated in the Cayman Islands to amend its memorandum and articles of association with the approval of a special resolution. A company’s articles of association may specify that the approval of a higher majority is required but, </w:t>
      </w:r>
      <w:r>
        <w:rPr>
          <w:rFonts w:ascii="Times New Roman" w:hAnsi="Times New Roman"/>
          <w:i/>
          <w:sz w:val="20"/>
        </w:rPr>
        <w:t>provided</w:t>
      </w:r>
      <w:r>
        <w:rPr>
          <w:rFonts w:ascii="Times New Roman" w:hAnsi="Times New Roman"/>
          <w:sz w:val="20"/>
        </w:rPr>
        <w:t xml:space="preserve"> the approval of the required majority is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 </w:t>
      </w:r>
    </w:p>
    <w:p>
      <w:pPr>
        <w:pStyle w:val="TextBody"/>
        <w:bidi w:val="0"/>
        <w:spacing w:before="360" w:after="0"/>
        <w:jc w:val="left"/>
        <w:rPr>
          <w:rFonts w:ascii="Times New Roman" w:hAnsi="Times New Roman"/>
          <w:b/>
          <w:sz w:val="20"/>
        </w:rPr>
      </w:pPr>
      <w:r>
        <w:rPr>
          <w:rFonts w:ascii="Times New Roman" w:hAnsi="Times New Roman"/>
          <w:b/>
          <w:sz w:val="20"/>
        </w:rPr>
        <w:t xml:space="preserve">Anti-Money Laundering — Cayman Islands </w:t>
      </w:r>
    </w:p>
    <w:p>
      <w:pPr>
        <w:pStyle w:val="TextBody"/>
        <w:bidi w:val="0"/>
        <w:spacing w:before="120" w:after="0"/>
        <w:jc w:val="left"/>
        <w:rPr>
          <w:rFonts w:ascii="Times New Roman" w:hAnsi="Times New Roman"/>
          <w:sz w:val="20"/>
        </w:rPr>
      </w:pPr>
      <w:r>
        <w:rPr>
          <w:rFonts w:ascii="Times New Roman" w:hAnsi="Times New Roman"/>
          <w:sz w:val="20"/>
        </w:rPr>
        <w:t xml:space="preserve">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 </w:t>
      </w:r>
    </w:p>
    <w:p>
      <w:pPr>
        <w:pStyle w:val="TextBody"/>
        <w:bidi w:val="0"/>
        <w:spacing w:before="240" w:after="0"/>
        <w:jc w:val="left"/>
        <w:rPr>
          <w:rFonts w:ascii="Times New Roman" w:hAnsi="Times New Roman"/>
          <w:sz w:val="20"/>
        </w:rPr>
      </w:pPr>
      <w:r>
        <w:rPr>
          <w:rFonts w:ascii="Times New Roman" w:hAnsi="Times New Roman"/>
          <w:sz w:val="20"/>
        </w:rPr>
        <w:t xml:space="preserve">We reserve the right to request such information as is necessary to verify the identity of a subscriber. In some cases the directors may be satisfied that no further information is required since an exemption applies under the Anti-Money Laundering Regulations (As revised) of the Cayman Islands, as amended and revised from time to time (the “Regulations”). Depending on the circumstances of each application, a detailed verification of identity might not be required 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subscriber makes the payment for their investment from an account held in the subscriber’s name at a recognized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subscriber is regulated by a recognized regulatory authority and is based or incorporated in, or formed under the law of, a recognized jurisdiction;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 </w:t>
      </w:r>
    </w:p>
    <w:p>
      <w:pPr>
        <w:pStyle w:val="TextBody"/>
        <w:bidi w:val="0"/>
        <w:spacing w:before="240" w:after="0"/>
        <w:jc w:val="left"/>
        <w:rPr>
          <w:rFonts w:ascii="Times New Roman" w:hAnsi="Times New Roman"/>
          <w:sz w:val="20"/>
        </w:rPr>
      </w:pPr>
      <w:r>
        <w:rPr>
          <w:rFonts w:ascii="Times New Roman" w:hAnsi="Times New Roman"/>
          <w:sz w:val="20"/>
        </w:rPr>
        <w:t xml:space="preserve">We also reserve the right to refuse to make any distribution payment to a shareholder if our directors or officers suspect or are advised that the payment of such distribution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(“FRA”) or a nominated officer (appointed in accordance with the Proceeds of Crime Act (As Revised) of the Cayman Islands) if the disclosure relates to criminal conduct or money laundering, or (ii) the FRA or a police constable or a nominated officer, pursuant to the Terrorism Act (As Revised) of the Cayman Islands, if the disclosure relates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involvement with terrorism or terrorist financing and terrorist property. Such a report will not be treated as a breach of confidence or of any restriction upon the disclosure of information imposed by any enactment or otherwise. We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Should a shareholder or its duly authorized delegates or agents be, or become (or is believed by the company or its affiliates (“Agents”) to be or become) at any time while it owns or holds an interest in the company, (a) an individual or entity named on any sanctions list maintained by the United Kingdom (including as extended to the Cayman Islands by Orders in Council) or the Cayman Islands or any similar list maintained under applicable law or is otherwise subject to applicable sanctions in the Cayman Islands (a “Sanctions Subject”) or (b) an entity owned or controlled directly or indirectly by a Sanctions Subject, as determined by the company in its sole discretion, then (i) the company or its Agents may immediately and without notice to the shareholder cease any further dealings with the shareholder or freeze any dealings with the interests or accounts of the shareholder (e.g., by prohibiting payments by or to the shareholder or restricting or suspending dealings with the interests or accounts) or freeze the assets of the company (including interests or accounts of other shareholders who are not Sanctions Subjects), until the relevant person ceases to be a Sanctions Subject or a license is obtained under applicable law to continue such dealings (a “Sanctioned Persons Event”), (ii) the company and its Agents may be required to report such action or failure to comply with information requests and to disclose the shareholder’s identity (and/or the identity of the shareholder’s beneficial owners and control persons) to the Cayman Islands Monetary Authority, the Cayman Islands Financial Reporting Authority, or other applicable governmental or regulatory authorities (without notifying the Subscriber that such information has been so provided) and (iii) the company and its Agents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the shareholder as a result of a Sanctioned Persons Event. </w:t>
      </w:r>
    </w:p>
    <w:p>
      <w:pPr>
        <w:pStyle w:val="TextBody"/>
        <w:bidi w:val="0"/>
        <w:spacing w:before="360" w:after="0"/>
        <w:jc w:val="left"/>
        <w:rPr>
          <w:rFonts w:ascii="Times New Roman" w:hAnsi="Times New Roman"/>
          <w:b/>
          <w:sz w:val="20"/>
        </w:rPr>
      </w:pPr>
      <w:r>
        <w:rPr>
          <w:rFonts w:ascii="Times New Roman" w:hAnsi="Times New Roman"/>
          <w:b/>
          <w:sz w:val="20"/>
        </w:rPr>
        <w:t xml:space="preserve">Data Protection in the Cayman Islands — Privacy Notice </w:t>
      </w:r>
    </w:p>
    <w:p>
      <w:pPr>
        <w:pStyle w:val="TextBody"/>
        <w:bidi w:val="0"/>
        <w:spacing w:before="120" w:after="0"/>
        <w:jc w:val="left"/>
        <w:rPr>
          <w:rFonts w:ascii="Times New Roman" w:hAnsi="Times New Roman"/>
          <w:sz w:val="20"/>
        </w:rPr>
      </w:pPr>
      <w:r>
        <w:rPr>
          <w:rFonts w:ascii="Times New Roman" w:hAnsi="Times New Roman"/>
          <w:sz w:val="20"/>
        </w:rPr>
        <w:t xml:space="preserve">This privacy notice explains the manner in which the company collects, processes and maintains personal data about investors of the company pursuant to the Data Protection Act (Revised) of the Cayman Islands, as amended from time to time and any regulations, codes of practice or orders promulgated pursuant thereto (“DPL”).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committed to processing personal data in accordance with the DPL. In its use of personal data, the company will be characterized under the DPL as a ‘data controller’, whilst certain of the company’s service providers, affiliates and delegates may act as ‘data processors’ under the DPL. These service providers may process personal information for their own lawful purposes in connection with services provided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By virtue of making an investment in the company, the company and certain of the company’s service providers may collect, record, store, transfer and otherwise process personal data by which individuals may be directly or indirectly identified. </w:t>
      </w:r>
    </w:p>
    <w:p>
      <w:pPr>
        <w:pStyle w:val="TextBody"/>
        <w:bidi w:val="0"/>
        <w:spacing w:before="240" w:after="0"/>
        <w:jc w:val="left"/>
        <w:rPr>
          <w:rFonts w:ascii="Times New Roman" w:hAnsi="Times New Roman"/>
          <w:sz w:val="20"/>
        </w:rPr>
      </w:pPr>
      <w:r>
        <w:rPr>
          <w:rFonts w:ascii="Times New Roman" w:hAnsi="Times New Roman"/>
          <w:sz w:val="20"/>
        </w:rPr>
        <w:t xml:space="preserve">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(c) where the processing is for the purposes of legitimate interests pursued by the company or by a service provider to whom the data are disclosed, or (d) where you otherwise consent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processing of personal data for any other specific purpose. As a data controller, we will only use your personal data for the purposes for which we collected it. If we need to use your personal data for an unrelated purpose, we will contact you.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 Your personal data shall not be held by the company for longer than necessary with regard to the purposes of the data processing. </w:t>
      </w:r>
    </w:p>
    <w:p>
      <w:pPr>
        <w:pStyle w:val="TextBody"/>
        <w:bidi w:val="0"/>
        <w:spacing w:before="240" w:after="0"/>
        <w:jc w:val="left"/>
        <w:rPr>
          <w:rFonts w:ascii="Times New Roman" w:hAnsi="Times New Roman"/>
          <w:sz w:val="20"/>
        </w:rPr>
      </w:pPr>
      <w:r>
        <w:rPr>
          <w:rFonts w:ascii="Times New Roman" w:hAnsi="Times New Roman"/>
          <w:sz w:val="20"/>
        </w:rPr>
        <w:t xml:space="preserve">We will not sell your personal data. Any transfer of personal data outside of the Cayman Islands shall be in accordance with the requirements of the DPL. Where necessary, we will ensure that separate and appropriate legal agreements are put in place with the recipient of that data.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collect, use, disclose, retain and secure personal data to the extent reasonably required only and within the parameters that could be reasonably expected during the normal course of business. The company will only process, disclose, transfer or retain personal data to the extent legitimately required to conduct the activities of the company on an ongoing basis or to comply with legal and regulatory obligations to which we are subject. 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bidi w:val="0"/>
        <w:spacing w:before="240" w:after="0"/>
        <w:jc w:val="left"/>
        <w:rPr>
          <w:rFonts w:ascii="Times New Roman" w:hAnsi="Times New Roman"/>
          <w:sz w:val="20"/>
        </w:rPr>
      </w:pPr>
      <w:r>
        <w:rPr>
          <w:rFonts w:ascii="Times New Roman" w:hAnsi="Times New Roman"/>
          <w:sz w:val="20"/>
        </w:rPr>
        <w:t xml:space="preserve">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 </w:t>
      </w:r>
    </w:p>
    <w:p>
      <w:pPr>
        <w:pStyle w:val="TextBody"/>
        <w:bidi w:val="0"/>
        <w:spacing w:before="240" w:after="0"/>
        <w:jc w:val="left"/>
        <w:rPr>
          <w:rFonts w:ascii="Times New Roman" w:hAnsi="Times New Roman"/>
          <w:sz w:val="20"/>
        </w:rPr>
      </w:pPr>
      <w:r>
        <w:rPr>
          <w:rFonts w:ascii="Times New Roman" w:hAnsi="Times New Roman"/>
          <w:sz w:val="20"/>
        </w:rPr>
        <w:t xml:space="preserve">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as the data controller, may collect, store and use personal data for lawful purposes, including, in particular: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this is necessary for the performance of our rights and obligations under any purchase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this is necessary for compliance with a legal and regulatory obligation to which we are subject (such as compliance with anti-money laundering, counter terrorist financing, prevention of proliferation financing, financial sanctions and FATCA/CRS requirements);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this is necessary for the purposes of our legitimate interests and such interests are not overridden by your interests, fundamental rights or freedoms.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the company wish to use personal data for other specific purposes (including, if applicable, any purpose that requires your consent), we will contact you. </w:t>
      </w:r>
    </w:p>
    <w:p>
      <w:pPr>
        <w:pStyle w:val="TextBody"/>
        <w:bidi w:val="0"/>
        <w:spacing w:before="240" w:after="0"/>
        <w:jc w:val="left"/>
        <w:rPr>
          <w:rFonts w:ascii="Times New Roman" w:hAnsi="Times New Roman"/>
          <w:sz w:val="20"/>
        </w:rPr>
      </w:pPr>
      <w:r>
        <w:rPr>
          <w:rFonts w:ascii="Times New Roman" w:hAnsi="Times New Roman"/>
          <w:sz w:val="20"/>
        </w:rPr>
        <w:t xml:space="preserve">You have certain rights under the DPL, including (a) the right to be informed as to how we collect and use your personal data (and this privacy notice fulfills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info@ombudsman.ky or by accessing their website here: ombudsman.ky.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Provisions of our Amended and Restated Memorandum and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but unissued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preferred shares could render more difficult or discourage an attempt to obtain control of us by means of a proxy contest, tender offer, merger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prior to the closing of our initial business combination, only holders of our Class B ordinary shares will have the right to appoint and remove directors prior to or in connection with the completion of our initial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Extraordinary General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memorandum and articles of association will provide that extraordinary general meetings may be called only by a majority vote of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We will adopt a compensation recovery policy that is compliant with Nasdaq listing rules as required by the Dodd-Frank Act. </w:t>
      </w:r>
    </w:p>
    <w:p>
      <w:pPr>
        <w:pStyle w:val="TextBody"/>
        <w:bidi w:val="0"/>
        <w:spacing w:before="360" w:after="0"/>
        <w:jc w:val="left"/>
        <w:rPr>
          <w:rFonts w:ascii="Times New Roman" w:hAnsi="Times New Roman"/>
          <w:b/>
          <w:sz w:val="20"/>
        </w:rPr>
      </w:pPr>
      <w:r>
        <w:rPr>
          <w:rFonts w:ascii="Times New Roman" w:hAnsi="Times New Roman"/>
          <w:b/>
          <w:sz w:val="20"/>
        </w:rPr>
        <w:t xml:space="preserve">Advance Notice Requirements for Shareholder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memorandum and articles of association will provide that shareholders seeking to bring business before our annual general meeting, or to nominate candidates for appointment as directors at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annual general meeting must provide timely notice of their intent in writing. To be timely, a shareholder’s notice will need to be received by the company secretary at our principal executive offices not later than the close of business on the 90th day nor earlier than the close of business on the 120th day prior to the anniversary date of the immediately preceding annual general meeting. Pursuant to Rule 14a-8 under the Exchange Act, proposals seeking inclusion in our annual proxy statement must comply with the notice periods contained therein. Our amended and restated memorandum and articles of association will also specify certain requirements as to the form and content of a shareholders’ meeting. These provisions may preclude our shareholders from bringing matters before our annual general meeting or from making nominations for directors at our annual general meeting. Our amended and restated memorandum and articles of association will allow the chairman of the meeting at a meeting of the shareholders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these provisions, the insurance and the indemnity agreements are necessary to attract and retain talented and experienced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929696_16"/>
      <w:bookmarkEnd w:id="18"/>
      <w:r>
        <w:rPr>
          <w:rFonts w:ascii="Times New Roman" w:hAnsi="Times New Roman"/>
          <w:b/>
          <w:sz w:val="20"/>
        </w:rPr>
        <w:t xml:space="preserve">SECURITIES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this offering we will have 31,741,483 ordinary shares (or 36,472,057 ordinary shares if the over-allotment option is exercised in full) outstanding. Of these shares, the 22,000,000 public shares (or 25,300,000 public shares if the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6,826,286 founder shares (or 7,850,229 founder shares if the over-allotment is exercised in full), 2,577,522 private investor shares (or 2,964,203 private investor shares if the over-allotment is exercised in full) purchased by non-managing investors, and 337,675 private placement units (or 357,625 private placement units if the over-allotment is exercised in full) are restricted securities under Rule 144, in that they were issued in private transactions not involving a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Our sponsor, Lynrock, the non-managing investors and our management team have agreed not to transfer, assign or sell any of their founder shares and private investor shares (and underlying securities)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They have also agreed to lock-up the private placement units (and underlying securities) until thirty days after the date of the consummation of our initial business combination. The foregoing restrictions are not applicable to transfers (a) to our officers or directors, any affiliates or family members of any of our officers or directors, any members or partners of such holders or their affiliates, any affiliates of such holders,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investor shares or private placement units,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public shareholders having the right to exchange their public shares for cash, securities or other property subsequent to our completion of our initial business combination;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clauses (a) through (f) these permitted transferees have entered into a written agreement agreeing to be bound by these transfer restrictions and the other restrictions contained in the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letter agreement with our sponsor, executive officers and directors that includes the transfer restrictions described in the foregoing may be amended without shareholder approval with our written consent as well as the written consent of the sponsor and our directors and officers to the extent they are the subject of any change, amendment, modification or waiver to the letter agreement. The written consent of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this prospectus, they will not, without the prior written consent of the Representative, offer, sell, contract to sell, pledge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dispose of, directly or indirectly, Class A ordinary shares or any other securities convertible into, or exercisable, or exchangeable for, Class A ordinary shares (for more information on the transfer restrictions included in the underwriting agreement, also see “</w:t>
      </w:r>
      <w:r>
        <w:rPr>
          <w:rFonts w:ascii="Times New Roman" w:hAnsi="Times New Roman"/>
          <w:i/>
          <w:sz w:val="20"/>
        </w:rPr>
        <w:t>Securities Eligible for Future Sale—Contractual Transfer Restrictions</w:t>
      </w:r>
      <w:r>
        <w:rPr>
          <w:rFonts w:ascii="Times New Roman" w:hAnsi="Times New Roman"/>
          <w:sz w:val="20"/>
        </w:rPr>
        <w:t xml:space="preserve">”).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144, a person who has beneficially owned restricted securities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w:t>
      </w:r>
    </w:p>
    <w:p>
      <w:pPr>
        <w:pStyle w:val="TextBody"/>
        <w:bidi w:val="0"/>
        <w:spacing w:before="240" w:after="0"/>
        <w:jc w:val="left"/>
        <w:rPr>
          <w:rFonts w:ascii="Times New Roman" w:hAnsi="Times New Roman"/>
          <w:sz w:val="20"/>
        </w:rPr>
      </w:pPr>
      <w:r>
        <w:rPr>
          <w:rFonts w:ascii="Times New Roman" w:hAnsi="Times New Roman"/>
          <w:sz w:val="20"/>
        </w:rPr>
        <w:t xml:space="preserve">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our ordinary shares then outstanding, which will equal 317,414 shares immediately after this offering (or 364,720 if the underwriters exercise their over-allotment option in full);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shares of our public shares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our affiliates under Rule 144 are also limited by manner of sale provisions and notice requirements and to the availability of current public information about us.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the Use of Rule 144 by Shell Companies or Former Shell Companies </w:t>
      </w:r>
    </w:p>
    <w:p>
      <w:pPr>
        <w:pStyle w:val="TextBody"/>
        <w:bidi w:val="0"/>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12 months (or such shorter period that the issuer was required to file such reports and materials), other than Current Reports on Form 8-K;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our initial shareholders will be able to sell their founder shares, private investor shares, private placement shares and shares issued upon conversion of the private placement rights upon the consummation of our initial business combination, as applicable, pursuant to Rule 144 without registration one year after we have completed our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below table summarizes the material terms of the restrictions described in the subsections above and whether and when our initial shareholders may sell securities purchased in connection with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8"/>
        <w:gridCol w:w="203"/>
        <w:gridCol w:w="1474"/>
        <w:gridCol w:w="203"/>
        <w:gridCol w:w="1872"/>
        <w:gridCol w:w="121"/>
        <w:gridCol w:w="4854"/>
      </w:tblGrid>
      <w:tr>
        <w:trPr/>
        <w:tc>
          <w:tcPr>
            <w:tcW w:w="147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83"/>
              <w:jc w:val="left"/>
              <w:rPr>
                <w:b/>
              </w:rPr>
            </w:pPr>
            <w:r>
              <w:rPr>
                <w:b/>
              </w:rPr>
              <w:t>Stakeholder</w:t>
            </w:r>
          </w:p>
        </w:tc>
        <w:tc>
          <w:tcPr>
            <w:tcW w:w="203" w:type="dxa"/>
            <w:tcBorders/>
            <w:vAlign w:val="bottom"/>
          </w:tcPr>
          <w:p>
            <w:pPr>
              <w:pStyle w:val="TableContents"/>
              <w:bidi w:val="0"/>
              <w:spacing w:before="0" w:after="283"/>
              <w:jc w:val="left"/>
              <w:rPr/>
            </w:pPr>
            <w:r>
              <w:rPr/>
              <w:t>  </w:t>
            </w:r>
          </w:p>
        </w:tc>
        <w:tc>
          <w:tcPr>
            <w:tcW w:w="147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Market Standoff</w:t>
            </w:r>
          </w:p>
          <w:p>
            <w:pPr>
              <w:pStyle w:val="TableContents"/>
              <w:bidi w:val="0"/>
              <w:spacing w:before="0" w:after="20"/>
              <w:jc w:val="center"/>
              <w:rPr>
                <w:rFonts w:ascii="Times New Roman" w:hAnsi="Times New Roman"/>
                <w:b/>
                <w:sz w:val="16"/>
              </w:rPr>
            </w:pPr>
            <w:r>
              <w:rPr>
                <w:rFonts w:ascii="Times New Roman" w:hAnsi="Times New Roman"/>
                <w:b/>
                <w:sz w:val="16"/>
              </w:rPr>
              <w:t>Restrictions</w:t>
            </w:r>
          </w:p>
        </w:tc>
        <w:tc>
          <w:tcPr>
            <w:tcW w:w="203" w:type="dxa"/>
            <w:tcBorders/>
            <w:vAlign w:val="bottom"/>
          </w:tcPr>
          <w:p>
            <w:pPr>
              <w:pStyle w:val="TableContents"/>
              <w:bidi w:val="0"/>
              <w:spacing w:before="0" w:after="283"/>
              <w:jc w:val="left"/>
              <w:rPr/>
            </w:pPr>
            <w:r>
              <w:rPr/>
              <w:t>  </w:t>
            </w:r>
          </w:p>
        </w:tc>
        <w:tc>
          <w:tcPr>
            <w:tcW w:w="187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Subject to</w:t>
              <w:br/>
              <w:t>Market</w:t>
            </w:r>
          </w:p>
          <w:p>
            <w:pPr>
              <w:pStyle w:val="TableContents"/>
              <w:bidi w:val="0"/>
              <w:spacing w:before="0" w:after="20"/>
              <w:jc w:val="center"/>
              <w:rPr>
                <w:rFonts w:ascii="Times New Roman" w:hAnsi="Times New Roman"/>
                <w:b/>
                <w:sz w:val="16"/>
              </w:rPr>
            </w:pPr>
            <w:r>
              <w:rPr>
                <w:rFonts w:ascii="Times New Roman" w:hAnsi="Times New Roman"/>
                <w:b/>
                <w:sz w:val="16"/>
              </w:rPr>
              <w:t>Standoff</w:t>
              <w:br/>
              <w:t>Restrictions(1)</w:t>
            </w:r>
          </w:p>
        </w:tc>
        <w:tc>
          <w:tcPr>
            <w:tcW w:w="121" w:type="dxa"/>
            <w:tcBorders/>
            <w:vAlign w:val="bottom"/>
          </w:tcPr>
          <w:p>
            <w:pPr>
              <w:pStyle w:val="TableContents"/>
              <w:bidi w:val="0"/>
              <w:spacing w:before="0" w:after="283"/>
              <w:jc w:val="left"/>
              <w:rPr/>
            </w:pPr>
            <w:r>
              <w:rPr/>
              <w:t>  </w:t>
            </w:r>
          </w:p>
        </w:tc>
        <w:tc>
          <w:tcPr>
            <w:tcW w:w="48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Market Standoff Period(2)</w:t>
            </w:r>
          </w:p>
        </w:tc>
      </w:tr>
      <w:tr>
        <w:trPr/>
        <w:tc>
          <w:tcPr>
            <w:tcW w:w="1478" w:type="dxa"/>
            <w:tcBorders/>
          </w:tcPr>
          <w:p>
            <w:pPr>
              <w:pStyle w:val="TableContents"/>
              <w:bidi w:val="0"/>
              <w:spacing w:before="0" w:after="283"/>
              <w:jc w:val="left"/>
              <w:rPr/>
            </w:pPr>
            <w:r>
              <w:rPr/>
              <w:t>Sponsor</w:t>
            </w:r>
          </w:p>
        </w:tc>
        <w:tc>
          <w:tcPr>
            <w:tcW w:w="203" w:type="dxa"/>
            <w:tcBorders/>
            <w:vAlign w:val="bottom"/>
          </w:tcPr>
          <w:p>
            <w:pPr>
              <w:pStyle w:val="TableContents"/>
              <w:bidi w:val="0"/>
              <w:spacing w:before="0" w:after="283"/>
              <w:jc w:val="left"/>
              <w:rPr/>
            </w:pPr>
            <w:r>
              <w:rPr/>
              <w:t>  </w:t>
            </w:r>
          </w:p>
        </w:tc>
        <w:tc>
          <w:tcPr>
            <w:tcW w:w="1474" w:type="dxa"/>
            <w:tcBorders/>
          </w:tcPr>
          <w:p>
            <w:pPr>
              <w:pStyle w:val="TableContents"/>
              <w:bidi w:val="0"/>
              <w:spacing w:before="0" w:after="283"/>
              <w:jc w:val="left"/>
              <w:rPr/>
            </w:pPr>
            <w:r>
              <w:rPr/>
              <w:t>Letter Agreement</w:t>
            </w:r>
          </w:p>
        </w:tc>
        <w:tc>
          <w:tcPr>
            <w:tcW w:w="20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Founder shares</w:t>
            </w:r>
          </w:p>
        </w:tc>
        <w:tc>
          <w:tcPr>
            <w:tcW w:w="121"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pPr>
            <w:r>
              <w:rPr/>
              <w:t xml:space="preserve">Subject to the exceptions described above, the earlier of (A) six months after the date of the consummation of our initial business combination or (B) subsequent to our initial business combination, (x) the date on which the last sale price of our ordinary shares equals or exceeds $11.50 per share (as adjusted for </w:t>
            </w:r>
            <w:r>
              <w:rPr>
                <w:sz w:val="20"/>
              </w:rPr>
              <w:t>S</w:t>
            </w:r>
            <w:r>
              <w:rPr/>
              <w:t>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tc>
      </w:tr>
      <w:tr>
        <w:trPr>
          <w:trHeight w:val="120" w:hRule="atLeast"/>
        </w:trPr>
        <w:tc>
          <w:tcPr>
            <w:tcW w:w="1478" w:type="dxa"/>
            <w:tcBorders/>
            <w:vAlign w:val="center"/>
          </w:tcPr>
          <w:p>
            <w:pPr>
              <w:pStyle w:val="TableContents"/>
              <w:bidi w:val="0"/>
              <w:spacing w:before="0" w:after="283"/>
              <w:jc w:val="left"/>
              <w:rPr>
                <w:sz w:val="4"/>
                <w:szCs w:val="4"/>
              </w:rPr>
            </w:pPr>
            <w:r>
              <w:rPr>
                <w:sz w:val="4"/>
                <w:szCs w:val="4"/>
              </w:rPr>
            </w:r>
          </w:p>
        </w:tc>
        <w:tc>
          <w:tcPr>
            <w:tcW w:w="1677"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4975" w:type="dxa"/>
            <w:gridSpan w:val="2"/>
            <w:tcBorders/>
            <w:vAlign w:val="center"/>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7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Private placement units (and underlying securities)</w:t>
            </w:r>
          </w:p>
        </w:tc>
        <w:tc>
          <w:tcPr>
            <w:tcW w:w="121"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pPr>
            <w:r>
              <w:rPr/>
              <w:t>Subject to the exceptions described above, thirty days after the date of the consummation of our initial business combination.</w:t>
            </w:r>
          </w:p>
        </w:tc>
      </w:tr>
      <w:tr>
        <w:trPr>
          <w:trHeight w:val="120" w:hRule="atLeast"/>
        </w:trPr>
        <w:tc>
          <w:tcPr>
            <w:tcW w:w="1478" w:type="dxa"/>
            <w:tcBorders/>
            <w:vAlign w:val="center"/>
          </w:tcPr>
          <w:p>
            <w:pPr>
              <w:pStyle w:val="TableContents"/>
              <w:bidi w:val="0"/>
              <w:spacing w:before="0" w:after="283"/>
              <w:jc w:val="left"/>
              <w:rPr>
                <w:sz w:val="4"/>
                <w:szCs w:val="4"/>
              </w:rPr>
            </w:pPr>
            <w:r>
              <w:rPr>
                <w:sz w:val="4"/>
                <w:szCs w:val="4"/>
              </w:rPr>
            </w:r>
          </w:p>
        </w:tc>
        <w:tc>
          <w:tcPr>
            <w:tcW w:w="1677"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4975" w:type="dxa"/>
            <w:gridSpan w:val="2"/>
            <w:tcBorders/>
            <w:vAlign w:val="center"/>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7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Public shares (if any purchased in connection with this offering)</w:t>
            </w:r>
          </w:p>
        </w:tc>
        <w:tc>
          <w:tcPr>
            <w:tcW w:w="121"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pPr>
            <w:r>
              <w:rPr/>
              <w:t>180 days from the date of this prospectus</w:t>
            </w:r>
          </w:p>
        </w:tc>
      </w:tr>
      <w:tr>
        <w:trPr>
          <w:trHeight w:val="120" w:hRule="atLeast"/>
        </w:trPr>
        <w:tc>
          <w:tcPr>
            <w:tcW w:w="1478" w:type="dxa"/>
            <w:tcBorders/>
            <w:vAlign w:val="center"/>
          </w:tcPr>
          <w:p>
            <w:pPr>
              <w:pStyle w:val="TableContents"/>
              <w:bidi w:val="0"/>
              <w:spacing w:before="0" w:after="283"/>
              <w:jc w:val="left"/>
              <w:rPr>
                <w:sz w:val="4"/>
                <w:szCs w:val="4"/>
              </w:rPr>
            </w:pPr>
            <w:r>
              <w:rPr>
                <w:sz w:val="4"/>
                <w:szCs w:val="4"/>
              </w:rPr>
            </w:r>
          </w:p>
        </w:tc>
        <w:tc>
          <w:tcPr>
            <w:tcW w:w="1677"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4975" w:type="dxa"/>
            <w:gridSpan w:val="2"/>
            <w:tcBorders/>
            <w:vAlign w:val="center"/>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283"/>
              <w:jc w:val="left"/>
              <w:rPr/>
            </w:pPr>
            <w:r>
              <w:rPr/>
              <w:t>Directors and officers</w:t>
            </w:r>
          </w:p>
        </w:tc>
        <w:tc>
          <w:tcPr>
            <w:tcW w:w="203" w:type="dxa"/>
            <w:tcBorders/>
            <w:vAlign w:val="bottom"/>
          </w:tcPr>
          <w:p>
            <w:pPr>
              <w:pStyle w:val="TableContents"/>
              <w:bidi w:val="0"/>
              <w:spacing w:before="0" w:after="283"/>
              <w:jc w:val="left"/>
              <w:rPr/>
            </w:pPr>
            <w:r>
              <w:rPr/>
              <w:t>  </w:t>
            </w:r>
          </w:p>
        </w:tc>
        <w:tc>
          <w:tcPr>
            <w:tcW w:w="1474" w:type="dxa"/>
            <w:tcBorders/>
          </w:tcPr>
          <w:p>
            <w:pPr>
              <w:pStyle w:val="TableContents"/>
              <w:bidi w:val="0"/>
              <w:spacing w:before="0" w:after="283"/>
              <w:jc w:val="left"/>
              <w:rPr/>
            </w:pPr>
            <w:r>
              <w:rPr/>
              <w:t>Letter Agreement</w:t>
            </w:r>
          </w:p>
        </w:tc>
        <w:tc>
          <w:tcPr>
            <w:tcW w:w="20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Founder shares</w:t>
            </w:r>
          </w:p>
        </w:tc>
        <w:tc>
          <w:tcPr>
            <w:tcW w:w="121"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pPr>
            <w:r>
              <w:rPr/>
              <w:t>Subject to the exceptions described above,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tc>
      </w:tr>
      <w:tr>
        <w:trPr>
          <w:trHeight w:val="120" w:hRule="atLeast"/>
        </w:trPr>
        <w:tc>
          <w:tcPr>
            <w:tcW w:w="1478" w:type="dxa"/>
            <w:tcBorders/>
            <w:vAlign w:val="center"/>
          </w:tcPr>
          <w:p>
            <w:pPr>
              <w:pStyle w:val="TableContents"/>
              <w:bidi w:val="0"/>
              <w:spacing w:before="0" w:after="283"/>
              <w:jc w:val="left"/>
              <w:rPr>
                <w:sz w:val="4"/>
                <w:szCs w:val="4"/>
              </w:rPr>
            </w:pPr>
            <w:r>
              <w:rPr>
                <w:sz w:val="4"/>
                <w:szCs w:val="4"/>
              </w:rPr>
            </w:r>
          </w:p>
        </w:tc>
        <w:tc>
          <w:tcPr>
            <w:tcW w:w="1677"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4975" w:type="dxa"/>
            <w:gridSpan w:val="2"/>
            <w:tcBorders/>
            <w:vAlign w:val="center"/>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7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Private placement units (and underlying securities)</w:t>
            </w:r>
          </w:p>
        </w:tc>
        <w:tc>
          <w:tcPr>
            <w:tcW w:w="121"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pPr>
            <w:r>
              <w:rPr/>
              <w:t>Subject to the exceptions described above, thirty days after the date of the consummation of our initial business combination.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535"/>
        <w:gridCol w:w="206"/>
        <w:gridCol w:w="1475"/>
        <w:gridCol w:w="206"/>
        <w:gridCol w:w="1259"/>
        <w:gridCol w:w="120"/>
        <w:gridCol w:w="5404"/>
      </w:tblGrid>
      <w:tr>
        <w:trPr/>
        <w:tc>
          <w:tcPr>
            <w:tcW w:w="153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04"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bottom"/>
          </w:tcPr>
          <w:p>
            <w:pPr>
              <w:pStyle w:val="TableContents"/>
              <w:bidi w:val="0"/>
              <w:spacing w:before="0" w:after="283"/>
              <w:jc w:val="left"/>
              <w:rPr>
                <w:b/>
              </w:rPr>
            </w:pPr>
            <w:r>
              <w:rPr>
                <w:b/>
              </w:rPr>
              <w:t>Stakeholder</w:t>
            </w:r>
          </w:p>
        </w:tc>
        <w:tc>
          <w:tcPr>
            <w:tcW w:w="206" w:type="dxa"/>
            <w:tcBorders/>
            <w:vAlign w:val="bottom"/>
          </w:tcPr>
          <w:p>
            <w:pPr>
              <w:pStyle w:val="TableContents"/>
              <w:bidi w:val="0"/>
              <w:spacing w:before="0" w:after="283"/>
              <w:jc w:val="left"/>
              <w:rPr/>
            </w:pPr>
            <w:r>
              <w:rPr/>
              <w:t>  </w:t>
            </w:r>
          </w:p>
        </w:tc>
        <w:tc>
          <w:tcPr>
            <w:tcW w:w="147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Market Standoff</w:t>
            </w:r>
          </w:p>
          <w:p>
            <w:pPr>
              <w:pStyle w:val="TableContents"/>
              <w:bidi w:val="0"/>
              <w:spacing w:before="0" w:after="20"/>
              <w:jc w:val="center"/>
              <w:rPr>
                <w:rFonts w:ascii="Times New Roman" w:hAnsi="Times New Roman"/>
                <w:b/>
                <w:sz w:val="16"/>
              </w:rPr>
            </w:pPr>
            <w:r>
              <w:rPr>
                <w:rFonts w:ascii="Times New Roman" w:hAnsi="Times New Roman"/>
                <w:b/>
                <w:sz w:val="16"/>
              </w:rPr>
              <w:t>Restrictions</w:t>
            </w:r>
          </w:p>
        </w:tc>
        <w:tc>
          <w:tcPr>
            <w:tcW w:w="206" w:type="dxa"/>
            <w:tcBorders/>
            <w:vAlign w:val="bottom"/>
          </w:tcPr>
          <w:p>
            <w:pPr>
              <w:pStyle w:val="TableContents"/>
              <w:bidi w:val="0"/>
              <w:spacing w:before="0" w:after="283"/>
              <w:jc w:val="left"/>
              <w:rPr/>
            </w:pPr>
            <w:r>
              <w:rPr/>
              <w:t>  </w:t>
            </w:r>
          </w:p>
        </w:tc>
        <w:tc>
          <w:tcPr>
            <w:tcW w:w="125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Subject</w:t>
              <w:br/>
              <w:t>to Market</w:t>
            </w:r>
          </w:p>
          <w:p>
            <w:pPr>
              <w:pStyle w:val="TableContents"/>
              <w:bidi w:val="0"/>
              <w:spacing w:before="0" w:after="20"/>
              <w:jc w:val="center"/>
              <w:rPr>
                <w:rFonts w:ascii="Times New Roman" w:hAnsi="Times New Roman"/>
                <w:b/>
                <w:sz w:val="16"/>
              </w:rPr>
            </w:pPr>
            <w:r>
              <w:rPr>
                <w:rFonts w:ascii="Times New Roman" w:hAnsi="Times New Roman"/>
                <w:b/>
                <w:sz w:val="16"/>
              </w:rPr>
              <w:t>Standoff</w:t>
              <w:br/>
              <w:t>Restrictions(1)</w:t>
            </w:r>
          </w:p>
        </w:tc>
        <w:tc>
          <w:tcPr>
            <w:tcW w:w="120" w:type="dxa"/>
            <w:tcBorders/>
            <w:vAlign w:val="bottom"/>
          </w:tcPr>
          <w:p>
            <w:pPr>
              <w:pStyle w:val="TableContents"/>
              <w:bidi w:val="0"/>
              <w:spacing w:before="0" w:after="283"/>
              <w:jc w:val="left"/>
              <w:rPr/>
            </w:pPr>
            <w:r>
              <w:rPr/>
              <w:t>  </w:t>
            </w:r>
          </w:p>
        </w:tc>
        <w:tc>
          <w:tcPr>
            <w:tcW w:w="54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Market Standoff Period(2)</w:t>
            </w:r>
          </w:p>
        </w:tc>
      </w:tr>
      <w:tr>
        <w:trPr>
          <w:trHeight w:val="120" w:hRule="atLeast"/>
        </w:trPr>
        <w:tc>
          <w:tcPr>
            <w:tcW w:w="1535" w:type="dxa"/>
            <w:tcBorders/>
            <w:vAlign w:val="center"/>
          </w:tcPr>
          <w:p>
            <w:pPr>
              <w:pStyle w:val="TableContents"/>
              <w:bidi w:val="0"/>
              <w:spacing w:before="0" w:after="283"/>
              <w:jc w:val="left"/>
              <w:rPr>
                <w:sz w:val="4"/>
                <w:szCs w:val="4"/>
              </w:rPr>
            </w:pPr>
            <w:r>
              <w:rPr>
                <w:sz w:val="4"/>
                <w:szCs w:val="4"/>
              </w:rPr>
            </w:r>
          </w:p>
        </w:tc>
        <w:tc>
          <w:tcPr>
            <w:tcW w:w="1681" w:type="dxa"/>
            <w:gridSpan w:val="2"/>
            <w:tcBorders/>
            <w:vAlign w:val="center"/>
          </w:tcPr>
          <w:p>
            <w:pPr>
              <w:pStyle w:val="TableContents"/>
              <w:bidi w:val="0"/>
              <w:spacing w:before="0" w:after="283"/>
              <w:jc w:val="left"/>
              <w:rPr>
                <w:sz w:val="4"/>
                <w:szCs w:val="4"/>
              </w:rPr>
            </w:pPr>
            <w:r>
              <w:rPr>
                <w:sz w:val="4"/>
                <w:szCs w:val="4"/>
              </w:rPr>
            </w:r>
          </w:p>
        </w:tc>
        <w:tc>
          <w:tcPr>
            <w:tcW w:w="1465" w:type="dxa"/>
            <w:gridSpan w:val="2"/>
            <w:tcBorders/>
            <w:vAlign w:val="center"/>
          </w:tcPr>
          <w:p>
            <w:pPr>
              <w:pStyle w:val="TableContents"/>
              <w:bidi w:val="0"/>
              <w:spacing w:before="0" w:after="283"/>
              <w:jc w:val="left"/>
              <w:rPr>
                <w:sz w:val="4"/>
                <w:szCs w:val="4"/>
              </w:rPr>
            </w:pPr>
            <w:r>
              <w:rPr>
                <w:sz w:val="4"/>
                <w:szCs w:val="4"/>
              </w:rPr>
            </w:r>
          </w:p>
        </w:tc>
        <w:tc>
          <w:tcPr>
            <w:tcW w:w="5524" w:type="dxa"/>
            <w:gridSpan w:val="2"/>
            <w:tcBorders/>
            <w:vAlign w:val="center"/>
          </w:tcPr>
          <w:p>
            <w:pPr>
              <w:pStyle w:val="TableContents"/>
              <w:bidi w:val="0"/>
              <w:spacing w:before="0" w:after="283"/>
              <w:jc w:val="left"/>
              <w:rPr>
                <w:sz w:val="4"/>
                <w:szCs w:val="4"/>
              </w:rPr>
            </w:pPr>
            <w:r>
              <w:rPr>
                <w:sz w:val="4"/>
                <w:szCs w:val="4"/>
              </w:rPr>
            </w:r>
          </w:p>
        </w:tc>
      </w:tr>
      <w:tr>
        <w:trPr/>
        <w:tc>
          <w:tcPr>
            <w:tcW w:w="1535"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75"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left"/>
              <w:rPr/>
            </w:pPr>
            <w:r>
              <w:rPr/>
              <w:t>Public shares (if any purchased in connection with this offering)</w:t>
            </w:r>
          </w:p>
        </w:tc>
        <w:tc>
          <w:tcPr>
            <w:tcW w:w="120" w:type="dxa"/>
            <w:tcBorders/>
            <w:vAlign w:val="bottom"/>
          </w:tcPr>
          <w:p>
            <w:pPr>
              <w:pStyle w:val="TableContents"/>
              <w:bidi w:val="0"/>
              <w:spacing w:before="0" w:after="283"/>
              <w:jc w:val="left"/>
              <w:rPr/>
            </w:pPr>
            <w:r>
              <w:rPr/>
              <w:t>  </w:t>
            </w:r>
          </w:p>
        </w:tc>
        <w:tc>
          <w:tcPr>
            <w:tcW w:w="5404" w:type="dxa"/>
            <w:tcBorders/>
          </w:tcPr>
          <w:p>
            <w:pPr>
              <w:pStyle w:val="TableContents"/>
              <w:bidi w:val="0"/>
              <w:spacing w:before="0" w:after="283"/>
              <w:jc w:val="left"/>
              <w:rPr/>
            </w:pPr>
            <w:r>
              <w:rPr/>
              <w:t>180 days from the date of this prospectus</w:t>
            </w:r>
          </w:p>
        </w:tc>
      </w:tr>
      <w:tr>
        <w:trPr/>
        <w:tc>
          <w:tcPr>
            <w:tcW w:w="1535" w:type="dxa"/>
            <w:tcBorders/>
          </w:tcPr>
          <w:p>
            <w:pPr>
              <w:pStyle w:val="TableContents"/>
              <w:bidi w:val="0"/>
              <w:spacing w:before="0" w:after="283"/>
              <w:jc w:val="left"/>
              <w:rPr/>
            </w:pPr>
            <w:r>
              <w:rPr/>
              <w:t>Non-managing investors</w:t>
            </w:r>
          </w:p>
        </w:tc>
        <w:tc>
          <w:tcPr>
            <w:tcW w:w="206" w:type="dxa"/>
            <w:tcBorders/>
            <w:vAlign w:val="bottom"/>
          </w:tcPr>
          <w:p>
            <w:pPr>
              <w:pStyle w:val="TableContents"/>
              <w:bidi w:val="0"/>
              <w:spacing w:before="0" w:after="283"/>
              <w:jc w:val="left"/>
              <w:rPr/>
            </w:pPr>
            <w:r>
              <w:rPr/>
              <w:t>  </w:t>
            </w:r>
          </w:p>
        </w:tc>
        <w:tc>
          <w:tcPr>
            <w:tcW w:w="1475" w:type="dxa"/>
            <w:tcBorders/>
          </w:tcPr>
          <w:p>
            <w:pPr>
              <w:pStyle w:val="TableContents"/>
              <w:bidi w:val="0"/>
              <w:spacing w:before="0" w:after="283"/>
              <w:jc w:val="left"/>
              <w:rPr/>
            </w:pPr>
            <w:r>
              <w:rPr/>
              <w:t>Subscription Agreements</w:t>
            </w:r>
          </w:p>
        </w:tc>
        <w:tc>
          <w:tcPr>
            <w:tcW w:w="206"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left"/>
              <w:rPr/>
            </w:pPr>
            <w:r>
              <w:rPr/>
              <w:t>Private placement units (and underlying securities)</w:t>
            </w:r>
          </w:p>
        </w:tc>
        <w:tc>
          <w:tcPr>
            <w:tcW w:w="120" w:type="dxa"/>
            <w:tcBorders/>
            <w:vAlign w:val="bottom"/>
          </w:tcPr>
          <w:p>
            <w:pPr>
              <w:pStyle w:val="TableContents"/>
              <w:bidi w:val="0"/>
              <w:spacing w:before="0" w:after="283"/>
              <w:jc w:val="left"/>
              <w:rPr/>
            </w:pPr>
            <w:r>
              <w:rPr/>
              <w:t>  </w:t>
            </w:r>
          </w:p>
        </w:tc>
        <w:tc>
          <w:tcPr>
            <w:tcW w:w="5404" w:type="dxa"/>
            <w:tcBorders/>
          </w:tcPr>
          <w:p>
            <w:pPr>
              <w:pStyle w:val="TableContents"/>
              <w:bidi w:val="0"/>
              <w:spacing w:before="0" w:after="283"/>
              <w:jc w:val="left"/>
              <w:rPr/>
            </w:pPr>
            <w:r>
              <w:rPr/>
              <w:t>Subject to the exceptions described above, thirty days after the date of the consummation of our initial business combination.</w:t>
            </w:r>
          </w:p>
        </w:tc>
      </w:tr>
      <w:tr>
        <w:trPr>
          <w:trHeight w:val="120" w:hRule="atLeast"/>
        </w:trPr>
        <w:tc>
          <w:tcPr>
            <w:tcW w:w="1535" w:type="dxa"/>
            <w:tcBorders/>
            <w:vAlign w:val="center"/>
          </w:tcPr>
          <w:p>
            <w:pPr>
              <w:pStyle w:val="TableContents"/>
              <w:bidi w:val="0"/>
              <w:spacing w:before="0" w:after="283"/>
              <w:jc w:val="left"/>
              <w:rPr>
                <w:sz w:val="4"/>
                <w:szCs w:val="4"/>
              </w:rPr>
            </w:pPr>
            <w:r>
              <w:rPr>
                <w:sz w:val="4"/>
                <w:szCs w:val="4"/>
              </w:rPr>
            </w:r>
          </w:p>
        </w:tc>
        <w:tc>
          <w:tcPr>
            <w:tcW w:w="1681" w:type="dxa"/>
            <w:gridSpan w:val="2"/>
            <w:tcBorders/>
            <w:vAlign w:val="center"/>
          </w:tcPr>
          <w:p>
            <w:pPr>
              <w:pStyle w:val="TableContents"/>
              <w:bidi w:val="0"/>
              <w:spacing w:before="0" w:after="283"/>
              <w:jc w:val="left"/>
              <w:rPr>
                <w:sz w:val="4"/>
                <w:szCs w:val="4"/>
              </w:rPr>
            </w:pPr>
            <w:r>
              <w:rPr>
                <w:sz w:val="4"/>
                <w:szCs w:val="4"/>
              </w:rPr>
            </w:r>
          </w:p>
        </w:tc>
        <w:tc>
          <w:tcPr>
            <w:tcW w:w="1465" w:type="dxa"/>
            <w:gridSpan w:val="2"/>
            <w:tcBorders/>
            <w:vAlign w:val="center"/>
          </w:tcPr>
          <w:p>
            <w:pPr>
              <w:pStyle w:val="TableContents"/>
              <w:bidi w:val="0"/>
              <w:spacing w:before="0" w:after="283"/>
              <w:jc w:val="left"/>
              <w:rPr>
                <w:sz w:val="4"/>
                <w:szCs w:val="4"/>
              </w:rPr>
            </w:pPr>
            <w:r>
              <w:rPr>
                <w:sz w:val="4"/>
                <w:szCs w:val="4"/>
              </w:rPr>
            </w:r>
          </w:p>
        </w:tc>
        <w:tc>
          <w:tcPr>
            <w:tcW w:w="5524" w:type="dxa"/>
            <w:gridSpan w:val="2"/>
            <w:tcBorders/>
            <w:vAlign w:val="center"/>
          </w:tcPr>
          <w:p>
            <w:pPr>
              <w:pStyle w:val="TableContents"/>
              <w:bidi w:val="0"/>
              <w:spacing w:before="0" w:after="283"/>
              <w:jc w:val="left"/>
              <w:rPr>
                <w:sz w:val="4"/>
                <w:szCs w:val="4"/>
              </w:rPr>
            </w:pPr>
            <w:r>
              <w:rPr>
                <w:sz w:val="4"/>
                <w:szCs w:val="4"/>
              </w:rPr>
            </w:r>
          </w:p>
        </w:tc>
      </w:tr>
      <w:tr>
        <w:trPr/>
        <w:tc>
          <w:tcPr>
            <w:tcW w:w="1535"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75"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left"/>
              <w:rPr/>
            </w:pPr>
            <w:r>
              <w:rPr/>
              <w:t>Private investor shares</w:t>
            </w:r>
          </w:p>
        </w:tc>
        <w:tc>
          <w:tcPr>
            <w:tcW w:w="120" w:type="dxa"/>
            <w:tcBorders/>
            <w:vAlign w:val="bottom"/>
          </w:tcPr>
          <w:p>
            <w:pPr>
              <w:pStyle w:val="TableContents"/>
              <w:bidi w:val="0"/>
              <w:spacing w:before="0" w:after="283"/>
              <w:jc w:val="left"/>
              <w:rPr/>
            </w:pPr>
            <w:r>
              <w:rPr/>
              <w:t>  </w:t>
            </w:r>
          </w:p>
        </w:tc>
        <w:tc>
          <w:tcPr>
            <w:tcW w:w="5404" w:type="dxa"/>
            <w:tcBorders/>
          </w:tcPr>
          <w:p>
            <w:pPr>
              <w:pStyle w:val="TableContents"/>
              <w:bidi w:val="0"/>
              <w:spacing w:before="0" w:after="283"/>
              <w:jc w:val="left"/>
              <w:rPr/>
            </w:pPr>
            <w:r>
              <w:rPr/>
              <w:t>Subject to the exceptions described above,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For more information on the number securities beneficial held by our initial shareholders, please see the section entitled “</w:t>
            </w:r>
            <w:r>
              <w:rPr>
                <w:rFonts w:ascii="Times New Roman" w:hAnsi="Times New Roman"/>
                <w:i/>
                <w:sz w:val="20"/>
              </w:rPr>
              <w:t>Principal Shareholders</w:t>
            </w:r>
            <w:r>
              <w:rPr>
                <w:rFonts w:ascii="Times New Roman" w:hAnsi="Times New Roman"/>
                <w:sz w:val="20"/>
              </w:rPr>
              <w:t xml:space="preserve">” in this prospectus.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founder shares, private investor shares and private placement shares issued in connection with this offering are restricted securities and subject to the limitations on transfer described above under “</w:t>
            </w:r>
            <w:r>
              <w:rPr>
                <w:rFonts w:ascii="Times New Roman" w:hAnsi="Times New Roman"/>
                <w:i/>
                <w:sz w:val="20"/>
              </w:rPr>
              <w:t>Securities Eligible for Future Sale — Rule 144.</w:t>
            </w:r>
            <w:r>
              <w:rPr>
                <w:rFonts w:ascii="Times New Roman" w:hAnsi="Times New Roman"/>
                <w:sz w:val="20"/>
              </w:rPr>
              <w:t>” and “</w:t>
            </w:r>
            <w:r>
              <w:rPr>
                <w:rFonts w:ascii="Times New Roman" w:hAnsi="Times New Roman"/>
                <w:i/>
                <w:sz w:val="20"/>
              </w:rPr>
              <w:t>Securities Eligible for Future Sale — Restrictions on the Use of Rule 144 by Shell Companies or Former Shell Companies</w:t>
            </w:r>
            <w:r>
              <w:rPr>
                <w:rFonts w:ascii="Times New Roman" w:hAnsi="Times New Roman"/>
                <w:sz w:val="20"/>
              </w:rPr>
              <w:t xml:space="preserve">.” Further, our initial shareholders that become affiliates of the post-business combination company for purposes of Rule 144 under the Securities Act may be subject to additional resale restrictions, as described above.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agreements entered into on the date of this prospectus, our initial shareholders and their permitted transferees, may demand that we register for resale the founder shares, private investor shares, private placement shares and shares issued upon conversion of the private placement rights upon the consummation of our initial business combination. The holders of a majority of these securities are entitled to make up to three demands, excluding short form demands, that we register such securities.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TAXATION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certain Cayman Islands and United States federal income tax consequences of an investment in our public units, each consisting of one Class A ordinary share and one right entitling the holder thereof to receive one-fifth of one ordinary share upon the completion of an initial business combination,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public shares and public rights, such as the tax consequences under state, local and other tax laws.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advisors on the possible tax consequences of investing in our securities under the laws of their country of citizenship, residence or domicile. </w:t>
      </w:r>
    </w:p>
    <w:p>
      <w:pPr>
        <w:pStyle w:val="TextBody"/>
        <w:bidi w:val="0"/>
        <w:spacing w:before="360" w:after="0"/>
        <w:jc w:val="left"/>
        <w:rPr>
          <w:rFonts w:ascii="Times New Roman" w:hAnsi="Times New Roman"/>
          <w:b/>
          <w:sz w:val="20"/>
        </w:rPr>
      </w:pPr>
      <w:r>
        <w:rPr>
          <w:rFonts w:ascii="Times New Roman" w:hAnsi="Times New Roman"/>
          <w:b/>
          <w:sz w:val="20"/>
        </w:rPr>
        <w:t xml:space="preserve">Cayman Islands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 </w:t>
      </w:r>
    </w:p>
    <w:p>
      <w:pPr>
        <w:pStyle w:val="TextBody"/>
        <w:bidi w:val="0"/>
        <w:spacing w:before="360" w:after="0"/>
        <w:jc w:val="left"/>
        <w:rPr>
          <w:rFonts w:ascii="Times New Roman" w:hAnsi="Times New Roman"/>
          <w:b/>
          <w:sz w:val="20"/>
        </w:rPr>
      </w:pPr>
      <w:r>
        <w:rPr>
          <w:rFonts w:ascii="Times New Roman" w:hAnsi="Times New Roman"/>
          <w:b/>
          <w:sz w:val="20"/>
        </w:rPr>
        <w:t xml:space="preserve">Under Existing Cayman Islands Laws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 </w:t>
      </w:r>
    </w:p>
    <w:p>
      <w:pPr>
        <w:pStyle w:val="TextBody"/>
        <w:bidi w:val="0"/>
        <w:spacing w:before="240" w:after="0"/>
        <w:jc w:val="left"/>
        <w:rPr>
          <w:rFonts w:ascii="Times New Roman" w:hAnsi="Times New Roman"/>
          <w:sz w:val="20"/>
        </w:rPr>
      </w:pPr>
      <w:r>
        <w:rPr>
          <w:rFonts w:ascii="Times New Roman" w:hAnsi="Times New Roman"/>
          <w:sz w:val="20"/>
        </w:rPr>
        <w:t xml:space="preserve">No stamp duty is payable in respect of the issue of our Class A ordinary shares or on an instrument of transfer in respect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Our company has been incorporated under the laws of the Cayman Islands as an exempted company with limited liability and, as such, has applied for and has obtained an undertaking from the Financial Secretary of the Cayman Islands in substantively the following form on July 28, 2025: </w:t>
      </w:r>
    </w:p>
    <w:p>
      <w:pPr>
        <w:pStyle w:val="TextBody"/>
        <w:bidi w:val="0"/>
        <w:spacing w:before="360" w:after="0"/>
        <w:jc w:val="left"/>
        <w:rPr>
          <w:rFonts w:ascii="Times New Roman" w:hAnsi="Times New Roman"/>
          <w:b/>
          <w:sz w:val="20"/>
        </w:rPr>
      </w:pPr>
      <w:r>
        <w:rPr>
          <w:rFonts w:ascii="Times New Roman" w:hAnsi="Times New Roman"/>
          <w:b/>
          <w:sz w:val="20"/>
        </w:rPr>
        <w:t xml:space="preserve">The Tax Concessions Act (Revised) </w:t>
      </w:r>
    </w:p>
    <w:p>
      <w:pPr>
        <w:pStyle w:val="TextBody"/>
        <w:bidi w:val="0"/>
        <w:spacing w:before="120" w:after="0"/>
        <w:jc w:val="left"/>
        <w:rPr>
          <w:rFonts w:ascii="Times New Roman" w:hAnsi="Times New Roman"/>
          <w:b/>
          <w:i/>
          <w:sz w:val="20"/>
        </w:rPr>
      </w:pPr>
      <w:r>
        <w:rPr>
          <w:rFonts w:ascii="Times New Roman" w:hAnsi="Times New Roman"/>
          <w:b/>
          <w:i/>
          <w:sz w:val="20"/>
        </w:rPr>
        <w:t xml:space="preserve">Undertaking as to Tax Concessions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Tax Concessions Act (Revised), the following undertaking is hereby given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no Law which is hereafter enacted in the Cayman Islands imposing any tax to be levied on profits, income, gains or appreciations shall apply to the company or its operations;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that no tax to be levied on profits, income, gains or appreciations or which is in the nature of estate duty or inheritance tax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in respect of the shares, debentures or other obligations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way of the withholding in whole or part, of any relevant payment as defined in the Tax Concessions Act (Revised).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concessions shall be for a period of twenty years from the 28th day of July, 2025. </w:t>
      </w:r>
    </w:p>
    <w:p>
      <w:pPr>
        <w:pStyle w:val="TextBody"/>
        <w:bidi w:val="0"/>
        <w:spacing w:before="360" w:after="0"/>
        <w:jc w:val="left"/>
        <w:rPr>
          <w:rFonts w:ascii="Times New Roman" w:hAnsi="Times New Roman"/>
          <w:b/>
          <w:sz w:val="20"/>
        </w:rPr>
      </w:pPr>
      <w:bookmarkStart w:id="19" w:name="tx929696_17"/>
      <w:bookmarkEnd w:id="19"/>
      <w:r>
        <w:rPr>
          <w:rFonts w:ascii="Times New Roman" w:hAnsi="Times New Roman"/>
          <w:b/>
          <w:sz w:val="20"/>
        </w:rPr>
        <w:t xml:space="preserve">Material United States Federal Income Tax Considerations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summarizes material United States federal income tax considerations generally applicable to the acquisition, ownership and disposition of our public units (each consisting of one Class A ordinary share one and one right entitling the holder thereof to receive one-fifth of one ordinary share upon the completion of an initial business combination) that are purchased in this offering, which we refer to collectively as our securities, by U.S. Holders (as defined below) and Non-U.S. Holders (as defined below). Because the components of a public unit are generally separable at the option of the holder, the holder of a public unit generally should be treated, for United States federal income tax purposes, as the owner of the underlying Class A ordinary share and one-fifth right components of the public unit. As a result, the discussion below with respect to actual holders of Class A ordinary shares and public rights also should apply to holders of public units (as the deemed owners of the underlying Class A ordinary shares and public rights that constitute the public units).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the United States federal income tax consequences to our founders, sponsors, officers or directors. This discussion is limited to material United States federal income tax considerations to beneficial owners of our securities who are initial purchasers of a public unit pursuant to this offering and hold the public unit and each component of the public unit as a capital asset within the meaning of Section 1221 of the U.S. Internal Revenue Code of 1986, as amended (the “Code”). This discussion assumes that the Class A ordinary shares and public rights will trade separately and that any distributions made (or deemed made) by us on our Class A ordinary shares and any consideration received (or deemed received) by a holder in consideration for the sale or other disposition of our securities will be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a summary only and does not describe all of the tax consequences that may be relevant to the acquisition, ownership and disposition of a public unit by a prospective investor in light of its particular circumstances, including but not limited to, the alternative minimum tax, the Medicare tax on net investment income and the different consequences that may apply to investors that are subject to special rules under U.S. federal income tax laws,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or financial services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tax accounting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tax-exempt entities;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governments or agencies or instrumentalities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long-term residents of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(by vote or value) of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our securities pursuant to an exercise of employee share options, in connection with employee share incentive plans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securities as part of a straddle, constructive sale, hedge, wash sale, conversion or other integrated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are subject to the “applicable financial statement” accounting rules under Section 451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passive foreign investment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entities or arrangements classified as partnerships or other pass-through entities for U.S. federal income tax purposes) and any beneficial owners of such partnerships.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which may result in United States federal income tax consequences different from those discussed below. Furthermore, this discussion does not address any aspect of United States federal non-income tax laws, such as gift or estate tax laws, or state, local or non-United States tax laws. </w:t>
      </w:r>
    </w:p>
    <w:p>
      <w:pPr>
        <w:pStyle w:val="TextBody"/>
        <w:bidi w:val="0"/>
        <w:spacing w:before="240" w:after="0"/>
        <w:jc w:val="left"/>
        <w:rPr>
          <w:rFonts w:ascii="Times New Roman" w:hAnsi="Times New Roman"/>
          <w:sz w:val="20"/>
        </w:rPr>
      </w:pPr>
      <w:r>
        <w:rPr>
          <w:rFonts w:ascii="Times New Roman" w:hAnsi="Times New Roman"/>
          <w:sz w:val="20"/>
        </w:rPr>
        <w:t xml:space="preserve">We have not sought, and do not expect to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classified as a partnership or other pass-through entity for United States federal income tax purposes) is the beneficial owner of our securities, the United States federal income tax treatment of a partner, member or other beneficial owner in such partnership or other pass-through entity generally will depend on the status of the partner, member or other beneficial owner and the activities of the partnership or other pass-through entity. If you are a partner, member or other beneficial owner of a partnership or other pass-through entity holding our securities, you are urged to consult your own tax advisor regarding the tax consequences of the acquisition, ownership and disposition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NON-UNITED STATES TAX LAWS. </w:t>
      </w:r>
    </w:p>
    <w:p>
      <w:pPr>
        <w:pStyle w:val="TextBody"/>
        <w:bidi w:val="0"/>
        <w:spacing w:before="360" w:after="0"/>
        <w:jc w:val="left"/>
        <w:rPr>
          <w:rFonts w:ascii="Times New Roman" w:hAnsi="Times New Roman"/>
          <w:i/>
          <w:sz w:val="20"/>
        </w:rPr>
      </w:pPr>
      <w:r>
        <w:rPr>
          <w:rFonts w:ascii="Times New Roman" w:hAnsi="Times New Roman"/>
          <w:i/>
          <w:sz w:val="20"/>
        </w:rPr>
        <w:t xml:space="preserve">Allocation of Purchase Price and Characterization of a public Unit </w:t>
      </w:r>
    </w:p>
    <w:p>
      <w:pPr>
        <w:pStyle w:val="TextBody"/>
        <w:bidi w:val="0"/>
        <w:spacing w:before="120" w:after="0"/>
        <w:jc w:val="left"/>
        <w:rPr>
          <w:rFonts w:ascii="Times New Roman" w:hAnsi="Times New Roman"/>
          <w:sz w:val="20"/>
        </w:rPr>
      </w:pPr>
      <w:r>
        <w:rPr>
          <w:rFonts w:ascii="Times New Roman" w:hAnsi="Times New Roman"/>
          <w:sz w:val="20"/>
        </w:rPr>
        <w:t xml:space="preserve">No statutory, administrative or judicial authority directly addresses the treatment of a public unit or any instrument similar to a public unit for United States federal income tax purposes, and therefore, that treatment is not entirely clear. The acquisition of a public unit should be treated for United States federal income tax purposes as the acquisition of one Class A ordinary share and one-fifth, and the company intends to treat the acquisition of a public unit in such manner. By purchasing a public unit, you agree to adopt such treatment for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federal income tax purposes. For United States federal income tax purposes, each holder of a public unit must allocate the purchase price paid by such holder for such public unit between one Class A ordinary share and one-fifth right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one-fifth right should be the shareholder’s initial tax basis in such share and the fraction of a right. Any disposition of a public unit should be treated for United States federal income tax purposes as a disposition of the Class A ordinary share and one-fifth right comprising the public unit, and the amount realized on the disposition should be allocated between the Class A ordinary share and one-fifth right based on their respective fair market values (as determined by each such public unit holder based on all the relevant facts and circumstances) at the time of disposition. The separation of the Class A ordinary share and one-fifth right constituting a public unit should not be a taxable event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treatment of the public units, Class A ordinary shares and public rights and a holder’s purchase price allocation are not binding on the IRS or the courts. Because there are no authorities that directly address instruments that are similar to the public units, no assurance can be given that the IRS or the courts will agree with the characterization described above or the discussion below. Accordingly, each prospective investor is urged to consult its tax advisors regarding the tax consequences of an investment in a public unit (including alternative characterizations of a public unit). The balance of this discussion assumes that the characterization of the public units described above will be respected for United States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applies to you if you are a “U.S. Holder.” A U.S. Holder is a beneficial owner of our public units, Class A ordinary shares or public rights who or that is, for United States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United States federal income tax purposes)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United States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passive foreign investment company (“PFIC”) rules discussed below, a U.S. Holder generally will be required to include in gross income as dividends in the year actually or constructively received by the U.S. Holder the amount of any distribution of cash or other property (other than certain distributions of our shares or rights to acquire our shares) paid on our Class A ordinary shares to the extent the distribution is paid out of our current or accumulated earnings and profits (as determined under United States federal income tax principles).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(the treatment of which is described under “— Gain or Loss on Sale, Taxable Exchange or Other Taxable Disposition of Class A Ordinary Shares and Rights” below).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by us will be taxable to a corporate U.S. Holder at regular rates and will not be eligible for the dividends-received deduction generally allowed to domestic corporations in respect of dividends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other domestic corporations. With respect to non-corporate U.S. Holders, dividends generally will be taxed at the preferential applicable long-term capital gains rate (see “— Gain or Loss on Sale, Taxable Exchange or Other Taxable Disposition of Class A Ordinary Shares and Rights” below) only if our Class A ordinary shares are readily tradable on an established securities market in the United States, we are not a PFIC at the time the dividend was paid or in the previous year, and certain other requirements are met. It is unclear, however, whether certain redemption rights described in this prospectus may suspend the running of the applicable holding period for this purpose. U.S. Holders should consult their tax advisors regarding the availability of such preferential rate for any dividends paid with respect to our Class A ordinary shares. </w:t>
      </w:r>
    </w:p>
    <w:p>
      <w:pPr>
        <w:pStyle w:val="TextBody"/>
        <w:bidi w:val="0"/>
        <w:spacing w:before="360" w:after="0"/>
        <w:jc w:val="left"/>
        <w:rPr>
          <w:rFonts w:ascii="Times New Roman" w:hAnsi="Times New Roman"/>
          <w:i/>
          <w:sz w:val="20"/>
        </w:rPr>
      </w:pPr>
      <w:r>
        <w:rPr>
          <w:rFonts w:ascii="Times New Roman" w:hAnsi="Times New Roman"/>
          <w:i/>
          <w:sz w:val="20"/>
        </w:rPr>
        <w:t xml:space="preserve">Gain or Loss on Sale, Taxable Exchange or Other Taxable Disposition of Public Shares and Public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PFIC rules discussed below, a U.S. Holder generally will recognize capital gain or loss on the sale or other taxable disposition of our public shares or public rights (including a redemption of our public shares (as described below) or public rights that is treated as a taxable disposition, including pursuant to our dissolution and liquidation if we do not consummate an initial business combination within the required time period). Any such capital gain or loss generally will be long-term capital gain or loss if the U.S. Holder’s holding period for such public shares or public rights exceeds one year. Long-term capital gain realized by a non-corporate U.S. Holder may be taxed at preferential rates of taxation. It is unclear, however, whether certain redemption rights described in this prospectus may suspend the running of the applicable holding period of the public shares for this purpose. If the running of the holding period for the public shares is suspended, then non-corporate U.S. Holders may not be able to satisfy the one-year holding period requirement for long-term capital gain treatment, in which case any gain on a sale or other taxable disposition of the public shares would be subject to short-term capital gain treatment and would be taxed at regular ordinary income tax rates. The deductibility of capital losses is subject to certain limitations.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gain or loss recognized by a U.S. Holder on a sale or other taxable disposition generally will be equal to the difference between (i) the sum of the amount of cash and the fair market value of any property received in such disposition (or, if the public shares or public rights are held as part of units at the time of the disposition, the portion of the amount realized on such disposition that is allocated to the public shares or public rights based upon the then relative fair market values of the public shares and the public rights constituting the public units) and (ii) the U.S. Holder’s adjusted tax basis in its public shares or public rights so disposed of. A U.S. Holder’s adjusted tax basis in its public shares or public rights generally will equal the U.S. Holder’s acquisition cost (that is, the portion of the purchase price of a public unit allocated to a public share or one-fifth right public right, as described above under “— Allocation of Purchase Price and Characterization of a public Unit”) reduced, in the case of a public share, by any prior distributions treated as a return of capital. See “Exercise, Lapse or Redemption of a public Right” below for a discussion regarding a U.S. Holder’s tax basis in the public share acquired pursuant to the exercise of a public right.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or Lapse of Rights </w:t>
      </w:r>
    </w:p>
    <w:p>
      <w:pPr>
        <w:pStyle w:val="TextBody"/>
        <w:bidi w:val="0"/>
        <w:spacing w:before="120" w:after="0"/>
        <w:jc w:val="left"/>
        <w:rPr>
          <w:rFonts w:ascii="Times New Roman" w:hAnsi="Times New Roman"/>
          <w:sz w:val="20"/>
        </w:rPr>
      </w:pPr>
      <w:r>
        <w:rPr>
          <w:rFonts w:ascii="Times New Roman" w:hAnsi="Times New Roman"/>
          <w:sz w:val="20"/>
        </w:rPr>
        <w:t xml:space="preserve">The U.S. federal income tax treatment of the rights is uncertain. The right may be viewed as a forward contract, derivative security or similar interest in us (analogous to a warrant or option with no exercise price), and thus, the U.S. Holder of the right would not be viewed as owning the ordinary shares issuable pursuant to the rights until such ordinary shares are actually issued. There may be other alternative characterizations of the rights that the IRS may successfully assert, including that the rights are treated as equity in us at the time the rights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income tax consequences of a conversion or lapse of rights is uncertain and may depend upon the U.S. federal income tax treatment of an initial business combination. Accordingly, a U.S. Holder should consult with its own tax advisor regarding the tax consequences of an acquisition of ordinary shares pursuant to rights or of a lapse of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Redemption of Public Shares </w:t>
      </w:r>
    </w:p>
    <w:p>
      <w:pPr>
        <w:pStyle w:val="TextBody"/>
        <w:bidi w:val="0"/>
        <w:spacing w:before="120" w:after="0"/>
        <w:jc w:val="left"/>
        <w:rPr>
          <w:rFonts w:ascii="Times New Roman" w:hAnsi="Times New Roman"/>
          <w:sz w:val="20"/>
        </w:rPr>
      </w:pPr>
      <w:r>
        <w:rPr>
          <w:rFonts w:ascii="Times New Roman" w:hAnsi="Times New Roman"/>
          <w:sz w:val="20"/>
        </w:rPr>
        <w:t>Subject to the PFIC rules discussed below, in the event that a U.S. Holder’s public shares are redeemed pursuant to the redemption provisions described in the section of this prospectus entitled “</w:t>
      </w:r>
      <w:r>
        <w:rPr>
          <w:rFonts w:ascii="Times New Roman" w:hAnsi="Times New Roman"/>
          <w:i/>
          <w:sz w:val="20"/>
        </w:rPr>
        <w:t>Description of Securities — Ordinary Shares</w:t>
      </w:r>
      <w:r>
        <w:rPr>
          <w:rFonts w:ascii="Times New Roman" w:hAnsi="Times New Roman"/>
          <w:sz w:val="20"/>
        </w:rPr>
        <w:t xml:space="preserve">” or if we purchase a U.S. Holder’s public shares in an open market transaction (such open market purchase of public shares by us referred to as a “redemption” for the remainder of this discussion), the treatment of the transaction for United States federal income tax purposes will depend on whether the redemption qualifies as a sale of the public shares under Section 302 of the Code. If the redemption qualifies as a sale of public shares, the U.S. Holder will be treated as described under “ — </w:t>
      </w:r>
      <w:r>
        <w:rPr>
          <w:rFonts w:ascii="Times New Roman" w:hAnsi="Times New Roman"/>
          <w:i/>
          <w:sz w:val="20"/>
        </w:rPr>
        <w:t>Gain or Loss on Sale, Taxable Exchange or Other Taxable Disposition of public Shares and Public Rights</w:t>
      </w:r>
      <w:r>
        <w:rPr>
          <w:rFonts w:ascii="Times New Roman" w:hAnsi="Times New Roman"/>
          <w:sz w:val="20"/>
        </w:rPr>
        <w:t xml:space="preserve">” above. If the redemption does not qualify as a sale of public shares, the U.S. Holder will be treated as receiving a corporate distribution with the tax consequences described above under “ — </w:t>
      </w:r>
      <w:r>
        <w:rPr>
          <w:rFonts w:ascii="Times New Roman" w:hAnsi="Times New Roman"/>
          <w:i/>
          <w:sz w:val="20"/>
        </w:rPr>
        <w:t>Taxation of Distributions</w:t>
      </w:r>
      <w:r>
        <w:rPr>
          <w:rFonts w:ascii="Times New Roman" w:hAnsi="Times New Roman"/>
          <w:sz w:val="20"/>
        </w:rPr>
        <w:t xml:space="preserve">.” Whether a redemption qualifies for sale treatment will depend largely on the total number of our shares treated as held by the U.S. Holder (including any shares constructively owned by the U.S. Holder described in the following paragraph, including as a result of owning rights) relative to all of our shares outstanding both before and after such redemption. A redemption of public shares generally will be treated as a sale of the public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generally would include public shares which could be acquired by such U.S. Holder pursuant to the exercise of the rights. In order to meet the substantially disproportionate test, the percentage of our issued and outstanding voting shares actually and constructively owned by the U.S. Holder immediately following the redemption of public shares must, among other requirements, be less than 80% of the percentage of our issued and outstanding voting shares actually and constructively owned by the U.S. Holder immediately before the redemption. Prior to our initial business combination the public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(including any shares constructively owned by the U.S. Holder as a result of owning our rights). The redemption of the public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 of any public shares. </w:t>
      </w:r>
    </w:p>
    <w:p>
      <w:pPr>
        <w:pStyle w:val="TextBody"/>
        <w:bidi w:val="0"/>
        <w:spacing w:before="240" w:after="0"/>
        <w:jc w:val="left"/>
        <w:rPr>
          <w:rFonts w:ascii="Times New Roman" w:hAnsi="Times New Roman"/>
          <w:sz w:val="20"/>
        </w:rPr>
      </w:pPr>
      <w:r>
        <w:rPr>
          <w:rFonts w:ascii="Times New Roman" w:hAnsi="Times New Roman"/>
          <w:sz w:val="20"/>
        </w:rPr>
        <w:t xml:space="preserve">If none of the foregoing tests are satisfied, then the redemption of any public shares will be treated as a corporate distribution and the tax effects will be as described under “ — </w:t>
      </w:r>
      <w:r>
        <w:rPr>
          <w:rFonts w:ascii="Times New Roman" w:hAnsi="Times New Roman"/>
          <w:i/>
          <w:sz w:val="20"/>
        </w:rPr>
        <w:t>Taxation of Distributions</w:t>
      </w:r>
      <w:r>
        <w:rPr>
          <w:rFonts w:ascii="Times New Roman" w:hAnsi="Times New Roman"/>
          <w:sz w:val="20"/>
        </w:rPr>
        <w:t xml:space="preserve">” above. After the application of those rules, any remaining tax basis of the U.S. Holder in the redeemed public shares will be added to the U.S. Holder’s adjusted tax basis in its remaining shares, or, if it has none, to the U.S. Holder’s adjusted tax basis in its rights or possibly in other shares constructively owned by it. </w:t>
      </w:r>
    </w:p>
    <w:p>
      <w:pPr>
        <w:pStyle w:val="TextBody"/>
        <w:bidi w:val="0"/>
        <w:spacing w:before="240" w:after="0"/>
        <w:jc w:val="left"/>
        <w:rPr>
          <w:rFonts w:ascii="Times New Roman" w:hAnsi="Times New Roman"/>
          <w:sz w:val="20"/>
        </w:rPr>
      </w:pPr>
      <w:r>
        <w:rPr>
          <w:rFonts w:ascii="Times New Roman" w:hAnsi="Times New Roman"/>
          <w:sz w:val="20"/>
        </w:rPr>
        <w:t xml:space="preserve">U.S. holders who actually or constructively own five percent (or, if our public shares are not then publicly traded, one percent) or more of our shares (by vote or value) may be subject to special reporting requirements with respect to a redemption of public shares, and such holders are urged to consult with their own tax advisors with respect to their reporting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A foreign (i.e.,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The applicability of the startup exception to us is uncertain and will not be known until after the close of our current taxable year and, perhaps, until after the end of our two taxable years following our startup year.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will not be determinable until after the end of such taxable year (and, in the case of the startup exception to our current taxable year, perhaps until after the end of our two taxable years following our startup year). Accordingly, there can be no assurance with respect to our status as a PFIC for our current taxable year or any future taxable year. In addition, our U.S. counsel expresses no opinion with respect to our PFIC status for our current or future taxable years. </w:t>
      </w:r>
    </w:p>
    <w:p>
      <w:pPr>
        <w:pStyle w:val="TextBody"/>
        <w:bidi w:val="0"/>
        <w:spacing w:before="240" w:after="0"/>
        <w:jc w:val="left"/>
        <w:rPr>
          <w:rFonts w:ascii="Times New Roman" w:hAnsi="Times New Roman"/>
          <w:sz w:val="20"/>
        </w:rPr>
      </w:pPr>
      <w:r>
        <w:rPr>
          <w:rFonts w:ascii="Times New Roman" w:hAnsi="Times New Roman"/>
          <w:sz w:val="20"/>
        </w:rPr>
        <w:t xml:space="preserve">Although our PFIC status is determined annually, an initial determination that our company is a PFIC generally will apply for subsequent years to a U.S. Holder who held Class A ordinary shares or rights while we were a PFIC, whether or not we meet the test for PFIC status in those subsequent years. If we are determined to be a PFIC for any taxable year (or portion thereof) that is included in the holding period of a U.S. Holder of our Class A ordinary shares or rights and, in the case of our Class A ordinary shares, the U.S. Holder did not make either a timely mark-to-market election or a qualified electing fund (“QEF”)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rights (which may include gain realized by reason of transfers of Class A ordinary shares or rights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the portion of such U.S. Holder’s holding period for the Class A ordinary shares that preceded the taxable year of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 these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gain or excess distribution will be allocated ratably over the U.S. Holder’s holding period for the Class A ordinary shares or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amount equal to the interest charge generally applicable to underpayments of tax will be imposed on the U.S. Holder with respect to the tax attributable to each such other taxable year of the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if we are determined to be a PFIC, a U.S. Holder may be able to avoid the PFIC tax consequences described above in respect of our Class A ordinary shares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makes a QEF election with respect to its Class A ordinary shares in a year after our first taxable year as a PFIC in which the U.S. Holder held (or was deemed to hold) Class A ordinary shares, then notwithstanding such QEF election, the rules relating to “excess distributions” discussed above, adjusted to take into account the current income inclusions resulting from the QEF election, will continue to apply with respect to such U.S. Holder’s Class A ordinary shares,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additional basis (to the extent of any gain recognized on the deemed sale) and, solely for purposes of the PFIC rules, a new holding period in the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Class A ordinary shares in us and for which we are determined to be a PFIC, such U.S. Holder generally will not be subject to the PFIC rules described above in respect of its Class A ordinary shares. Instead, in general, the U.S. Holder will include as ordinary income in each taxable year the excess, if any, of the fair market value of its Class A ordinary shares at the end of its taxable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in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rights. The mark-to-market election is available only for stock that is regularly traded on a national securities exchange that is registered with the Securities and Exchange Commission, including the Nasdaq Global Market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ceased to qualify as “marketable stock” for purposes of the PFIC rules or the IRS consented to the revocation of the election. U.S. Holders are urged to consult their own tax advisors regarding the availability and tax consequences of a mark-to-market election in respect to our Class A ordinary shares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Upon written request,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A mark-to-market election generally would not be available with respect to such lower-tier PFIC. U.S. Holders are urged to consult their tax advisors regarding the tax issues raised by lower-tier PFICs.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The rules dealing with PFICs and with the QEF, purging, and mark-to-market elections are very complex and are affected by various factors in addition to those described above. Accordingly, U.S. Holders of our Class A ordinary shares and rights should consult their own tax advisors concerning the application of the PFIC rules to our Class A ordinary shares and rights under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applies to you if you are a “Non-U.S. Holder.” As used herein, the term “Non-U.S. Holder” means a beneficial owner of our public units, Class A ordinary shares or public rights (other than a partnership or other entity or arrangement treated as a partnership for U.S. federal income tax purposes) that is for United States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(other than certain former citizens and residents of the United States subject to U.S. tax as expatriates);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or trust that is not a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but generally does not include an individual who is present in the United States for 183 days or more in the taxable year of the disposition of our public units, Class A ordinary shares or public rights. If you are such an individual, you should consult your tax advisor regarding the United States federal income tax consequences of the acquisition, ownership and disposition of our securities. </w:t>
      </w:r>
    </w:p>
    <w:p>
      <w:pPr>
        <w:pStyle w:val="TextBody"/>
        <w:bidi w:val="0"/>
        <w:spacing w:before="240" w:after="0"/>
        <w:jc w:val="left"/>
        <w:rPr>
          <w:rFonts w:ascii="Times New Roman" w:hAnsi="Times New Roman"/>
          <w:sz w:val="20"/>
        </w:rPr>
      </w:pPr>
      <w:r>
        <w:rPr>
          <w:rFonts w:ascii="Times New Roman" w:hAnsi="Times New Roman"/>
          <w:sz w:val="20"/>
        </w:rPr>
        <w:t>The determination of the extent to which a distribution will be treated as a dividend, return of capital or gain from the sale of Class A ordinary shares is generally the same for Non-U.S. Holders as that described in “—</w:t>
      </w:r>
      <w:r>
        <w:rPr>
          <w:rFonts w:ascii="Times New Roman" w:hAnsi="Times New Roman"/>
          <w:i/>
          <w:sz w:val="20"/>
        </w:rPr>
        <w:t>U.S. Holders—Taxation of Distributions</w:t>
      </w:r>
      <w:r>
        <w:rPr>
          <w:rFonts w:ascii="Times New Roman" w:hAnsi="Times New Roman"/>
          <w:sz w:val="20"/>
        </w:rPr>
        <w:t xml:space="preserve">”. Dividends (including, as described under “— </w:t>
      </w:r>
      <w:r>
        <w:rPr>
          <w:rFonts w:ascii="Times New Roman" w:hAnsi="Times New Roman"/>
          <w:i/>
          <w:sz w:val="20"/>
        </w:rPr>
        <w:t>U.S. Holders — Possible Constructive Distributions</w:t>
      </w:r>
      <w:r>
        <w:rPr>
          <w:rFonts w:ascii="Times New Roman" w:hAnsi="Times New Roman"/>
          <w:sz w:val="20"/>
        </w:rPr>
        <w:t xml:space="preserve">” above,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rights unless such gain is effectively connected with its conduct of a trade or business in the United States (and, if required by an applicable income tax treaty, is attributable to a permanent establishment or fixed base that such Non-U.S. Holder maintains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Dividends (including, as described under “— U.S. Holders — Possible Constructive Distributions” above,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backup withholding by providing certification of its foreign status, under penalties of perjury, on a duly executed applicable IRS Form W-8 or by otherwise establishing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a holder’s United States federal income tax liability, and a holder generally may obtain a refund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excess amounts withheld under the backup withholding rules by timely filing the appropriate claim for refund with the IRS and furnishing any required information. </w:t>
      </w:r>
    </w:p>
    <w:p>
      <w:pPr>
        <w:pStyle w:val="TextBody"/>
        <w:bidi w:val="0"/>
        <w:spacing w:before="240" w:after="0"/>
        <w:jc w:val="left"/>
        <w:rPr>
          <w:rFonts w:ascii="Times New Roman" w:hAnsi="Times New Roman"/>
          <w:sz w:val="20"/>
        </w:rPr>
      </w:pPr>
      <w:r>
        <w:rPr>
          <w:rFonts w:ascii="Times New Roman" w:hAnsi="Times New Roman"/>
          <w:sz w:val="20"/>
        </w:rPr>
        <w:t xml:space="preserve">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United States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Specified foreign financial assets generally include any financial account maintained with a non-U.S. financial institution and should also include our public units, Class A ordinary shares and public rights if they are not held in an account maintained with a U.S. financial institution. </w:t>
      </w:r>
    </w:p>
    <w:p>
      <w:pPr>
        <w:pStyle w:val="TextBody"/>
        <w:bidi w:val="0"/>
        <w:spacing w:before="240" w:after="0"/>
        <w:jc w:val="left"/>
        <w:rPr>
          <w:rFonts w:ascii="Times New Roman" w:hAnsi="Times New Roman"/>
          <w:sz w:val="20"/>
        </w:rPr>
      </w:pPr>
      <w:r>
        <w:rPr>
          <w:rFonts w:ascii="Times New Roman" w:hAnsi="Times New Roman"/>
          <w:sz w:val="20"/>
        </w:rPr>
        <w:t xml:space="preserve">Persons who are required to report specified foreign financial assets and fail to do so may be subject to substantial penalties, and the period of limitations on assessment and collection of United States federal income taxes may be extended in the event of a failure to comply. Potential investors are urged to consult their tax advisors regarding the foreign financial asset and other reporting obligations and their application to an investment in our public units, public shares and public rights.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OUR SECURITIES ARE URGED TO CONSULT WITH AND RELY SOLELY UPON THEIR OWN TAX ADVISORS REGARDING THE APPLICATION OF THE U.S. FEDERAL INCOME TAX LAWS TO THEIR PARTICULAR SITUATIONS AND THE APPLICABILITY AND EFFECT OF ANY OTHER TAX LAWS, INCLUDING BUT NOT LIMITED TO U.S. FEDERAL ESTATE AND GIFT TAX LAWS AND ANY STATE, LOCAL OR NON-U.S. TAX LAWS AND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929696_18"/>
      <w:bookmarkEnd w:id="20"/>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public units described in this prospectus through the underwriters. We have entered into an underwriting agreement with the underwriters. Subject to the terms and conditions of the underwriting agreement, the underwriters have agreed to purchase, and we have agreed to sell to the underwriters, the number of units listed next to each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26"/>
        <w:gridCol w:w="281"/>
        <w:gridCol w:w="60"/>
        <w:gridCol w:w="1109"/>
        <w:gridCol w:w="63"/>
      </w:tblGrid>
      <w:tr>
        <w:trPr/>
        <w:tc>
          <w:tcPr>
            <w:tcW w:w="5426"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26" w:type="dxa"/>
            <w:tcBorders/>
            <w:vAlign w:val="bottom"/>
          </w:tcPr>
          <w:p>
            <w:pPr>
              <w:pStyle w:val="TableContents"/>
              <w:bidi w:val="0"/>
              <w:spacing w:before="0" w:after="283"/>
              <w:jc w:val="left"/>
              <w:rPr>
                <w:b/>
              </w:rPr>
            </w:pPr>
            <w:r>
              <w:rPr>
                <w:b/>
              </w:rPr>
              <w:t>Underwriters</w:t>
            </w:r>
          </w:p>
        </w:tc>
        <w:tc>
          <w:tcPr>
            <w:tcW w:w="281"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63" w:type="dxa"/>
            <w:tcBorders/>
            <w:vAlign w:val="bottom"/>
          </w:tcPr>
          <w:p>
            <w:pPr>
              <w:pStyle w:val="TableContents"/>
              <w:bidi w:val="0"/>
              <w:spacing w:before="0" w:after="283"/>
              <w:jc w:val="left"/>
              <w:rPr/>
            </w:pPr>
            <w:r>
              <w:rPr/>
              <w:t> </w:t>
            </w:r>
          </w:p>
        </w:tc>
      </w:tr>
      <w:tr>
        <w:trPr/>
        <w:tc>
          <w:tcPr>
            <w:tcW w:w="5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 Boral Capital LLC</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1,520,737</w:t>
            </w:r>
          </w:p>
        </w:tc>
        <w:tc>
          <w:tcPr>
            <w:tcW w:w="63" w:type="dxa"/>
            <w:tcBorders/>
            <w:shd w:fill="CCEEFF" w:val="clear"/>
            <w:vAlign w:val="bottom"/>
          </w:tcPr>
          <w:p>
            <w:pPr>
              <w:pStyle w:val="TableContents"/>
              <w:bidi w:val="0"/>
              <w:spacing w:before="0" w:after="283"/>
              <w:jc w:val="left"/>
              <w:rPr/>
            </w:pPr>
            <w:r>
              <w:rPr/>
              <w:t> </w:t>
            </w:r>
          </w:p>
        </w:tc>
      </w:tr>
      <w:tr>
        <w:trPr/>
        <w:tc>
          <w:tcPr>
            <w:tcW w:w="5426" w:type="dxa"/>
            <w:tcBorders/>
          </w:tcPr>
          <w:p>
            <w:pPr>
              <w:pStyle w:val="TableContents"/>
              <w:bidi w:val="0"/>
              <w:spacing w:before="0" w:after="0"/>
              <w:jc w:val="left"/>
              <w:rPr>
                <w:rFonts w:ascii="Times New Roman" w:hAnsi="Times New Roman"/>
                <w:sz w:val="20"/>
              </w:rPr>
            </w:pPr>
            <w:r>
              <w:rPr>
                <w:rFonts w:ascii="Times New Roman" w:hAnsi="Times New Roman"/>
                <w:sz w:val="20"/>
              </w:rPr>
              <w:t>Dominari Securities LLC</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5,271,889</w:t>
            </w:r>
          </w:p>
        </w:tc>
        <w:tc>
          <w:tcPr>
            <w:tcW w:w="63" w:type="dxa"/>
            <w:tcBorders/>
            <w:vAlign w:val="bottom"/>
          </w:tcPr>
          <w:p>
            <w:pPr>
              <w:pStyle w:val="TableContents"/>
              <w:bidi w:val="0"/>
              <w:spacing w:before="0" w:after="283"/>
              <w:jc w:val="left"/>
              <w:rPr/>
            </w:pPr>
            <w:r>
              <w:rPr/>
              <w:t> </w:t>
            </w:r>
          </w:p>
        </w:tc>
      </w:tr>
      <w:tr>
        <w:trPr/>
        <w:tc>
          <w:tcPr>
            <w:tcW w:w="5426"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Webull Finanical LLC</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8,448,541</w:t>
            </w:r>
          </w:p>
        </w:tc>
        <w:tc>
          <w:tcPr>
            <w:tcW w:w="63" w:type="dxa"/>
            <w:tcBorders/>
            <w:shd w:fill="CCEEFF" w:val="clear"/>
            <w:vAlign w:val="bottom"/>
          </w:tcPr>
          <w:p>
            <w:pPr>
              <w:pStyle w:val="TableContents"/>
              <w:bidi w:val="0"/>
              <w:spacing w:before="0" w:after="283"/>
              <w:jc w:val="left"/>
              <w:rPr/>
            </w:pPr>
            <w:r>
              <w:rPr/>
              <w:t> </w:t>
            </w:r>
          </w:p>
        </w:tc>
      </w:tr>
      <w:tr>
        <w:trPr/>
        <w:tc>
          <w:tcPr>
            <w:tcW w:w="5426" w:type="dxa"/>
            <w:tcBorders/>
          </w:tcPr>
          <w:p>
            <w:pPr>
              <w:pStyle w:val="TableContents"/>
              <w:bidi w:val="0"/>
              <w:spacing w:before="0" w:after="0"/>
              <w:jc w:val="left"/>
              <w:rPr>
                <w:rFonts w:ascii="Times New Roman" w:hAnsi="Times New Roman"/>
                <w:sz w:val="20"/>
              </w:rPr>
            </w:pPr>
            <w:r>
              <w:rPr>
                <w:rFonts w:ascii="Times New Roman" w:hAnsi="Times New Roman"/>
                <w:sz w:val="20"/>
              </w:rPr>
              <w:t>Bancroft Capital LLC</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6,758,833</w:t>
            </w:r>
          </w:p>
        </w:tc>
        <w:tc>
          <w:tcPr>
            <w:tcW w:w="63" w:type="dxa"/>
            <w:tcBorders/>
            <w:vAlign w:val="bottom"/>
          </w:tcPr>
          <w:p>
            <w:pPr>
              <w:pStyle w:val="TableContents"/>
              <w:bidi w:val="0"/>
              <w:spacing w:before="0" w:after="283"/>
              <w:jc w:val="left"/>
              <w:rPr/>
            </w:pPr>
            <w:r>
              <w:rPr/>
              <w:t> </w:t>
            </w:r>
          </w:p>
        </w:tc>
      </w:tr>
      <w:tr>
        <w:trPr/>
        <w:tc>
          <w:tcPr>
            <w:tcW w:w="542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b/>
              </w:rPr>
            </w:pPr>
            <w:r>
              <w:rPr>
                <w:b/>
              </w:rPr>
              <w:t>22,000,000</w:t>
            </w:r>
          </w:p>
        </w:tc>
        <w:tc>
          <w:tcPr>
            <w:tcW w:w="63" w:type="dxa"/>
            <w:tcBorders/>
            <w:shd w:fill="CCEEFF" w:val="clear"/>
            <w:vAlign w:val="bottom"/>
          </w:tcPr>
          <w:p>
            <w:pPr>
              <w:pStyle w:val="TableContents"/>
              <w:bidi w:val="0"/>
              <w:spacing w:before="0" w:after="283"/>
              <w:jc w:val="left"/>
              <w:rPr/>
            </w:pPr>
            <w:r>
              <w:rPr/>
              <w:t> </w:t>
            </w:r>
          </w:p>
        </w:tc>
      </w:tr>
      <w:tr>
        <w:trPr/>
        <w:tc>
          <w:tcPr>
            <w:tcW w:w="542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underwriters must buy all of the public units if it buys any of them. However, the underwriters are not required to purchase the public units covered by the underwriters’ option to purchase additional units as described below. The underwriters may offer and sell the public units through certain of its affiliates or other registered broker-dealers or selling agents. </w:t>
      </w:r>
    </w:p>
    <w:p>
      <w:pPr>
        <w:pStyle w:val="TextBody"/>
        <w:bidi w:val="0"/>
        <w:spacing w:before="240" w:after="0"/>
        <w:jc w:val="left"/>
        <w:rPr>
          <w:rFonts w:ascii="Times New Roman" w:hAnsi="Times New Roman"/>
          <w:sz w:val="20"/>
        </w:rPr>
      </w:pPr>
      <w:r>
        <w:rPr>
          <w:rFonts w:ascii="Times New Roman" w:hAnsi="Times New Roman"/>
          <w:sz w:val="20"/>
        </w:rPr>
        <w:t xml:space="preserve">Our public units are offered hereby subject to a number of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and acceptance of such public units by the underwriters;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underwriters’ right to reject orders in whole or in part.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or securities dealers may distribute prospectuses electronically.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Units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the underwriters an option to buy up to an aggregate of 3,300,000 additional units. The underwriters have 45 days from the date of this prospectus to exercise this option. If the underwriters exercise this option, they will purchase additional units approximately in proportion to the amounts specified in the table above.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Discount </w:t>
      </w:r>
    </w:p>
    <w:p>
      <w:pPr>
        <w:pStyle w:val="TextBody"/>
        <w:bidi w:val="0"/>
        <w:spacing w:before="120" w:after="0"/>
        <w:jc w:val="left"/>
        <w:rPr>
          <w:rFonts w:ascii="Times New Roman" w:hAnsi="Times New Roman"/>
          <w:sz w:val="20"/>
        </w:rPr>
      </w:pPr>
      <w:r>
        <w:rPr>
          <w:rFonts w:ascii="Times New Roman" w:hAnsi="Times New Roman"/>
          <w:sz w:val="20"/>
        </w:rPr>
        <w:t xml:space="preserve">Units sold by the underwriters to the public will initially be offered at the initial offering price set forth on the cover of this prospectus. Any units sold by the underwriters to securities dealers may be sold at a discount of up to $0.05 per unit from the offering price. Sales of units made outside of the United States may be made by affiliates of the underwriters. After this offering, if all the public units are not sold at the offering price, the representative may change the offering price and the other selling terms. Upon execution of the underwriting agreement, the underwriters will be obligated to purchase the public units at the prices and upon the terms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unit and total underwriting discount we will pay to the underwriters assuming both no exercise and full exercise of the underwriters’ option to purchase up to 3,300,000 additional units.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52"/>
        <w:gridCol w:w="432"/>
        <w:gridCol w:w="142"/>
        <w:gridCol w:w="1116"/>
        <w:gridCol w:w="60"/>
        <w:gridCol w:w="432"/>
        <w:gridCol w:w="142"/>
        <w:gridCol w:w="1116"/>
        <w:gridCol w:w="63"/>
      </w:tblGrid>
      <w:tr>
        <w:trPr/>
        <w:tc>
          <w:tcPr>
            <w:tcW w:w="4252"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52"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w:t>
              <w:br/>
              <w:t>Exercise</w:t>
            </w:r>
          </w:p>
        </w:tc>
        <w:tc>
          <w:tcPr>
            <w:tcW w:w="6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w:t>
              <w:br/>
              <w:t>Exercise</w:t>
            </w:r>
          </w:p>
        </w:tc>
        <w:tc>
          <w:tcPr>
            <w:tcW w:w="63" w:type="dxa"/>
            <w:tcBorders/>
            <w:vAlign w:val="bottom"/>
          </w:tcPr>
          <w:p>
            <w:pPr>
              <w:pStyle w:val="TableContents"/>
              <w:bidi w:val="0"/>
              <w:spacing w:before="0" w:after="283"/>
              <w:jc w:val="left"/>
              <w:rPr/>
            </w:pPr>
            <w:r>
              <w:rPr/>
              <w:t> </w:t>
            </w:r>
          </w:p>
        </w:tc>
      </w:tr>
      <w:tr>
        <w:trPr/>
        <w:tc>
          <w:tcPr>
            <w:tcW w:w="42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Unit(1)</w:t>
            </w:r>
          </w:p>
        </w:tc>
        <w:tc>
          <w:tcPr>
            <w:tcW w:w="43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0.0455</w:t>
            </w:r>
          </w:p>
        </w:tc>
        <w:tc>
          <w:tcPr>
            <w:tcW w:w="6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0.0405</w:t>
            </w:r>
          </w:p>
        </w:tc>
        <w:tc>
          <w:tcPr>
            <w:tcW w:w="63" w:type="dxa"/>
            <w:tcBorders/>
            <w:shd w:fill="CCEEFF" w:val="clear"/>
            <w:vAlign w:val="bottom"/>
          </w:tcPr>
          <w:p>
            <w:pPr>
              <w:pStyle w:val="TableContents"/>
              <w:bidi w:val="0"/>
              <w:spacing w:before="0" w:after="283"/>
              <w:jc w:val="left"/>
              <w:rPr/>
            </w:pPr>
            <w:r>
              <w:rPr/>
              <w:t> </w:t>
            </w:r>
          </w:p>
        </w:tc>
      </w:tr>
      <w:tr>
        <w:trPr/>
        <w:tc>
          <w:tcPr>
            <w:tcW w:w="425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3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1,025,000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$0.0455 per unit or $1,000,000 in the aggregate (including a $250,000 referral fee to be paid by the underwriters to United First Partners LLC) (or $0.0405 per unit or $1,025,000 in the aggregate if the underwriters’ option to purchase additional units is exercised in full), is payable upon the closing of this offering. There is no deferred underwriting commission payable to the underwriters.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we have agreed to pay an amount not exceeding $75,000 for the underwriters’ accountable and out-of-pocket expenses including, but not limited to, background checks of our officers and directors and certain other offering-related costs. </w:t>
      </w:r>
    </w:p>
    <w:p>
      <w:pPr>
        <w:pStyle w:val="TextBody"/>
        <w:bidi w:val="0"/>
        <w:spacing w:before="240" w:after="0"/>
        <w:jc w:val="left"/>
        <w:rPr>
          <w:rFonts w:ascii="Times New Roman" w:hAnsi="Times New Roman"/>
          <w:sz w:val="20"/>
        </w:rPr>
      </w:pPr>
      <w:r>
        <w:rPr>
          <w:rFonts w:ascii="Times New Roman" w:hAnsi="Times New Roman"/>
          <w:sz w:val="20"/>
        </w:rPr>
        <w:t xml:space="preserve">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in purchasing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The underwriters will receive the same upfront discounts and commissions on units purchased by the non-managing investors in the offering, if any, as they will on the other units sold to the public in this offering. Any trading decisions made by any of the foregoing entities will be made by them based on market conditions at the time of the proposed sale or redemption. The underwriters’ affiliates will not become non-managing investors or receive any economic or other interest in the sponsor. </w:t>
      </w:r>
    </w:p>
    <w:p>
      <w:pPr>
        <w:pStyle w:val="TextBody"/>
        <w:bidi w:val="0"/>
        <w:spacing w:before="360" w:after="0"/>
        <w:jc w:val="left"/>
        <w:rPr>
          <w:rFonts w:ascii="Times New Roman" w:hAnsi="Times New Roman"/>
          <w:sz w:val="20"/>
        </w:rPr>
      </w:pPr>
      <w:r>
        <w:rPr>
          <w:rFonts w:ascii="Times New Roman" w:hAnsi="Times New Roman"/>
          <w:b/>
          <w:sz w:val="20"/>
        </w:rPr>
        <w:t>Referral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September 12, 2025, D. Boral Capital LLC, the representative of the underwriters, entered into a Referral Agreement with United First Partners LLC, pursuant to which the underwriters will pay United First Partners LLC a $250,000 referral fee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our executive officers and directors, and our sponsor have entered into lock-up agreements with the underwriters. Under the lock-up agreements, subject to certain exceptions, we and each of these persons may not, without the prior written approval of the underwriters offer, sell, contract to sell, pledge, or otherwise dispose of, directly or indirectly, or hedge our units, rights, Class A ordinary shares, Class B ordinary shares or any other securities convertible into or exchangeable or exercisable for Class A ordinary shares. These restrictions will be in effect for a period of 180 days after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at any time and in their sole discretion, release some or all the securities from these lock-up agreements. The underwriters will consider, among other factors, the holder’s reasons for requesting the release, the number of securities for which the release is being requested and market conditions at the time. If the restrictions under the lock-up agreements are waived, our units, rights, Class A ordinary shares and Class B ordinary shares may become available for resale into the market, subject to applicable law, which could reduce the market price of our securities. </w:t>
      </w:r>
    </w:p>
    <w:p>
      <w:pPr>
        <w:pStyle w:val="TextBody"/>
        <w:bidi w:val="0"/>
        <w:spacing w:before="240" w:after="0"/>
        <w:jc w:val="left"/>
        <w:rPr>
          <w:rFonts w:ascii="Times New Roman" w:hAnsi="Times New Roman"/>
          <w:sz w:val="20"/>
        </w:rPr>
      </w:pPr>
      <w:r>
        <w:rPr>
          <w:rFonts w:ascii="Times New Roman" w:hAnsi="Times New Roman"/>
          <w:sz w:val="20"/>
        </w:rPr>
        <w:t>Except with respect to permitted transferees as described herein under “</w:t>
      </w:r>
      <w:r>
        <w:rPr>
          <w:rFonts w:ascii="Times New Roman" w:hAnsi="Times New Roman"/>
          <w:i/>
          <w:sz w:val="20"/>
        </w:rPr>
        <w:t>Principal Shareholders</w:t>
      </w:r>
      <w:r>
        <w:rPr>
          <w:rFonts w:ascii="Times New Roman" w:hAnsi="Times New Roman"/>
          <w:sz w:val="20"/>
        </w:rPr>
        <w:t xml:space="preserve">,” our initial shareholders have agreed not to transfer, assign or sell any of their respective founder shares, private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and private placement units (and underlying securities), and any Class A ordinary shares issuable upon conversion thereof that is in the case of the founder shares and private investor shares and any Class A ordinary shares issuable upon conversion thereof, the earlier of (A) six months after the date of the consummation of our initial business combination,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and is in the case of the private placement units (and underlying securities), thirty days after the date of the consummation of our initial business combination. Any permitted transferees would be subject to the same restrictions and other agreements as our initial shareholders with respect to any shares.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lock-up period of the non-managing investors shall not be longer than the sponsor’s lock-up period; provided that if upon consummation of an initial business combination, any securityholder holding more than three percent (3.0%) of the capital stock of the surviving company is not subject to a lock-up agreement or is subject to a lock-up agreement for a shorter period of time than the non-managing investors, unless required to comply with the Nasdaq listing conditions, the non-managing investors’ lock-up period shall be reduced to the shortest lock-up period or terminated, as the case may be. Further, if any such securityholder is released from the lock-up period subsequent to the consummation of an initial business combination, the company shall release the private investor shares and private placement shares held by non-managing investors from the lock-up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indemnify the underwriters against certain liabilities, including certain liabilities under the Securities Act. If we are unable to provide this indemnification, we have agreed to contribute to payments the underwriters may be required to make in respect of those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Nasdaq Listing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apply for listing of our public units on Nasdaq under the symbol “GIWWU” and, once the public units begin separate trading, we expect our public shares and public rights to be listed on Nasdaq under the symbols “GIW” and “GIWWR,”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the underwriters may engage in activities that stabilize, maintain or otherwise affect the price of units during and after this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to cover positions created by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penalty bids;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syndicate covering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Stabilizing transactions consist of bids or purchases made for the purpose of preventing or retarding a decline in the market price of our public units while this offering is in progress. Stabilization transactions permit bids to purchase the underlying security so long as the stabilizing bids do not exceed a specified maximum. These transactions may also include making short sales of our public units, which involve the sale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close out any covered short position by either exercising their over-allotment option, in whole or in part, or by purchasing units on the open market. In making this determination, the underwriters will consider, among other things, the price of units available for purchase on the open market as compared to the price at which they may purchase units through the over-allotment option. </w:t>
      </w:r>
    </w:p>
    <w:p>
      <w:pPr>
        <w:pStyle w:val="TextBody"/>
        <w:bidi w:val="0"/>
        <w:spacing w:before="240" w:after="0"/>
        <w:jc w:val="left"/>
        <w:rPr>
          <w:rFonts w:ascii="Times New Roman" w:hAnsi="Times New Roman"/>
          <w:sz w:val="20"/>
        </w:rPr>
      </w:pPr>
      <w:r>
        <w:rPr>
          <w:rFonts w:ascii="Times New Roman" w:hAnsi="Times New Roman"/>
          <w:sz w:val="20"/>
        </w:rPr>
        <w:t xml:space="preserve">Naked short sales are short sales made in excess of the over-allotment option. The underwriters must close out any naked short position by purchasing units on the open market. A naked short position is more likely to be created if the underwriters are concerned that there may be downward pressure on the price of the public units on the open market that could adversely affect investors who purchased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These stabilizing transactions, short sales, purchases to cover positions created by short sales, the imposition of penalty bids and syndicate covering transactions may have the effect of raising or maintaining the market price of our public units or preventing or retarding a decline in the market price of our public units. As a result of these activities, the price of our public units may be higher than the price that otherwise might exist on the open market. The underwriters may carry out these transactions on Nasdaq, in the over-the-counter market or otherwise. Neither we nor the underwriters make any representation or prediction as to the effect that the transactions described above may have on the price of the public units. Neither we, nor the underwriters make any representation that the underwriters will engage in these stabilization transactions or that any transaction,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 of Offering Price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there was no public market for our public units. The initial public offering price will be determined by negotiation between us and the representative of the underwriters. The principal factors to be considered in determining the initial public offering price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set forth in this prospectus and otherwise available to the representative;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history and prospects and the history and prospects for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past and present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for future earnings and the present state of our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condition of the securities market at the time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recent market prices of, and demand for, publicly traded units of generally comparable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deemed relevant by the underwriters and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public offering price range set forth on the cover page of this preliminary prospectus is subject to change as a result of market conditions and other factors. Neither we nor the underwriters can assure investors that an active trading market will develop for our public units, public shares or public rights or that the public units will trade in the public market at or above the initial public offering price. </w:t>
      </w:r>
    </w:p>
    <w:p>
      <w:pPr>
        <w:pStyle w:val="TextBody"/>
        <w:bidi w:val="0"/>
        <w:spacing w:before="360" w:after="0"/>
        <w:jc w:val="left"/>
        <w:rPr>
          <w:rFonts w:ascii="Times New Roman" w:hAnsi="Times New Roman"/>
          <w:b/>
          <w:sz w:val="20"/>
        </w:rPr>
      </w:pPr>
      <w:r>
        <w:rPr>
          <w:rFonts w:ascii="Times New Roman" w:hAnsi="Times New Roman"/>
          <w:b/>
          <w:sz w:val="20"/>
        </w:rPr>
        <w:t xml:space="preserve">Affiliations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affiliates are full service financial institutions engaged in various activities, which may include securities trading, commercial and investment banking, financial advisory,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We are not under any contractual obligation to engage the underwriters to provide any services for us after this offering and have no present intent to do so. However, the underwriters may introduce us to potential target businesses or assist us in raising additional capital in the future. If the underwriters provide services to us after this offering, we may pay the underwriters fair and reasonable fees that would be determined at that time in an arm’s length negotiation; provided, that no agreement will be entered into with the underwriters and no fees for such services will be paid to the underwriters prior to the date that is 60 days from the date of this prospectus, unless such payment would not be deemed underwriters’ compensation in connection with this offering and we may pay the underwriters of this offering or any entity with which it is affiliated a finder’s fee or other compensation for services rendered to us in connection with the completion of a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Residents of 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and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is not a prospectus for the purposes of the Prospectus Regulation (as defined below). This prospectus and any offer if made subsequently is directed only at persons in Member States of the European Economic Area (the “EEA”) or in the United Kingdom (the “UK”) (each, a “Relevant State”) who are “qualified investors” within the meaning of Article 2(e) of the Prospectus Regulation. This prospectus has been prepared on the basis that any offer of our securities in any Relevant State will be made pursuant to an exemption under the Prospectus Regulation from the requirement to publish a prospectus for offers of our securities. Accordingly any person making or intending to make an offer in that Relevant State of our securities which are the subject of the offering contemplated in this prospectus may only do so in circumstances in which no obligation arises for our company or any of the underwriters to publish a prospectus pursuant to Article 3 of the Prospectus Regulation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relation to such offer. Neither we nor the underwriters have authorized, nor do we or they authorize, the making of any offer of our securities in circumstances in which an obligation arises for us or the underwriters to publish a prospectus for such offer. The expression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each Relevant State, no offer of our securities which are the subject of the offering contemplated by this prospectus to the public may be made in that Relevant State other than: </w:t>
      </w:r>
    </w:p>
    <w:p>
      <w:pPr>
        <w:pStyle w:val="TextBody"/>
        <w:bidi w:val="0"/>
        <w:spacing w:before="120" w:after="0"/>
        <w:jc w:val="left"/>
        <w:rPr>
          <w:rFonts w:ascii="Times New Roman" w:hAnsi="Times New Roman"/>
          <w:sz w:val="20"/>
        </w:rPr>
      </w:pPr>
      <w:r>
        <w:rPr>
          <w:rFonts w:ascii="Times New Roman" w:hAnsi="Times New Roman"/>
          <w:sz w:val="20"/>
        </w:rPr>
        <w:t xml:space="preserve">(a) to any legal entity which is a qualified investor as defined in the Prospectus Regulation; </w:t>
      </w:r>
    </w:p>
    <w:p>
      <w:pPr>
        <w:pStyle w:val="TextBody"/>
        <w:bidi w:val="0"/>
        <w:spacing w:before="12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in the Prospectus Regulation), subject to obtaining the prior consent of the relevant underwriter or underwriter nominated by us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provided that no such offer of our securities shall require us or any underwriter to publish a prospectus pursuant to Article 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of our securities to the public” in relation to our securities in any Relevant State means the communication in any form and by any means of sufficient information on the terms of the offer and our securities to be offered so as to enable an investor to decide to purchase or subscribe for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EEA and UK selling restriction is in addition to any other selling restrictions set out below.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is not intended to constitute an offer or solicitation to purchase or invest in the public units in Switzerland. The public units offered hereby may not be publicly offered, directly or indirectly, in Switzerland within the meaning of the Swiss Financial Services Act (“FinSA”) and no application has or will be made to admit the public units to trading on any trading venue (exchange or multilateral trading facility) in Switzerland. Neither this prospectus nor any other offering or marketing material relating to the public units constitutes a prospectus pursuant to the FinSA, and neither this prospectus nor any other offering or marketing material relating to the public units may be publicly distributed or otherwise made publicly available in Switzerland.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with Respect to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may not be distributed or circulated to any person in the UK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Any invitation or inducement to engage in investment activity (within the meaning of Section 21 of the United Kingdom’s Financial Services and Markets Act 2000, as amended (the “FSMA”)) in connection with the issue or sale of our securities may only be communicated or caused to be communicated in circumstances in which Section 21(1) of the FSMA does not apply to us. </w:t>
      </w:r>
    </w:p>
    <w:p>
      <w:pPr>
        <w:pStyle w:val="TextBody"/>
        <w:bidi w:val="0"/>
        <w:spacing w:before="240" w:after="0"/>
        <w:jc w:val="left"/>
        <w:rPr>
          <w:rFonts w:ascii="Times New Roman" w:hAnsi="Times New Roman"/>
          <w:sz w:val="20"/>
        </w:rPr>
      </w:pPr>
      <w:r>
        <w:rPr>
          <w:rFonts w:ascii="Times New Roman" w:hAnsi="Times New Roman"/>
          <w:sz w:val="20"/>
        </w:rPr>
        <w:t xml:space="preserve">All applicable provisions of the FSMA must be complied with in respect to anything done by any person in relation to our securities in, from or otherwise involving the UK.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France </w:t>
      </w:r>
    </w:p>
    <w:p>
      <w:pPr>
        <w:pStyle w:val="TextBody"/>
        <w:bidi w:val="0"/>
        <w:spacing w:before="120" w:after="0"/>
        <w:jc w:val="left"/>
        <w:rPr>
          <w:rFonts w:ascii="Times New Roman" w:hAnsi="Times New Roman"/>
          <w:sz w:val="20"/>
        </w:rPr>
      </w:pPr>
      <w:r>
        <w:rPr>
          <w:rFonts w:ascii="Times New Roman" w:hAnsi="Times New Roman"/>
          <w:sz w:val="20"/>
        </w:rPr>
        <w:t xml:space="preserve">Neither this prospectus nor any other offering material relating to the public units described in this prospectus has been submitted to the clearance procedures of the Autorité des Marchés Financiers or by the competent authority of another member state of the European Economic Area and notified to the Autorité des Marchés Financiers. The public units have not been offered or sold and will not be offered or sold, directly or indirectly, to the public in France. Neither this prospectus nor any other offering material relating to the public units has been or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released, issued, distributed or caused to be released, issued or distributed to the public in France;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used in connection with any offer for subscription or sale of the public units to the public in France.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offers, sales and distributions will be made in France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investment services providers authorized to engage in portfolio management on behalf of third parties;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transaction that, in accordance with article L.411-2-II-1° -or-2° -or 3° of the French Code monétaire et financier and article 211-2 of the General Regulations (Règlement Général) of the Autorité des Marchés Financiers, does not constitute a public offer (appel public à l’épargne).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public units may be resold directly or indirectly, only in compliance with Articles L.411-1, L.411-2, L.412-1 and L.621-8 through L.621-8-3 of the French Code monétaire et financier.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No securities have been offered or sold, and no securities may be offered or sold, in Hong Kong, by means of any document, other than (a) to “professional investors” as defined in the Securities and Futures Ordinance (Cap. 571) of Hong Kong (“SFO”) and any rules made under the SFO; or (b) in other circumstances which do not result in the document being a “prospectus” as defined in the Companies Ordinance (Winding Up and Miscellaneous Provisions Ordinance (Cap. 32) of Hong Kong (the “C(WUMP)O”) or which do not constitute an offer to the public within the meaning of the C(WUMP)O.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and will not be lodged or registered as a prospectus with the Monetary Authority of Singapore. Accordingly, this prospectus and any other document or material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defined in Section 275(2) of the SFA,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32 of the Securities and Futures (Offers of Investments) (Shares and Debentures) Regulations 2005 of Singapore.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Cayman Islands </w:t>
      </w:r>
    </w:p>
    <w:p>
      <w:pPr>
        <w:pStyle w:val="TextBody"/>
        <w:bidi w:val="0"/>
        <w:spacing w:before="120" w:after="0"/>
        <w:jc w:val="left"/>
        <w:rPr>
          <w:rFonts w:ascii="Times New Roman" w:hAnsi="Times New Roman"/>
          <w:sz w:val="20"/>
        </w:rPr>
      </w:pPr>
      <w:r>
        <w:rPr>
          <w:rFonts w:ascii="Times New Roman" w:hAnsi="Times New Roman"/>
          <w:sz w:val="20"/>
        </w:rPr>
        <w:t xml:space="preserve">No offer or invitation, whether directly or indirectly may be made to the public in the Cayman Islands to subscribe for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929696_19"/>
      <w:bookmarkEnd w:id="2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DLA Piper LLP (US), San Francisco, California, is acting as counsel in connection with the registration of our securities under the Securities Act, and as such, will pass upon the validity of the securities offered in this prospectus with respect to units and rights. Harney Westwood &amp; Riegels (Cayman) LLP will pass upon the validity of the securities offered in this prospectus with respect to the ordinary shares and matters of Cayman Islands law. Ellenoff Grossman &amp; Schole LLP, New York, New York, is acting as counsel to the underwriters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929696_20"/>
      <w:bookmarkEnd w:id="2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July 21, 2025 and for the period from June 30, 2025 (date of inception) through July 21, 2025 included in this prospectus have been so included in reliance on the report (which contains an explanatory paragraph relating to the Company’s ability to continue as a going concern as described in Note 1 to the financial statements) of BPM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929696_21"/>
      <w:bookmarkEnd w:id="23"/>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this offering, we will be subject to the information requirements of the Exchange Act and will file (if we are a foreign private issuer, in certain cases voluntarily) annual, quarterly and current event reports, proxy statements (if we will not be a foreign private issuer at such time) and other information with the SEC. You can read our SEC filings, including the registration statement, over the Internet at the SEC’s website at </w:t>
      </w:r>
      <w:r>
        <w:rPr>
          <w:rFonts w:ascii="Times New Roman" w:hAnsi="Times New Roman"/>
          <w:i/>
          <w:sz w:val="20"/>
        </w:rPr>
        <w:t>www.sec.gov</w:t>
      </w:r>
      <w:r>
        <w:rPr>
          <w:rFonts w:ascii="Times New Roman" w:hAnsi="Times New Roman"/>
          <w:sz w:val="20"/>
        </w:rPr>
        <w:t xml:space="preserve">. In addition, copies of our SEC filings may be accessed on our company website at </w:t>
      </w:r>
    </w:p>
    <w:p>
      <w:pPr>
        <w:pStyle w:val="TextBody"/>
        <w:bidi w:val="0"/>
        <w:spacing w:before="0" w:after="0"/>
        <w:jc w:val="left"/>
        <w:rPr>
          <w:rFonts w:ascii="Times New Roman" w:hAnsi="Times New Roman"/>
          <w:sz w:val="20"/>
        </w:rPr>
      </w:pPr>
      <w:r>
        <w:rPr>
          <w:rFonts w:ascii="Times New Roman" w:hAnsi="Times New Roman"/>
          <w:i/>
          <w:sz w:val="20"/>
        </w:rPr>
        <w:t>http://www.gigcapital8.com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929696_22"/>
      <w:bookmarkEnd w:id="24"/>
      <w:r>
        <w:rPr>
          <w:rFonts w:ascii="Times New Roman" w:hAnsi="Times New Roman"/>
          <w:b/>
          <w:sz w:val="20"/>
        </w:rPr>
        <w:t xml:space="preserve">GIGCAPITAL8 CORP. </w:t>
      </w:r>
    </w:p>
    <w:p>
      <w:pPr>
        <w:pStyle w:val="TextBody"/>
        <w:bidi w:val="0"/>
        <w:spacing w:before="120" w:after="0"/>
        <w:jc w:val="center"/>
        <w:rPr>
          <w:rFonts w:ascii="Times New Roman" w:hAnsi="Times New Roman"/>
          <w:b/>
          <w:sz w:val="20"/>
        </w:rPr>
      </w:pPr>
      <w:bookmarkStart w:id="25" w:name="index"/>
      <w:bookmarkEnd w:id="25"/>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7"/>
        <w:gridCol w:w="153"/>
        <w:gridCol w:w="60"/>
        <w:gridCol w:w="363"/>
        <w:gridCol w:w="62"/>
      </w:tblGrid>
      <w:tr>
        <w:trPr/>
        <w:tc>
          <w:tcPr>
            <w:tcW w:w="956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67" w:type="dxa"/>
            <w:tcBorders/>
          </w:tcPr>
          <w:p>
            <w:pPr>
              <w:pStyle w:val="TableContents"/>
              <w:bidi w:val="0"/>
              <w:spacing w:before="0" w:after="0"/>
              <w:jc w:val="left"/>
              <w:rPr/>
            </w:pPr>
            <w:hyperlink w:anchor="fin929696_1">
              <w:r>
                <w:rPr>
                  <w:rStyle w:val="InternetLink"/>
                  <w:rFonts w:ascii="Times New Roman" w:hAnsi="Times New Roman"/>
                  <w:sz w:val="20"/>
                </w:rPr>
                <w:t>Report of Independent Registered Public Accounting Firm (PCAOB ID: 207)</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929696_2">
              <w:r>
                <w:rPr>
                  <w:rStyle w:val="InternetLink"/>
                  <w:rFonts w:ascii="Times New Roman" w:hAnsi="Times New Roman"/>
                  <w:sz w:val="20"/>
                </w:rPr>
                <w:t>Balance Sheet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929696_3">
              <w:r>
                <w:rPr>
                  <w:rStyle w:val="InternetLink"/>
                  <w:rFonts w:ascii="Times New Roman" w:hAnsi="Times New Roman"/>
                  <w:sz w:val="20"/>
                </w:rPr>
                <w:t>Statement of Operations and Comprehensive Loss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929696_4">
              <w:r>
                <w:rPr>
                  <w:rStyle w:val="InternetLink"/>
                  <w:rFonts w:ascii="Times New Roman" w:hAnsi="Times New Roman"/>
                  <w:sz w:val="20"/>
                </w:rPr>
                <w:t>Statement of Shareholders’ Equity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929696_5">
              <w:r>
                <w:rPr>
                  <w:rStyle w:val="InternetLink"/>
                  <w:rFonts w:ascii="Times New Roman" w:hAnsi="Times New Roman"/>
                  <w:sz w:val="20"/>
                </w:rPr>
                <w:t>Statement of Cash Flows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929696_6">
              <w:r>
                <w:rPr>
                  <w:rStyle w:val="InternetLink"/>
                  <w:rFonts w:ascii="Times New Roman" w:hAnsi="Times New Roman"/>
                  <w:sz w:val="20"/>
                </w:rPr>
                <w:t>Notes to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fin929696_1"/>
      <w:bookmarkEnd w:id="26"/>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w:t>
      </w:r>
    </w:p>
    <w:p>
      <w:pPr>
        <w:pStyle w:val="TextBody"/>
        <w:bidi w:val="0"/>
        <w:spacing w:before="0" w:after="0"/>
        <w:jc w:val="left"/>
        <w:rPr>
          <w:rFonts w:ascii="Times New Roman" w:hAnsi="Times New Roman"/>
          <w:sz w:val="20"/>
        </w:rPr>
      </w:pPr>
      <w:r>
        <w:rPr>
          <w:rFonts w:ascii="Times New Roman" w:hAnsi="Times New Roman"/>
          <w:sz w:val="20"/>
        </w:rPr>
        <w:t xml:space="preserve">Shareholders of GigCapital8 Corp.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 of GigCapital8 Corp. (a Cayman Islands exempted company) (the “Company”) as of July 21, 2025, and the related statements of operations and comprehensive loss, shareholders’ equity, and cash flows for the period from June 30, 2025 (date of inception) through July 21, 2025, and the related notes (collectively referred to as the “financial statements”). In our opinion, the financial statements present fairly, in all material respects, the financial position of the Company as of July 21, 2025, and the results of its operations and its cash flows for the period from June 30, 2025 (date of inception) through July 21, 2025,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Uncertainty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GigCapital8 Corp. will continue as a going concern. As discussed in Note 1 to the financial statements, the Company has no present revenue, its business plan is dependent on the completion of a financing and the Company’s cash and working capital as of July 21, 2025 are not sufficient to complete its planned activities for the upcoming year. These conditions raise substantial doubt about the Company’s ability to continue as a going concern. Management’s plans regarding these matters are also described in Notes 1, 3 and 4. The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BPM LLP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the Company’s auditor since 2025. </w:t>
      </w:r>
    </w:p>
    <w:p>
      <w:pPr>
        <w:pStyle w:val="TextBody"/>
        <w:bidi w:val="0"/>
        <w:spacing w:before="24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0" w:after="0"/>
        <w:jc w:val="left"/>
        <w:rPr>
          <w:rFonts w:ascii="Times New Roman" w:hAnsi="Times New Roman"/>
          <w:sz w:val="20"/>
        </w:rPr>
      </w:pPr>
      <w:r>
        <w:rPr>
          <w:rFonts w:ascii="Times New Roman" w:hAnsi="Times New Roman"/>
          <w:sz w:val="20"/>
        </w:rPr>
        <w:t>October 3, 2025</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fin929696_2"/>
      <w:bookmarkEnd w:id="27"/>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BALANCE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74"/>
        <w:gridCol w:w="231"/>
        <w:gridCol w:w="140"/>
        <w:gridCol w:w="802"/>
        <w:gridCol w:w="158"/>
      </w:tblGrid>
      <w:tr>
        <w:trPr/>
        <w:tc>
          <w:tcPr>
            <w:tcW w:w="8874"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87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21,</w:t>
              <w:br/>
              <w:t>2025</w:t>
            </w:r>
          </w:p>
        </w:tc>
        <w:tc>
          <w:tcPr>
            <w:tcW w:w="158" w:type="dxa"/>
            <w:tcBorders/>
            <w:vAlign w:val="bottom"/>
          </w:tcPr>
          <w:p>
            <w:pPr>
              <w:pStyle w:val="TableContents"/>
              <w:bidi w:val="0"/>
              <w:spacing w:before="0" w:after="283"/>
              <w:jc w:val="left"/>
              <w:rPr/>
            </w:pPr>
            <w:r>
              <w:rPr/>
              <w:t> </w:t>
            </w:r>
          </w:p>
        </w:tc>
      </w:tr>
      <w:tr>
        <w:trPr/>
        <w:tc>
          <w:tcPr>
            <w:tcW w:w="8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87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assets—cash</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125,000</w:t>
            </w:r>
          </w:p>
        </w:tc>
        <w:tc>
          <w:tcPr>
            <w:tcW w:w="158" w:type="dxa"/>
            <w:tcBorders/>
            <w:vAlign w:val="bottom"/>
          </w:tcPr>
          <w:p>
            <w:pPr>
              <w:pStyle w:val="TableContents"/>
              <w:bidi w:val="0"/>
              <w:spacing w:before="0" w:after="283"/>
              <w:jc w:val="left"/>
              <w:rPr/>
            </w:pPr>
            <w:r>
              <w:rPr/>
              <w:t> </w:t>
            </w:r>
          </w:p>
        </w:tc>
      </w:tr>
      <w:tr>
        <w:trPr/>
        <w:tc>
          <w:tcPr>
            <w:tcW w:w="8874"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125,000</w:t>
            </w:r>
          </w:p>
        </w:tc>
        <w:tc>
          <w:tcPr>
            <w:tcW w:w="158" w:type="dxa"/>
            <w:tcBorders/>
            <w:shd w:fill="CCEEFF" w:val="clear"/>
            <w:vAlign w:val="bottom"/>
          </w:tcPr>
          <w:p>
            <w:pPr>
              <w:pStyle w:val="TableContents"/>
              <w:bidi w:val="0"/>
              <w:spacing w:before="0" w:after="283"/>
              <w:jc w:val="left"/>
              <w:rPr/>
            </w:pPr>
            <w:r>
              <w:rPr/>
              <w:t> </w:t>
            </w:r>
          </w:p>
        </w:tc>
      </w:tr>
      <w:tr>
        <w:trPr/>
        <w:tc>
          <w:tcPr>
            <w:tcW w:w="8874"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74"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874"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payable</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100,000</w:t>
            </w:r>
          </w:p>
        </w:tc>
        <w:tc>
          <w:tcPr>
            <w:tcW w:w="158" w:type="dxa"/>
            <w:tcBorders/>
            <w:vAlign w:val="bottom"/>
          </w:tcPr>
          <w:p>
            <w:pPr>
              <w:pStyle w:val="TableContents"/>
              <w:bidi w:val="0"/>
              <w:spacing w:before="0" w:after="283"/>
              <w:jc w:val="left"/>
              <w:rPr/>
            </w:pPr>
            <w:r>
              <w:rPr/>
              <w:t> </w:t>
            </w:r>
          </w:p>
        </w:tc>
      </w:tr>
      <w:tr>
        <w:trPr/>
        <w:tc>
          <w:tcPr>
            <w:tcW w:w="8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19,332</w:t>
            </w:r>
          </w:p>
        </w:tc>
        <w:tc>
          <w:tcPr>
            <w:tcW w:w="158" w:type="dxa"/>
            <w:tcBorders/>
            <w:shd w:fill="CCEEFF" w:val="clear"/>
            <w:vAlign w:val="bottom"/>
          </w:tcPr>
          <w:p>
            <w:pPr>
              <w:pStyle w:val="TableContents"/>
              <w:bidi w:val="0"/>
              <w:spacing w:before="0" w:after="283"/>
              <w:jc w:val="left"/>
              <w:rPr/>
            </w:pPr>
            <w:r>
              <w:rPr/>
              <w:t> </w:t>
            </w:r>
          </w:p>
        </w:tc>
      </w:tr>
      <w:tr>
        <w:trPr/>
        <w:tc>
          <w:tcPr>
            <w:tcW w:w="8874"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7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119,332</w:t>
            </w:r>
          </w:p>
        </w:tc>
        <w:tc>
          <w:tcPr>
            <w:tcW w:w="158" w:type="dxa"/>
            <w:tcBorders/>
            <w:vAlign w:val="bottom"/>
          </w:tcPr>
          <w:p>
            <w:pPr>
              <w:pStyle w:val="TableContents"/>
              <w:bidi w:val="0"/>
              <w:spacing w:before="0" w:after="283"/>
              <w:jc w:val="left"/>
              <w:rPr/>
            </w:pPr>
            <w:r>
              <w:rPr/>
              <w:t> </w:t>
            </w:r>
          </w:p>
        </w:tc>
      </w:tr>
      <w:tr>
        <w:trPr/>
        <w:tc>
          <w:tcPr>
            <w:tcW w:w="8874"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Commitments (Note 4-Related Party Transactions)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874"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 par value of $0.0001 per share; 1,000,000 shares authorized; none issued or outstanding</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874"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par value of $0.0001 per share; 200,000,000 shares authorized; none issued or outstanding</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8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ordinary shares, par value of $0.0001 per share; 20,000,000 shares authorized; 7,850,229 shares issued and outstanding(1)</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785</w:t>
            </w:r>
          </w:p>
        </w:tc>
        <w:tc>
          <w:tcPr>
            <w:tcW w:w="158" w:type="dxa"/>
            <w:tcBorders/>
            <w:shd w:fill="CCEEFF" w:val="clear"/>
            <w:vAlign w:val="bottom"/>
          </w:tcPr>
          <w:p>
            <w:pPr>
              <w:pStyle w:val="TableContents"/>
              <w:bidi w:val="0"/>
              <w:spacing w:before="0" w:after="283"/>
              <w:jc w:val="left"/>
              <w:rPr/>
            </w:pPr>
            <w:r>
              <w:rPr/>
              <w:t> </w:t>
            </w:r>
          </w:p>
        </w:tc>
      </w:tr>
      <w:tr>
        <w:trPr/>
        <w:tc>
          <w:tcPr>
            <w:tcW w:w="887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24,215</w:t>
            </w:r>
          </w:p>
        </w:tc>
        <w:tc>
          <w:tcPr>
            <w:tcW w:w="158" w:type="dxa"/>
            <w:tcBorders/>
            <w:vAlign w:val="bottom"/>
          </w:tcPr>
          <w:p>
            <w:pPr>
              <w:pStyle w:val="TableContents"/>
              <w:bidi w:val="0"/>
              <w:spacing w:before="0" w:after="283"/>
              <w:jc w:val="left"/>
              <w:rPr/>
            </w:pPr>
            <w:r>
              <w:rPr/>
              <w:t> </w:t>
            </w:r>
          </w:p>
        </w:tc>
      </w:tr>
      <w:tr>
        <w:trPr/>
        <w:tc>
          <w:tcPr>
            <w:tcW w:w="8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(19,332</w:t>
            </w:r>
          </w:p>
        </w:tc>
        <w:tc>
          <w:tcPr>
            <w:tcW w:w="158" w:type="dxa"/>
            <w:tcBorders/>
            <w:shd w:fill="CCEEFF" w:val="clear"/>
            <w:vAlign w:val="bottom"/>
          </w:tcPr>
          <w:p>
            <w:pPr>
              <w:pStyle w:val="TableContents"/>
              <w:bidi w:val="0"/>
              <w:spacing w:before="0" w:after="283"/>
              <w:jc w:val="left"/>
              <w:rPr/>
            </w:pPr>
            <w:r>
              <w:rPr/>
              <w:t>) </w:t>
            </w:r>
          </w:p>
        </w:tc>
      </w:tr>
      <w:tr>
        <w:trPr/>
        <w:tc>
          <w:tcPr>
            <w:tcW w:w="8874"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7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5,668</w:t>
            </w:r>
          </w:p>
        </w:tc>
        <w:tc>
          <w:tcPr>
            <w:tcW w:w="158" w:type="dxa"/>
            <w:tcBorders/>
            <w:vAlign w:val="bottom"/>
          </w:tcPr>
          <w:p>
            <w:pPr>
              <w:pStyle w:val="TableContents"/>
              <w:bidi w:val="0"/>
              <w:spacing w:before="0" w:after="283"/>
              <w:jc w:val="left"/>
              <w:rPr/>
            </w:pPr>
            <w:r>
              <w:rPr/>
              <w:t> </w:t>
            </w:r>
          </w:p>
        </w:tc>
      </w:tr>
      <w:tr>
        <w:trPr/>
        <w:tc>
          <w:tcPr>
            <w:tcW w:w="8874"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125,000</w:t>
            </w:r>
          </w:p>
        </w:tc>
        <w:tc>
          <w:tcPr>
            <w:tcW w:w="158" w:type="dxa"/>
            <w:tcBorders/>
            <w:shd w:fill="CCEEFF" w:val="clear"/>
            <w:vAlign w:val="bottom"/>
          </w:tcPr>
          <w:p>
            <w:pPr>
              <w:pStyle w:val="TableContents"/>
              <w:bidi w:val="0"/>
              <w:spacing w:before="0" w:after="283"/>
              <w:jc w:val="left"/>
              <w:rPr/>
            </w:pPr>
            <w:r>
              <w:rPr/>
              <w:t> </w:t>
            </w:r>
          </w:p>
        </w:tc>
      </w:tr>
      <w:tr>
        <w:trPr/>
        <w:tc>
          <w:tcPr>
            <w:tcW w:w="8874"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number includes up to 1,023,943 Class B ordinary shares subject to forfeiture if the over-allotment option is not exercised in full or in part by the underwriter.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fin929696_3"/>
      <w:bookmarkEnd w:id="28"/>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AND COMPREHENSIVE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61"/>
        <w:gridCol w:w="562"/>
        <w:gridCol w:w="176"/>
        <w:gridCol w:w="1248"/>
        <w:gridCol w:w="158"/>
      </w:tblGrid>
      <w:tr>
        <w:trPr/>
        <w:tc>
          <w:tcPr>
            <w:tcW w:w="8061" w:type="dxa"/>
            <w:tcBorders/>
            <w:vAlign w:val="center"/>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61"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June 30, 2025</w:t>
              <w:br/>
              <w:t>(Inception)</w:t>
              <w:br/>
              <w:t>through</w:t>
              <w:br/>
              <w:t>July 21, 2025</w:t>
            </w:r>
          </w:p>
        </w:tc>
        <w:tc>
          <w:tcPr>
            <w:tcW w:w="158" w:type="dxa"/>
            <w:tcBorders/>
            <w:vAlign w:val="bottom"/>
          </w:tcPr>
          <w:p>
            <w:pPr>
              <w:pStyle w:val="TableContents"/>
              <w:bidi w:val="0"/>
              <w:spacing w:before="0" w:after="283"/>
              <w:jc w:val="left"/>
              <w:rPr/>
            </w:pPr>
            <w:r>
              <w:rPr/>
              <w:t> </w:t>
            </w:r>
          </w:p>
        </w:tc>
      </w:tr>
      <w:tr>
        <w:trPr/>
        <w:tc>
          <w:tcPr>
            <w:tcW w:w="80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56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56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19,332</w:t>
            </w:r>
          </w:p>
        </w:tc>
        <w:tc>
          <w:tcPr>
            <w:tcW w:w="158" w:type="dxa"/>
            <w:tcBorders/>
            <w:vAlign w:val="bottom"/>
          </w:tcPr>
          <w:p>
            <w:pPr>
              <w:pStyle w:val="TableContents"/>
              <w:bidi w:val="0"/>
              <w:spacing w:before="0" w:after="283"/>
              <w:jc w:val="left"/>
              <w:rPr/>
            </w:pPr>
            <w:r>
              <w:rPr/>
              <w:t> </w:t>
            </w:r>
          </w:p>
        </w:tc>
      </w:tr>
      <w:tr>
        <w:trPr/>
        <w:tc>
          <w:tcPr>
            <w:tcW w:w="8061"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56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8" w:type="dxa"/>
            <w:tcBorders/>
            <w:shd w:fill="CCEEFF" w:val="clear"/>
            <w:vAlign w:val="bottom"/>
          </w:tcPr>
          <w:p>
            <w:pPr>
              <w:pStyle w:val="TableContents"/>
              <w:bidi w:val="0"/>
              <w:spacing w:before="0" w:after="283"/>
              <w:jc w:val="right"/>
              <w:rPr/>
            </w:pPr>
            <w:r>
              <w:rPr/>
              <w:t>19,332</w:t>
            </w:r>
          </w:p>
        </w:tc>
        <w:tc>
          <w:tcPr>
            <w:tcW w:w="158" w:type="dxa"/>
            <w:tcBorders/>
            <w:shd w:fill="CCEEFF" w:val="clear"/>
            <w:vAlign w:val="bottom"/>
          </w:tcPr>
          <w:p>
            <w:pPr>
              <w:pStyle w:val="TableContents"/>
              <w:bidi w:val="0"/>
              <w:spacing w:before="0" w:after="283"/>
              <w:jc w:val="left"/>
              <w:rPr/>
            </w:pPr>
            <w:r>
              <w:rPr/>
              <w:t> </w:t>
            </w:r>
          </w:p>
        </w:tc>
      </w:tr>
      <w:tr>
        <w:trPr/>
        <w:tc>
          <w:tcPr>
            <w:tcW w:w="8061"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basic and diluted(1)</w:t>
            </w:r>
          </w:p>
        </w:tc>
        <w:tc>
          <w:tcPr>
            <w:tcW w:w="56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7,868,100</w:t>
            </w:r>
          </w:p>
        </w:tc>
        <w:tc>
          <w:tcPr>
            <w:tcW w:w="158" w:type="dxa"/>
            <w:tcBorders/>
            <w:vAlign w:val="bottom"/>
          </w:tcPr>
          <w:p>
            <w:pPr>
              <w:pStyle w:val="TableContents"/>
              <w:bidi w:val="0"/>
              <w:spacing w:before="0" w:after="283"/>
              <w:jc w:val="left"/>
              <w:rPr/>
            </w:pPr>
            <w:r>
              <w:rPr/>
              <w:t> </w:t>
            </w:r>
          </w:p>
        </w:tc>
      </w:tr>
      <w:tr>
        <w:trPr/>
        <w:tc>
          <w:tcPr>
            <w:tcW w:w="8061"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per ordinary share, basic and diluted</w:t>
            </w:r>
          </w:p>
        </w:tc>
        <w:tc>
          <w:tcPr>
            <w:tcW w:w="56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8" w:type="dxa"/>
            <w:tcBorders/>
            <w:shd w:fill="CCEEFF" w:val="clear"/>
            <w:vAlign w:val="bottom"/>
          </w:tcPr>
          <w:p>
            <w:pPr>
              <w:pStyle w:val="TableContents"/>
              <w:bidi w:val="0"/>
              <w:spacing w:before="0" w:after="283"/>
              <w:jc w:val="right"/>
              <w:rPr/>
            </w:pPr>
            <w:r>
              <w:rPr/>
              <w:t>(0.00</w:t>
            </w:r>
          </w:p>
        </w:tc>
        <w:tc>
          <w:tcPr>
            <w:tcW w:w="158" w:type="dxa"/>
            <w:tcBorders/>
            <w:shd w:fill="CCEEFF" w:val="clear"/>
            <w:vAlign w:val="bottom"/>
          </w:tcPr>
          <w:p>
            <w:pPr>
              <w:pStyle w:val="TableContents"/>
              <w:bidi w:val="0"/>
              <w:spacing w:before="0" w:after="283"/>
              <w:jc w:val="left"/>
              <w:rPr/>
            </w:pPr>
            <w:r>
              <w:rPr/>
              <w:t>) </w:t>
            </w:r>
          </w:p>
        </w:tc>
      </w:tr>
      <w:tr>
        <w:trPr/>
        <w:tc>
          <w:tcPr>
            <w:tcW w:w="8061"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number excludes up to 1,023,943 Class B ordinary shares subject to forfeiture if the over-allotment option is not exercised in full or in part by the underwriter.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fin929696_4"/>
      <w:bookmarkEnd w:id="29"/>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SHAREHOLDERS’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38"/>
        <w:gridCol w:w="209"/>
        <w:gridCol w:w="60"/>
        <w:gridCol w:w="1013"/>
        <w:gridCol w:w="155"/>
        <w:gridCol w:w="155"/>
        <w:gridCol w:w="240"/>
        <w:gridCol w:w="630"/>
        <w:gridCol w:w="155"/>
        <w:gridCol w:w="155"/>
        <w:gridCol w:w="187"/>
        <w:gridCol w:w="953"/>
        <w:gridCol w:w="60"/>
        <w:gridCol w:w="209"/>
        <w:gridCol w:w="214"/>
        <w:gridCol w:w="1204"/>
        <w:gridCol w:w="154"/>
        <w:gridCol w:w="155"/>
        <w:gridCol w:w="236"/>
        <w:gridCol w:w="1260"/>
        <w:gridCol w:w="163"/>
      </w:tblGrid>
      <w:tr>
        <w:trPr/>
        <w:tc>
          <w:tcPr>
            <w:tcW w:w="2638"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3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Ordinary Shares</w:t>
            </w:r>
          </w:p>
        </w:tc>
        <w:tc>
          <w:tcPr>
            <w:tcW w:w="155" w:type="dxa"/>
            <w:tcBorders/>
            <w:vAlign w:val="bottom"/>
          </w:tcPr>
          <w:p>
            <w:pPr>
              <w:pStyle w:val="TableContents"/>
              <w:bidi w:val="0"/>
              <w:spacing w:before="0" w:after="283"/>
              <w:jc w:val="left"/>
              <w:rPr/>
            </w:pPr>
            <w:r>
              <w:rPr/>
              <w:t> </w:t>
            </w:r>
          </w:p>
        </w:tc>
        <w:tc>
          <w:tcPr>
            <w:tcW w:w="155" w:type="dxa"/>
            <w:vMerge w:val="restart"/>
            <w:tcBorders/>
            <w:vAlign w:val="bottom"/>
          </w:tcPr>
          <w:p>
            <w:pPr>
              <w:pStyle w:val="TableContents"/>
              <w:bidi w:val="0"/>
              <w:spacing w:before="0" w:after="283"/>
              <w:jc w:val="left"/>
              <w:rPr/>
            </w:pPr>
            <w:r>
              <w:rPr/>
              <w:t> </w:t>
            </w:r>
          </w:p>
        </w:tc>
        <w:tc>
          <w:tcPr>
            <w:tcW w:w="11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209" w:type="dxa"/>
            <w:vMerge w:val="restart"/>
            <w:tcBorders/>
            <w:vAlign w:val="bottom"/>
          </w:tcPr>
          <w:p>
            <w:pPr>
              <w:pStyle w:val="TableContents"/>
              <w:bidi w:val="0"/>
              <w:spacing w:before="0" w:after="283"/>
              <w:jc w:val="left"/>
              <w:rPr/>
            </w:pPr>
            <w:r>
              <w:rPr/>
              <w:t>  </w:t>
            </w:r>
          </w:p>
        </w:tc>
        <w:tc>
          <w:tcPr>
            <w:tcW w:w="141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4" w:type="dxa"/>
            <w:vMerge w:val="restart"/>
            <w:tcBorders/>
            <w:vAlign w:val="bottom"/>
          </w:tcPr>
          <w:p>
            <w:pPr>
              <w:pStyle w:val="TableContents"/>
              <w:bidi w:val="0"/>
              <w:spacing w:before="0" w:after="283"/>
              <w:jc w:val="left"/>
              <w:rPr/>
            </w:pPr>
            <w:r>
              <w:rPr/>
              <w:t> </w:t>
            </w:r>
          </w:p>
        </w:tc>
        <w:tc>
          <w:tcPr>
            <w:tcW w:w="155" w:type="dxa"/>
            <w:vMerge w:val="restart"/>
            <w:tcBorders/>
            <w:vAlign w:val="bottom"/>
          </w:tcPr>
          <w:p>
            <w:pPr>
              <w:pStyle w:val="TableContents"/>
              <w:bidi w:val="0"/>
              <w:spacing w:before="0" w:after="283"/>
              <w:jc w:val="left"/>
              <w:rPr/>
            </w:pPr>
            <w:r>
              <w:rPr/>
              <w:t> </w:t>
            </w:r>
          </w:p>
        </w:tc>
        <w:tc>
          <w:tcPr>
            <w:tcW w:w="149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Shareholders’</w:t>
              <w:br/>
              <w:t>Equity</w:t>
            </w:r>
          </w:p>
        </w:tc>
        <w:tc>
          <w:tcPr>
            <w:tcW w:w="163" w:type="dxa"/>
            <w:vMerge w:val="restart"/>
            <w:tcBorders/>
            <w:vAlign w:val="bottom"/>
          </w:tcPr>
          <w:p>
            <w:pPr>
              <w:pStyle w:val="TableContents"/>
              <w:bidi w:val="0"/>
              <w:spacing w:before="0" w:after="283"/>
              <w:jc w:val="left"/>
              <w:rPr/>
            </w:pPr>
            <w:r>
              <w:rPr/>
              <w:t> </w:t>
            </w:r>
          </w:p>
        </w:tc>
      </w:tr>
      <w:tr>
        <w:trPr/>
        <w:tc>
          <w:tcPr>
            <w:tcW w:w="263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5" w:type="dxa"/>
            <w:tcBorders/>
            <w:vAlign w:val="bottom"/>
          </w:tcPr>
          <w:p>
            <w:pPr>
              <w:pStyle w:val="TableContents"/>
              <w:bidi w:val="0"/>
              <w:spacing w:before="0" w:after="283"/>
              <w:jc w:val="left"/>
              <w:rPr/>
            </w:pPr>
            <w:r>
              <w:rPr/>
              <w:t> </w:t>
            </w:r>
          </w:p>
        </w:tc>
        <w:tc>
          <w:tcPr>
            <w:tcW w:w="155" w:type="dxa"/>
            <w:vMerge w:val="continue"/>
            <w:tcBorders/>
            <w:vAlign w:val="bottom"/>
          </w:tcPr>
          <w:p>
            <w:pPr>
              <w:pStyle w:val="Normal"/>
              <w:bidi w:val="0"/>
              <w:jc w:val="left"/>
              <w:rPr/>
            </w:pPr>
            <w:r>
              <w:rPr/>
            </w:r>
          </w:p>
        </w:tc>
        <w:tc>
          <w:tcPr>
            <w:tcW w:w="114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9" w:type="dxa"/>
            <w:vMerge w:val="continue"/>
            <w:tcBorders>
              <w:bottom w:val="single" w:sz="8" w:space="0" w:color="000000"/>
            </w:tcBorders>
            <w:tcMar>
              <w:bottom w:w="28" w:type="dxa"/>
            </w:tcMar>
            <w:vAlign w:val="bottom"/>
          </w:tcPr>
          <w:p>
            <w:pPr>
              <w:pStyle w:val="Normal"/>
              <w:bidi w:val="0"/>
              <w:jc w:val="left"/>
              <w:rPr/>
            </w:pPr>
            <w:r>
              <w:rPr/>
            </w:r>
          </w:p>
        </w:tc>
        <w:tc>
          <w:tcPr>
            <w:tcW w:w="1418" w:type="dxa"/>
            <w:gridSpan w:val="2"/>
            <w:vMerge w:val="continue"/>
            <w:tcBorders/>
            <w:vAlign w:val="bottom"/>
          </w:tcPr>
          <w:p>
            <w:pPr>
              <w:pStyle w:val="Normal"/>
              <w:bidi w:val="0"/>
              <w:jc w:val="left"/>
              <w:rPr/>
            </w:pPr>
            <w:r>
              <w:rPr/>
            </w:r>
          </w:p>
        </w:tc>
        <w:tc>
          <w:tcPr>
            <w:tcW w:w="154" w:type="dxa"/>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496" w:type="dxa"/>
            <w:gridSpan w:val="2"/>
            <w:vMerge w:val="continue"/>
            <w:tcBorders>
              <w:bottom w:val="single" w:sz="8" w:space="0" w:color="000000"/>
            </w:tcBorders>
            <w:tcMar>
              <w:bottom w:w="28" w:type="dxa"/>
            </w:tcMar>
            <w:vAlign w:val="bottom"/>
          </w:tcPr>
          <w:p>
            <w:pPr>
              <w:pStyle w:val="Normal"/>
              <w:bidi w:val="0"/>
              <w:jc w:val="left"/>
              <w:rPr/>
            </w:pPr>
            <w:r>
              <w:rPr/>
            </w:r>
          </w:p>
        </w:tc>
        <w:tc>
          <w:tcPr>
            <w:tcW w:w="163" w:type="dxa"/>
            <w:vMerge w:val="continue"/>
            <w:tcBorders/>
            <w:vAlign w:val="bottom"/>
          </w:tcPr>
          <w:p>
            <w:pPr>
              <w:pStyle w:val="Normal"/>
              <w:bidi w:val="0"/>
              <w:jc w:val="left"/>
              <w:rPr/>
            </w:pPr>
            <w:r>
              <w:rPr/>
            </w:r>
          </w:p>
        </w:tc>
      </w:tr>
      <w:tr>
        <w:trPr/>
        <w:tc>
          <w:tcPr>
            <w:tcW w:w="263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155" w:type="dxa"/>
            <w:vMerge w:val="continue"/>
            <w:tcBorders/>
            <w:vAlign w:val="bottom"/>
          </w:tcPr>
          <w:p>
            <w:pPr>
              <w:pStyle w:val="Normal"/>
              <w:bidi w:val="0"/>
              <w:jc w:val="left"/>
              <w:rPr/>
            </w:pPr>
            <w:r>
              <w:rPr/>
            </w:r>
          </w:p>
        </w:tc>
        <w:tc>
          <w:tcPr>
            <w:tcW w:w="114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9" w:type="dxa"/>
            <w:vMerge w:val="continue"/>
            <w:tcBorders>
              <w:bottom w:val="single" w:sz="8" w:space="0" w:color="000000"/>
            </w:tcBorders>
            <w:tcMar>
              <w:bottom w:w="28" w:type="dxa"/>
            </w:tcMar>
            <w:vAlign w:val="bottom"/>
          </w:tcPr>
          <w:p>
            <w:pPr>
              <w:pStyle w:val="Normal"/>
              <w:bidi w:val="0"/>
              <w:jc w:val="left"/>
              <w:rPr/>
            </w:pPr>
            <w:r>
              <w:rPr/>
            </w:r>
          </w:p>
        </w:tc>
        <w:tc>
          <w:tcPr>
            <w:tcW w:w="1418" w:type="dxa"/>
            <w:gridSpan w:val="2"/>
            <w:vMerge w:val="continue"/>
            <w:tcBorders/>
            <w:vAlign w:val="bottom"/>
          </w:tcPr>
          <w:p>
            <w:pPr>
              <w:pStyle w:val="Normal"/>
              <w:bidi w:val="0"/>
              <w:jc w:val="left"/>
              <w:rPr/>
            </w:pPr>
            <w:r>
              <w:rPr/>
            </w:r>
          </w:p>
        </w:tc>
        <w:tc>
          <w:tcPr>
            <w:tcW w:w="154" w:type="dxa"/>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496" w:type="dxa"/>
            <w:gridSpan w:val="2"/>
            <w:vMerge w:val="continue"/>
            <w:tcBorders>
              <w:bottom w:val="single" w:sz="8" w:space="0" w:color="000000"/>
            </w:tcBorders>
            <w:tcMar>
              <w:bottom w:w="28" w:type="dxa"/>
            </w:tcMar>
            <w:vAlign w:val="bottom"/>
          </w:tcPr>
          <w:p>
            <w:pPr>
              <w:pStyle w:val="Normal"/>
              <w:bidi w:val="0"/>
              <w:jc w:val="left"/>
              <w:rPr/>
            </w:pPr>
            <w:r>
              <w:rPr/>
            </w:r>
          </w:p>
        </w:tc>
        <w:tc>
          <w:tcPr>
            <w:tcW w:w="163" w:type="dxa"/>
            <w:vMerge w:val="continue"/>
            <w:tcBorders/>
            <w:vAlign w:val="bottom"/>
          </w:tcPr>
          <w:p>
            <w:pPr>
              <w:pStyle w:val="Normal"/>
              <w:bidi w:val="0"/>
              <w:jc w:val="left"/>
              <w:rPr/>
            </w:pPr>
            <w:r>
              <w:rPr/>
            </w:r>
          </w:p>
        </w:tc>
      </w:tr>
      <w:tr>
        <w:trPr/>
        <w:tc>
          <w:tcPr>
            <w:tcW w:w="2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June 30, 2025 (inception)</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38"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Class B ordinary shares by Founder(1)</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8,099,614</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810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24,190</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25,000</w:t>
            </w:r>
          </w:p>
        </w:tc>
        <w:tc>
          <w:tcPr>
            <w:tcW w:w="163" w:type="dxa"/>
            <w:tcBorders/>
            <w:vAlign w:val="bottom"/>
          </w:tcPr>
          <w:p>
            <w:pPr>
              <w:pStyle w:val="TableContents"/>
              <w:bidi w:val="0"/>
              <w:spacing w:before="0" w:after="283"/>
              <w:jc w:val="left"/>
              <w:rPr/>
            </w:pPr>
            <w:r>
              <w:rPr/>
              <w:t> </w:t>
            </w:r>
          </w:p>
        </w:tc>
      </w:tr>
      <w:tr>
        <w:trPr/>
        <w:tc>
          <w:tcPr>
            <w:tcW w:w="2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Surrender of Class B ordinary shares by Founder</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(249,385</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3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(19,332</w:t>
            </w:r>
          </w:p>
        </w:tc>
        <w:tc>
          <w:tcPr>
            <w:tcW w:w="15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(19,332</w:t>
            </w:r>
          </w:p>
        </w:tc>
        <w:tc>
          <w:tcPr>
            <w:tcW w:w="163" w:type="dxa"/>
            <w:tcBorders/>
            <w:vAlign w:val="bottom"/>
          </w:tcPr>
          <w:p>
            <w:pPr>
              <w:pStyle w:val="TableContents"/>
              <w:bidi w:val="0"/>
              <w:spacing w:before="0" w:after="283"/>
              <w:jc w:val="left"/>
              <w:rPr/>
            </w:pPr>
            <w:r>
              <w:rPr/>
              <w:t>) </w:t>
            </w:r>
          </w:p>
        </w:tc>
      </w:tr>
      <w:tr>
        <w:trPr/>
        <w:tc>
          <w:tcPr>
            <w:tcW w:w="263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July 21, 2025(1)</w:t>
            </w:r>
          </w:p>
        </w:tc>
        <w:tc>
          <w:tcPr>
            <w:tcW w:w="2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7,850,229</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785</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24,215</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(19,332</w:t>
            </w:r>
          </w:p>
        </w:tc>
        <w:tc>
          <w:tcPr>
            <w:tcW w:w="15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5,668</w:t>
            </w:r>
          </w:p>
        </w:tc>
        <w:tc>
          <w:tcPr>
            <w:tcW w:w="163" w:type="dxa"/>
            <w:tcBorders/>
            <w:shd w:fill="CCEEFF" w:val="clear"/>
            <w:vAlign w:val="bottom"/>
          </w:tcPr>
          <w:p>
            <w:pPr>
              <w:pStyle w:val="TableContents"/>
              <w:bidi w:val="0"/>
              <w:spacing w:before="0" w:after="283"/>
              <w:jc w:val="left"/>
              <w:rPr/>
            </w:pPr>
            <w:r>
              <w:rPr/>
              <w:t> </w:t>
            </w:r>
          </w:p>
        </w:tc>
      </w:tr>
      <w:tr>
        <w:trPr/>
        <w:tc>
          <w:tcPr>
            <w:tcW w:w="263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number includes up to 1,023,943 Class B ordinary shares subject to forfeiture if the over-allotment option is not exercised in full or in part by the underwriter.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fin929696_5"/>
      <w:bookmarkEnd w:id="30"/>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04"/>
        <w:gridCol w:w="496"/>
        <w:gridCol w:w="210"/>
        <w:gridCol w:w="1237"/>
        <w:gridCol w:w="158"/>
      </w:tblGrid>
      <w:tr>
        <w:trPr/>
        <w:tc>
          <w:tcPr>
            <w:tcW w:w="8104"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104"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June 30, 2025</w:t>
              <w:br/>
              <w:t>(Inception)</w:t>
              <w:br/>
              <w:t>through</w:t>
              <w:br/>
              <w:t>July 21, 2025</w:t>
            </w:r>
          </w:p>
        </w:tc>
        <w:tc>
          <w:tcPr>
            <w:tcW w:w="158" w:type="dxa"/>
            <w:tcBorders/>
            <w:vAlign w:val="bottom"/>
          </w:tcPr>
          <w:p>
            <w:pPr>
              <w:pStyle w:val="TableContents"/>
              <w:bidi w:val="0"/>
              <w:spacing w:before="0" w:after="283"/>
              <w:jc w:val="left"/>
              <w:rPr/>
            </w:pPr>
            <w:r>
              <w:rPr/>
              <w:t> </w:t>
            </w:r>
          </w:p>
        </w:tc>
      </w:tr>
      <w:tr>
        <w:trPr/>
        <w:tc>
          <w:tcPr>
            <w:tcW w:w="81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4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10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(19,332</w:t>
            </w:r>
          </w:p>
        </w:tc>
        <w:tc>
          <w:tcPr>
            <w:tcW w:w="158" w:type="dxa"/>
            <w:tcBorders/>
            <w:vAlign w:val="bottom"/>
          </w:tcPr>
          <w:p>
            <w:pPr>
              <w:pStyle w:val="TableContents"/>
              <w:bidi w:val="0"/>
              <w:spacing w:before="0" w:after="283"/>
              <w:jc w:val="left"/>
              <w:rPr/>
            </w:pPr>
            <w:r>
              <w:rPr/>
              <w:t>) </w:t>
            </w:r>
          </w:p>
        </w:tc>
      </w:tr>
      <w:tr>
        <w:trPr/>
        <w:tc>
          <w:tcPr>
            <w:tcW w:w="8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4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8104"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accrued expenses</w:t>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19,332</w:t>
            </w:r>
          </w:p>
        </w:tc>
        <w:tc>
          <w:tcPr>
            <w:tcW w:w="158" w:type="dxa"/>
            <w:tcBorders/>
            <w:vAlign w:val="bottom"/>
          </w:tcPr>
          <w:p>
            <w:pPr>
              <w:pStyle w:val="TableContents"/>
              <w:bidi w:val="0"/>
              <w:spacing w:before="0" w:after="283"/>
              <w:jc w:val="left"/>
              <w:rPr/>
            </w:pPr>
            <w:r>
              <w:rPr/>
              <w:t> </w:t>
            </w:r>
          </w:p>
        </w:tc>
      </w:tr>
      <w:tr>
        <w:trPr/>
        <w:tc>
          <w:tcPr>
            <w:tcW w:w="8104"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4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104"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104"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3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8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Class B ordinary shares to Sponsor</w:t>
            </w:r>
          </w:p>
        </w:tc>
        <w:tc>
          <w:tcPr>
            <w:tcW w:w="4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25,000</w:t>
            </w:r>
          </w:p>
        </w:tc>
        <w:tc>
          <w:tcPr>
            <w:tcW w:w="158" w:type="dxa"/>
            <w:tcBorders/>
            <w:shd w:fill="CCEEFF" w:val="clear"/>
            <w:vAlign w:val="bottom"/>
          </w:tcPr>
          <w:p>
            <w:pPr>
              <w:pStyle w:val="TableContents"/>
              <w:bidi w:val="0"/>
              <w:spacing w:before="0" w:after="283"/>
              <w:jc w:val="left"/>
              <w:rPr/>
            </w:pPr>
            <w:r>
              <w:rPr/>
              <w:t> </w:t>
            </w:r>
          </w:p>
        </w:tc>
      </w:tr>
      <w:tr>
        <w:trPr/>
        <w:tc>
          <w:tcPr>
            <w:tcW w:w="810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related party loan</w:t>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100,000</w:t>
            </w:r>
          </w:p>
        </w:tc>
        <w:tc>
          <w:tcPr>
            <w:tcW w:w="158" w:type="dxa"/>
            <w:tcBorders/>
            <w:vAlign w:val="bottom"/>
          </w:tcPr>
          <w:p>
            <w:pPr>
              <w:pStyle w:val="TableContents"/>
              <w:bidi w:val="0"/>
              <w:spacing w:before="0" w:after="283"/>
              <w:jc w:val="left"/>
              <w:rPr/>
            </w:pPr>
            <w:r>
              <w:rPr/>
              <w:t> </w:t>
            </w:r>
          </w:p>
        </w:tc>
      </w:tr>
      <w:tr>
        <w:trPr/>
        <w:tc>
          <w:tcPr>
            <w:tcW w:w="8104"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4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125,000</w:t>
            </w:r>
          </w:p>
        </w:tc>
        <w:tc>
          <w:tcPr>
            <w:tcW w:w="158" w:type="dxa"/>
            <w:tcBorders/>
            <w:shd w:fill="CCEEFF" w:val="clear"/>
            <w:vAlign w:val="bottom"/>
          </w:tcPr>
          <w:p>
            <w:pPr>
              <w:pStyle w:val="TableContents"/>
              <w:bidi w:val="0"/>
              <w:spacing w:before="0" w:after="283"/>
              <w:jc w:val="left"/>
              <w:rPr/>
            </w:pPr>
            <w:r>
              <w:rPr/>
              <w:t> </w:t>
            </w:r>
          </w:p>
        </w:tc>
      </w:tr>
      <w:tr>
        <w:trPr/>
        <w:tc>
          <w:tcPr>
            <w:tcW w:w="8104"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104"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during period</w:t>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125,000</w:t>
            </w:r>
          </w:p>
        </w:tc>
        <w:tc>
          <w:tcPr>
            <w:tcW w:w="158" w:type="dxa"/>
            <w:tcBorders/>
            <w:vAlign w:val="bottom"/>
          </w:tcPr>
          <w:p>
            <w:pPr>
              <w:pStyle w:val="TableContents"/>
              <w:bidi w:val="0"/>
              <w:spacing w:before="0" w:after="283"/>
              <w:jc w:val="left"/>
              <w:rPr/>
            </w:pPr>
            <w:r>
              <w:rPr/>
              <w:t> </w:t>
            </w:r>
          </w:p>
        </w:tc>
      </w:tr>
      <w:tr>
        <w:trPr/>
        <w:tc>
          <w:tcPr>
            <w:tcW w:w="8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beginning of period</w:t>
            </w:r>
          </w:p>
        </w:tc>
        <w:tc>
          <w:tcPr>
            <w:tcW w:w="49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104"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104" w:type="dxa"/>
            <w:tcBorders/>
          </w:tcPr>
          <w:p>
            <w:pPr>
              <w:pStyle w:val="TableContents"/>
              <w:bidi w:val="0"/>
              <w:spacing w:before="0" w:after="0"/>
              <w:jc w:val="left"/>
              <w:rPr>
                <w:rFonts w:ascii="Times New Roman" w:hAnsi="Times New Roman"/>
                <w:sz w:val="20"/>
              </w:rPr>
            </w:pPr>
            <w:r>
              <w:rPr>
                <w:rFonts w:ascii="Times New Roman" w:hAnsi="Times New Roman"/>
                <w:sz w:val="20"/>
              </w:rPr>
              <w:t>Cash, end of period</w:t>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125,000</w:t>
            </w:r>
          </w:p>
        </w:tc>
        <w:tc>
          <w:tcPr>
            <w:tcW w:w="158" w:type="dxa"/>
            <w:tcBorders/>
            <w:vAlign w:val="bottom"/>
          </w:tcPr>
          <w:p>
            <w:pPr>
              <w:pStyle w:val="TableContents"/>
              <w:bidi w:val="0"/>
              <w:spacing w:before="0" w:after="283"/>
              <w:jc w:val="left"/>
              <w:rPr/>
            </w:pPr>
            <w:r>
              <w:rPr/>
              <w:t> </w:t>
            </w:r>
          </w:p>
        </w:tc>
      </w:tr>
      <w:tr>
        <w:trPr/>
        <w:tc>
          <w:tcPr>
            <w:tcW w:w="8104"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3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fin929696_6"/>
      <w:bookmarkEnd w:id="31"/>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ORGANIZATION AND BUSINESS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Organization and General </w:t>
      </w:r>
    </w:p>
    <w:p>
      <w:pPr>
        <w:pStyle w:val="TextBody"/>
        <w:bidi w:val="0"/>
        <w:spacing w:before="120" w:after="0"/>
        <w:jc w:val="left"/>
        <w:rPr>
          <w:rFonts w:ascii="Times New Roman" w:hAnsi="Times New Roman"/>
          <w:sz w:val="20"/>
        </w:rPr>
      </w:pPr>
      <w:r>
        <w:rPr>
          <w:rFonts w:ascii="Times New Roman" w:hAnsi="Times New Roman"/>
          <w:sz w:val="20"/>
        </w:rPr>
        <w:t xml:space="preserve">GigCapital8 Corp. (the “Company”) was incorporated as a Cayman Islands exempted company on June 30, 2025. The Company was formed for the purpose of effecting a merger, capital share exchange, asset acquisition, share purchase, reorganization or similar business combination with one or more businesses (the “Business Combination”). The Company will be an “emerging growth company,” as defined in Section 2(a) of the Securities Act of 1933, as amended (the “Securities Act”), as modified by the Jumpstart Our Business Startups Act of 2012 (the “JOBS Act”) upon the closing of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July 21, 2025, the Company had not commenced any operations. All activity for the period from June 30, 2025 (date of inception) through July 21, 2025 relates to the Company’s formation and the proposed initial public offering (“Proposed Offering”) described below. The Company will not generate any operating revenues until after completion of the Business Combination, at the earliest. The Company will generate non-operating income in the form of interest income on cash and cash equivalents from the proceeds derived from the Proposed Offering. The Company has selected December 31 as its fiscal year end. </w:t>
      </w:r>
    </w:p>
    <w:p>
      <w:pPr>
        <w:pStyle w:val="TextBody"/>
        <w:bidi w:val="0"/>
        <w:spacing w:before="360" w:after="0"/>
        <w:jc w:val="left"/>
        <w:rPr>
          <w:rFonts w:ascii="Times New Roman" w:hAnsi="Times New Roman"/>
          <w:b/>
          <w:i/>
          <w:sz w:val="20"/>
        </w:rPr>
      </w:pPr>
      <w:r>
        <w:rPr>
          <w:rFonts w:ascii="Times New Roman" w:hAnsi="Times New Roman"/>
          <w:b/>
          <w:i/>
          <w:sz w:val="20"/>
        </w:rPr>
        <w:t xml:space="preserve">Sponsor, Founder and Proposed Financing </w:t>
      </w:r>
    </w:p>
    <w:p>
      <w:pPr>
        <w:pStyle w:val="TextBody"/>
        <w:bidi w:val="0"/>
        <w:spacing w:before="120" w:after="0"/>
        <w:jc w:val="left"/>
        <w:rPr>
          <w:rFonts w:ascii="Times New Roman" w:hAnsi="Times New Roman"/>
          <w:sz w:val="20"/>
        </w:rPr>
      </w:pPr>
      <w:r>
        <w:rPr>
          <w:rFonts w:ascii="Times New Roman" w:hAnsi="Times New Roman"/>
          <w:sz w:val="20"/>
        </w:rPr>
        <w:t xml:space="preserve">The Company’s sponsor is GigAcquisitions8 Corp., a Cayman Island exempted company (the “Sponsor” and is sometimes referred to as the “Founder”). The Company intends to finance a Business Combination with proceeds from a $220,000,000 public offering (Note 3), and a $3,357,006 private placement with the Sponsor and certain institutional investors (Notes 3 and 4). Upon the closing of the Proposed Offering, $220,000,000 (or $253,000,000 if the over-allotment option is exercised in full by D. Boral Capital LLC (the “Underwriter”)—Note 3) will be held in the Trust Account (discussed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Trust Account </w:t>
      </w:r>
    </w:p>
    <w:p>
      <w:pPr>
        <w:pStyle w:val="TextBody"/>
        <w:bidi w:val="0"/>
        <w:spacing w:before="120" w:after="0"/>
        <w:jc w:val="left"/>
        <w:rPr>
          <w:rFonts w:ascii="Times New Roman" w:hAnsi="Times New Roman"/>
          <w:sz w:val="20"/>
        </w:rPr>
      </w:pPr>
      <w:r>
        <w:rPr>
          <w:rFonts w:ascii="Times New Roman" w:hAnsi="Times New Roman"/>
          <w:sz w:val="20"/>
        </w:rPr>
        <w:t xml:space="preserve">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Company’s memorandum and articles of association provides that, other than the withdrawal of interest to pay taxes none of the funds held in the Trust Account will be released until the earlier of: (1) the completion of the Business Combination; (2) the redemption of 100% of the outstanding public shares if the Company has not completed an initial Business Combination within 24 months from the closing of the Proposed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Proposed Offering, although substantially all of the net proceeds of the Proposed Offering are intended to be generally applied toward consummating a Business Combination with (or acquisition of) a Target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Business. As used herein, “Target Business” must be with one or more target businesses that together have a fair market value equal to at least 80% of the balance in the Trust Account (less withdrawals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Nasdaq rules. If the Company seeks shareholder approval, it will complete its Business Combination only if a majority of the outstanding shares are voted in favor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holds a shareholder vote or there is a tender offer for shares in connection with the Business Combination, a public shareholder will have the right to redeem its shares for an amount in cash equal to its pro rata share of the aggregate amount then on deposit in the Trust Account as of two business days prior to the consummation of the initial Business Combination, including interest but less taxes payable. As a result, such ordinary shares will be recorded at redemption amount and classified as temporary equity upon the completion of the Proposed Offering. The amount in the Trust Account is initially anticipated to be $10.00 per public share ($220,000,000 held in the Trust Account divided by 22,000,000 public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have 24 months from the closing date of the Proposed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each entered into agreements with the Company, pursuant to which they will agree: (1) 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 (2) to waive their rights to liquidating distributions from the trust account with respect to their Founder Shares, Private Investor Shares and private placement shares if we fail to complete the Company’s initial Business Combination within 24 months from the closing of this offering, although they will be entitled to liquidating distributions from the trust account with respect to any public shares they hold if we fail to complete the Company’s initial Business Combination within the prescribed time frame; and (3) to waive their redemption rights with respect to their Founder Shares, Private Investor Shares and private placement shares in connection with a shareholder vote to approve an amendment to the Company’s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restated memorandum and articles of association that would modify the substance or timing of the Company’s obligation to redeem 100% of the Company’s public shares if the Company does not timely complete the Company’s initial Business Combination or with respect to any other provision relating to shareholders’ rights or pre business combination activity.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such distribution, it is possible that the per share value of the residual assets remaining available for distribution (including Trust Account assets) will be less than the initial public offering price per unit in the Proposed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Concern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As of July 21, 2025, the Company had $125,000 in cash and a working capital of $5,668. Further, the Company expects to continue to incur significant costs in pursuit of its financing and acquisition plans. These conditions raise substantial doubt about the Company’s ability to continue as a going concern. The Company plans to address this uncertainty through a Proposed Offering as discussed in Note 3 and the sale of Private Investor Shares and Private Placement Units (as defined below) as discussed in Note 4. There is no assurance that the Company’s plans to raise capital or to consummate a Business Combination will be successful or successful within the target business acquisition period. The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of the Company have been prepared in conformity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Net loss per ordinary share is computed by dividing net loss by the weighted-average number of ordinary shares outstanding during the period (after deducting 1,023,943 ordinary shares subject to forfeiture in connection with the Proposed Offering). As of July 21, 2025, the Company did not have any dilutive securities and other contracts that could, potentially, be exercised or converted into ordinary shares and then share in the earnings of the Company. As a result, diluted net loss per ordinary share is the same as basic net loss per ordinary share for the period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in a financial institution, which at times, may exceed federally insured limits. The Company has not experienced losses on these accounts and management believes the Company is not exposed to significant risks on such accounts.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approximates the carrying amounts represented in the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accounting principles generally accepted in the United States of America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Associated with the Proposed Offering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consist of legal, accounting, and other costs incurred through the balance sheet date that are directly related to the Proposed Offering and that will be charged to shareholder’s equity upon the completion of the Proposed Offering. Should the Proposed Offering prove to be unsuccessful, these deferred costs, as well as additional expenses to be incurred, will be charged to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income or loss that also is reported on the statement of operations and comprehensive loss as net income or loss. The key measures of segment profit or loss reviewed by the CODM are general and administrative expenses. General and administrative expenses are reviewed and monitored by the CODM to manage and forecast cash to ensure enough capital is available to complete a Proposed Offering and eventually a Business Combination within the business combination period. The CODM also reviews general and administrative expenses to manage, maintain and enforce all contractual agreements to ensure costs are aligned with all agreements and budget.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The Company follows the asset and liability method of accounting for income taxes under Accounting Standards Codification 740, “</w:t>
      </w:r>
      <w:r>
        <w:rPr>
          <w:rFonts w:ascii="Times New Roman" w:hAnsi="Times New Roman"/>
          <w:i/>
          <w:sz w:val="20"/>
        </w:rPr>
        <w:t>Income Taxes</w:t>
      </w:r>
      <w:r>
        <w:rPr>
          <w:rFonts w:ascii="Times New Roman" w:hAnsi="Times New Roman"/>
          <w:sz w:val="20"/>
        </w:rPr>
        <w:t xml:space="preserve">” (“ASC 740”). Deferred tax assets and liabilities are recognized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July 21, 2025.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believe that any recently issued, but not yet effective, accounting pronouncements, if currently adopted, would have a material effect on the Company’s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3. PROPOSED OFFERING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Proposed Offering, the Company intends to offer for sale up to 22,000,000 units at a price of $10.00 per unit (the “Units”). Each Unit consists of one share of the Company’s Class A ordinary shares, $0.0001 par value and one right to receive one-fifth (1/5) of one Class A ordinary share upon consummation of the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 rights upon closing of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grant the Underwriter a 45-day option to purchase up to 3,300,000 additional Units to cover any over-allotments, at the initial public offering price less the underwriting discounts.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pay an underwriting discount of $0.0455 per Unit (or $0.0405 per Unit if the Underwriter’s option to purchase additional Units is exercised in full) to the Underwriter at the closing of the Proposed Offering. The underwriting discount is payable in cash. </w:t>
      </w:r>
    </w:p>
    <w:p>
      <w:pPr>
        <w:pStyle w:val="TextBody"/>
        <w:bidi w:val="0"/>
        <w:spacing w:before="240" w:after="0"/>
        <w:jc w:val="left"/>
        <w:rPr>
          <w:rFonts w:ascii="Times New Roman" w:hAnsi="Times New Roman"/>
          <w:sz w:val="20"/>
        </w:rPr>
      </w:pPr>
      <w:r>
        <w:rPr>
          <w:rFonts w:ascii="Times New Roman" w:hAnsi="Times New Roman"/>
          <w:sz w:val="20"/>
        </w:rPr>
        <w:t xml:space="preserve">Certain institutional accredited investors (none of which are affiliated with any member of management, the Sponsor or any other investor (the “non-managing investors”)) have committed to purchase an aggregate of (a) 2,964,203 Class B ordinary shares (of which up to 386,681 Class B ordinary shares would be subject to forfeiture depending on the extent to which the Underwriters’ over-allotment option is exercised during the Proposed Offering) (the “Private Investor Shares”) at a purchase price per Class B ordinary share of $0.023254, and (b) an aggregate of 242,475 Private Placement Units (or up to 262,425 Private Placement Units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Underwriters’ over-allotment option is exercised in full) consisting of one Class A ordinary share and one right to receive one-fifth (1/5) of one Class A ordinary share upon consummation of the initial Business Combination at a price of $9.7374 per unit in a private placement that will occur simultaneously with the completion of the Proposed Offering (the “Private Placement Unit”) for an aggregate purchase price of $2,430,006 (or $2,624,266 if the Underwriters’ over-allotment option is exercised in full). The Private Investment Shares along with the Founder Shares will collectively represent 30% of the outstanding ordinary shares upon completion of the Proposed Offering,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4.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June 30, 2025 (date of inception), one Class B ordinary share that was allotted to Harneys Fiduciary (Cayman) Limited (“Harneys Fiduciary”) upon our formation was transferred by Harneys Fiduciary to the Founder and 8,099,613 Class B ordinary shares (the 8,099,614 Class B ordinary shares collectively are the “Founder Shares”) were issued to the Founder for an aggregate purchase price of $25,000. On July 18, 2025, the Founder surrendered 249,385 Class B ordinary shares to the Company (which were cancelled) for no consideration, with the resulting 7,850,229 Founder Shares paid for at a purchase price of $0.00318 per share. 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Founder intends, at the time of the consummation of the Proposed Offering, to sell 375,397 Founder Shares in the aggregate to four board nominees (“Insiders”) at an aggregate price of $9,244, or $0.02462 per share, and 1,416,665 Founder Shares to Lynrock Lake Master Fund LP (“Lynrock”) at an aggregate price of $13,130. Following this sale of Founder Shares, the Founder will hold 6,053,167 Founder Shares, and the price paid by the Founder for the 6,053,167 Founder Shares which it is retaining will be $2,626, or $0.000434 per share. The Founder Shares are identical to the Class A ordinary shares included in the Units being sold in the Proposed Offering except that the Founder Shares are subject to certain transfer restrictions, as described in more detail below. The Founder, Insiders and Lynrock agreed to forfeit up to 1,023,943 Founder Shares to the extent that the over-allotment option is not exercised in full by the Underwriter. The forfeiture will be adjusted to the extent that the over-allotment option is not exercised in full by the Underwriter so that the Class B ordinary shares owned by the Founder, Insider, Lynrock and non-managing investors will own 30% of the Company’s issued and outstanding Class A and Class B ordinary shares after the Proposed Offering, excluding the private placement shares that are an underlying security to the Private Placement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Units </w:t>
      </w:r>
    </w:p>
    <w:p>
      <w:pPr>
        <w:pStyle w:val="TextBody"/>
        <w:bidi w:val="0"/>
        <w:spacing w:before="120" w:after="0"/>
        <w:jc w:val="left"/>
        <w:rPr>
          <w:rFonts w:ascii="Times New Roman" w:hAnsi="Times New Roman"/>
          <w:sz w:val="20"/>
        </w:rPr>
      </w:pPr>
      <w:r>
        <w:rPr>
          <w:rFonts w:ascii="Times New Roman" w:hAnsi="Times New Roman"/>
          <w:sz w:val="20"/>
        </w:rPr>
        <w:t xml:space="preserve">The Founder, Insiders and Lynrock have agreed to purchase from the Company 95,200 Private Placement Units pursuant to a Unit Purchase Agreement. In addition, as discussed in Note 3, the non-managing investors will purchase 242,475 Private Placement Units (or up to 262,425 Private Placement Units if the Underwriters’ over-allotment option is exercised in full) at a price of $9.7374 per Private Placement Unit. Each five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multiples of five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Founder, Insiders, Lynrock and the non-managing investors have each agreed not to transfer, assign or sell any of their respective Founder Shares, Private Investor Shares, Private Placement Units or underlying securities to the Private Placement Units that they may hold from the date of the Proposed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Units (and its underlying securities), until 30 days after the completion of the Company’s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does not complete a Business Combination, then a portion of the proceeds from the sale of the Private Investor Shares and Private Placement Units will be part of the liquidating distribution to the public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Founder, Insiders, Lynrock and the non-managing investors and their permitted transferees are entitled to registration rights pursuant to a registration rights agreement signed on the date of the prospectus for the Proposed Offering with respect to their respective Founder Shares, Private Investor Shares, Private Placement Units or the underlying securities to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Loan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a promissory note with the Sponsor with a principal amount of $100,000 (the “Promissory Note”), all of which remained outstanding as of July 21, 2025, to be used for the payment of expenses related to the Proposed Offering. The Promissory Note is non-interest bearing, unsecured and is due on the earlier of (i) December 31, 2025 or (ii) the date on which the Company consummates an initial public offering of its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5. SHAREHOLDERS’ EQUITY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1,000,000 shares of preferred shares with such designations, voting and other rights and preferences as may be determined from time to time by the Board of Directors. As of July 21, 2025, there were no preferred shares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GIGCAPITAL8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200,000,000 Class A ordinary shares with a par value of $0.0001 per share. As of July 21, 2025, there were no Class A ordinary shares issued or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20,000,000 Class B ordinary shares with a par value of $0.0001 per share. At formation on June 30, 2025, one Class B ordinary share that was allotted to Harneys Fiduciary upon our formation was transferred by Harneys Fiduciary to the Sponsor and 8,099,613 Class B ordinary shares were issued to the Sponsor for an aggregate purchase price of $25,000. On July 18, 2025, the Sponsor surrendered 249,385 Class B ordinary shares to the Company (which were cancelled) for no consideration, with the resulting 7,850,229 Founder Shares paid for at a purchase price of $0.00318 per share. As of July 21, 2025, 1,023,943 Class B ordinary shares are subject to forfeiture depending on the extent to which the Underwriter’s over-allotment option is exercised during the Proposed Offering as described in Note 3. As of July 21, 2025, there were 7,850,229 Class B ordinary shares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6.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that occurred after the balance sheet date through October 3, 2025, the date that these financial statements were available to be issued. Based upon this review, the Company did not identify any subsequent events that would have required adjustment to or disclosure in the financial statements, except as disclosed below. </w:t>
      </w:r>
    </w:p>
    <w:p>
      <w:pPr>
        <w:pStyle w:val="TextBody"/>
        <w:bidi w:val="0"/>
        <w:spacing w:before="240" w:after="0"/>
        <w:jc w:val="left"/>
        <w:rPr>
          <w:rFonts w:ascii="Times New Roman" w:hAnsi="Times New Roman"/>
          <w:sz w:val="20"/>
        </w:rPr>
      </w:pPr>
      <w:r>
        <w:rPr>
          <w:rFonts w:ascii="Times New Roman" w:hAnsi="Times New Roman"/>
          <w:sz w:val="20"/>
        </w:rPr>
        <w:t xml:space="preserve">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3, 2025, the Company changed the terms of the Proposed Offering and the private placement that will occur simultaneously with the completion of the Proposed Offering such that the Units in the Proposed Offering and the Private Placement Units in the private placement will include one right to receive one-fifth (1/5) of one Class A ordinary share upon consummation of an initial Business Combination as opposed to one right to receive one-tenth (1/10) of one Class A ordinary share upon consummation of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have been modified to reflect the terms of the Proposed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sz w:val="32"/>
        </w:rPr>
      </w:pPr>
      <w:r>
        <w:rPr>
          <w:rFonts w:ascii="Times New Roman" w:hAnsi="Times New Roman"/>
          <w:b/>
          <w:sz w:val="32"/>
        </w:rPr>
        <w:t xml:space="preserve">22,000,000 Units </w:t>
      </w:r>
    </w:p>
    <w:p>
      <w:pPr>
        <w:pStyle w:val="TextBody"/>
        <w:bidi w:val="0"/>
        <w:spacing w:before="0" w:after="0"/>
        <w:jc w:val="left"/>
        <w:rPr/>
      </w:pPr>
      <w:r>
        <w:rPr/>
        <w:t> </w:t>
      </w:r>
    </w:p>
    <w:p>
      <w:pPr>
        <w:pStyle w:val="TextBody"/>
        <w:bidi w:val="0"/>
        <w:spacing w:before="0" w:after="0"/>
        <w:jc w:val="center"/>
        <w:rPr/>
      </w:pPr>
      <w:r>
        <w:rPr/>
        <w:drawing>
          <wp:inline distT="0" distB="0" distL="0" distR="0">
            <wp:extent cx="2540000" cy="3994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40000" cy="399415"/>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32"/>
        </w:rPr>
      </w:pPr>
      <w:r>
        <w:rPr>
          <w:rFonts w:ascii="Times New Roman" w:hAnsi="Times New Roman"/>
          <w:b/>
          <w:sz w:val="32"/>
        </w:rPr>
        <w:t xml:space="preserve">GigCapital8 Corp.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720" w:after="0"/>
        <w:jc w:val="center"/>
        <w:rPr>
          <w:rFonts w:ascii="Times New Roman" w:hAnsi="Times New Roman"/>
          <w:b/>
          <w:sz w:val="20"/>
        </w:rPr>
      </w:pPr>
      <w:r>
        <w:rPr>
          <w:rFonts w:ascii="Times New Roman" w:hAnsi="Times New Roman"/>
          <w:b/>
          <w:sz w:val="20"/>
        </w:rPr>
        <w:t xml:space="preserve">October 6, 2025 </w:t>
      </w:r>
    </w:p>
    <w:p>
      <w:pPr>
        <w:pStyle w:val="TextBody"/>
        <w:bidi w:val="0"/>
        <w:spacing w:before="240" w:after="0"/>
        <w:jc w:val="center"/>
        <w:rPr>
          <w:rFonts w:ascii="Times New Roman" w:hAnsi="Times New Roman"/>
          <w:b/>
          <w:sz w:val="28"/>
        </w:rPr>
      </w:pPr>
      <w:r>
        <w:rPr>
          <w:rFonts w:ascii="Times New Roman" w:hAnsi="Times New Roman"/>
          <w:b/>
          <w:sz w:val="28"/>
        </w:rPr>
        <w:t xml:space="preserve">D. Boral Capital </w:t>
      </w:r>
    </w:p>
    <w:p>
      <w:pPr>
        <w:pStyle w:val="TextBody"/>
        <w:bidi w:val="0"/>
        <w:spacing w:before="240" w:after="0"/>
        <w:jc w:val="left"/>
        <w:rPr>
          <w:rFonts w:ascii="Times New Roman" w:hAnsi="Times New Roman"/>
          <w:sz w:val="20"/>
        </w:rPr>
      </w:pPr>
      <w:r>
        <w:rPr>
          <w:rFonts w:ascii="Times New Roman" w:hAnsi="Times New Roman"/>
          <w:sz w:val="20"/>
        </w:rPr>
        <w:t xml:space="preserve">Until October 6, 2025 (25 days after the date of this prospectus), all dealers that buy, sell or trade our Class A ordinary shares, whether or not participating in this offering, may be required to deliver a prospectus. This is in addition to the dealers’ obligation to deliver a prospectus when acting as underwriters and with respect to their unsold allotments or subscriptions.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259</Pages>
  <Words>160108</Words>
  <Characters>857739</Characters>
  <CharactersWithSpaces>1020914</CharactersWithSpaces>
  <Paragraphs>8453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