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October 6, 2025.</w:t>
      </w:r>
    </w:p>
    <w:p>
      <w:pPr>
        <w:spacing w:after="0" w:line="24" w:lineRule="exact"/>
        <w:rPr>
          <w:sz w:val="24"/>
          <w:szCs w:val="24"/>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wp:posOffset>
            </wp:positionH>
            <wp:positionV relativeFrom="paragraph">
              <wp:posOffset>51435</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84455</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171450</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171450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GigCapital8 Corp.</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184150</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920" w:type="dxa"/>
        <w:tblCellMar>
          <w:top w:w="0" w:type="dxa"/>
          <w:left w:w="0" w:type="dxa"/>
          <w:bottom w:w="0" w:type="dxa"/>
          <w:right w:w="0" w:type="dxa"/>
        </w:tblCellMar>
      </w:tblPr>
      <w:tr>
        <w:trPr>
          <w:trHeight w:val="166"/>
        </w:trPr>
        <w:tc>
          <w:tcPr>
            <w:tcW w:w="2240" w:type="dxa"/>
            <w:vAlign w:val="bottom"/>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1900" w:type="dxa"/>
            <w:vAlign w:val="bottom"/>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98-1868645</w:t>
            </w:r>
          </w:p>
        </w:tc>
      </w:tr>
      <w:tr>
        <w:trPr>
          <w:trHeight w:val="116"/>
        </w:trPr>
        <w:tc>
          <w:tcPr>
            <w:tcW w:w="2240" w:type="dxa"/>
            <w:vAlign w:val="bottom"/>
          </w:tcPr>
          <w:p>
            <w:pPr>
              <w:jc w:val="center"/>
              <w:ind w:right="679"/>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9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900" w:type="dxa"/>
            <w:vAlign w:val="bottom"/>
          </w:tcPr>
          <w:p>
            <w:pPr>
              <w:jc w:val="center"/>
              <w:ind w:left="71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240" w:type="dxa"/>
            <w:vAlign w:val="bottom"/>
          </w:tcPr>
          <w:p>
            <w:pPr>
              <w:jc w:val="center"/>
              <w:ind w:right="67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900" w:type="dxa"/>
            <w:vAlign w:val="bottom"/>
          </w:tcPr>
          <w:p>
            <w:pPr>
              <w:jc w:val="center"/>
              <w:ind w:left="7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1731 Embarcadero Rd., Suite 200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 94303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276-7040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176530</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Dr. Avi S. Katz</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1731 Embarcadero Rd., Suite 200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Palo Alto, CA 94303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276-7040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170180</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78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26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720" w:type="dxa"/>
            <w:vAlign w:val="bottom"/>
          </w:tcPr>
          <w:p>
            <w:pPr>
              <w:spacing w:after="0"/>
              <w:rPr>
                <w:sz w:val="16"/>
                <w:szCs w:val="16"/>
                <w:color w:val="auto"/>
              </w:rPr>
            </w:pPr>
          </w:p>
        </w:tc>
      </w:tr>
      <w:tr>
        <w:trPr>
          <w:trHeight w:val="341"/>
        </w:trPr>
        <w:tc>
          <w:tcPr>
            <w:tcW w:w="2420" w:type="dxa"/>
            <w:vAlign w:val="bottom"/>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w w:val="99"/>
              </w:rPr>
              <w:t>Jeffrey C. Selman, Esq.</w:t>
            </w:r>
          </w:p>
        </w:tc>
        <w:tc>
          <w:tcPr>
            <w:tcW w:w="26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George Weston</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Douglas S. Ellenoff, Esq.</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Elena Nrtina, Esq.</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Christopher Hall</w:t>
            </w:r>
          </w:p>
        </w:tc>
        <w:tc>
          <w:tcPr>
            <w:tcW w:w="272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w w:val="99"/>
              </w:rPr>
              <w:t>Stuart Neuhauser, Esq.</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DLA Piper LLP (US)</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Harney Westwood &amp;</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Anthony Ain, Esq.</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555 Mission Street, Suite 2400</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Riegels (Cayman) LLP</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9"/>
              </w:rPr>
              <w:t>Ellenoff Grossman &amp; Schole LLP</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San Francisco, CA 94105</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3rd Floor, Harbour Place</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8"/>
              </w:rPr>
              <w:t>1345 Avenue of the Americas, 11th Fl.</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Telephone: (415) 615-6095</w:t>
            </w:r>
          </w:p>
        </w:tc>
        <w:tc>
          <w:tcPr>
            <w:tcW w:w="26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9"/>
              </w:rPr>
              <w:t>103 South Church Street</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7"/>
              </w:rPr>
              <w:t>New York, NY 10105</w:t>
            </w:r>
          </w:p>
        </w:tc>
      </w:tr>
      <w:tr>
        <w:trPr>
          <w:trHeight w:val="168"/>
        </w:trPr>
        <w:tc>
          <w:tcPr>
            <w:tcW w:w="242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Facsimile: (415) 659 7465</w:t>
            </w: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Grand Cayman</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8"/>
              </w:rPr>
              <w:t>Telephone: (212) 370-1300</w:t>
            </w:r>
          </w:p>
        </w:tc>
      </w:tr>
      <w:tr>
        <w:trPr>
          <w:trHeight w:val="185"/>
        </w:trPr>
        <w:tc>
          <w:tcPr>
            <w:tcW w:w="2420" w:type="dxa"/>
            <w:vAlign w:val="bottom"/>
          </w:tcPr>
          <w:p>
            <w:pPr>
              <w:spacing w:after="0"/>
              <w:rPr>
                <w:sz w:val="16"/>
                <w:szCs w:val="16"/>
                <w:color w:val="auto"/>
              </w:rPr>
            </w:pPr>
          </w:p>
        </w:tc>
        <w:tc>
          <w:tcPr>
            <w:tcW w:w="26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Tel: (345) 949-8599</w:t>
            </w:r>
          </w:p>
        </w:tc>
        <w:tc>
          <w:tcPr>
            <w:tcW w:w="2720" w:type="dxa"/>
            <w:vAlign w:val="bottom"/>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w w:val="99"/>
              </w:rPr>
              <w:t>Facsimile: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173355</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220" w:right="7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w:t>
      </w:r>
    </w:p>
    <w:p>
      <w:pPr>
        <w:spacing w:after="0" w:line="123" w:lineRule="exact"/>
        <w:rPr>
          <w:sz w:val="24"/>
          <w:szCs w:val="24"/>
          <w:color w:val="auto"/>
        </w:rPr>
      </w:pPr>
    </w:p>
    <w:p>
      <w:pPr>
        <w:ind w:left="220" w:right="35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left="220" w:right="33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333-289479</w:t>
      </w:r>
    </w:p>
    <w:p>
      <w:pPr>
        <w:spacing w:after="0" w:line="132" w:lineRule="exact"/>
        <w:rPr>
          <w:sz w:val="24"/>
          <w:szCs w:val="24"/>
          <w:color w:val="auto"/>
        </w:rPr>
      </w:pPr>
    </w:p>
    <w:p>
      <w:pPr>
        <w:ind w:left="220" w:right="37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ind w:left="220" w:right="35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2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2"/>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2"/>
        </w:trPr>
        <w:tc>
          <w:tcPr>
            <w:tcW w:w="14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14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2" w:lineRule="exact"/>
        <w:rPr>
          <w:sz w:val="24"/>
          <w:szCs w:val="24"/>
          <w:color w:val="auto"/>
        </w:rPr>
      </w:pPr>
    </w:p>
    <w:p>
      <w:pPr>
        <w:ind w:left="220" w:right="339" w:firstLine="343"/>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0" w:lineRule="exact"/>
        <w:rPr>
          <w:sz w:val="24"/>
          <w:szCs w:val="24"/>
          <w:color w:val="auto"/>
        </w:rPr>
      </w:pPr>
    </w:p>
    <w:p>
      <w:pPr>
        <w:ind w:left="220" w:right="8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This registration statement shall become effective upon filing with the Securities and Exchange Commission in accordance with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wp:posOffset>
            </wp:positionH>
            <wp:positionV relativeFrom="paragraph">
              <wp:posOffset>100965</wp:posOffset>
            </wp:positionV>
            <wp:extent cx="54470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133985</wp:posOffset>
            </wp:positionV>
            <wp:extent cx="54470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EXPLANATORY NOTE AND INCORPORATION OF CERTAIN INFORMATION BY REFERENCE</w:t>
      </w:r>
    </w:p>
    <w:p>
      <w:pPr>
        <w:spacing w:after="0" w:line="177" w:lineRule="exact"/>
        <w:rPr>
          <w:sz w:val="20"/>
          <w:szCs w:val="20"/>
          <w:color w:val="auto"/>
        </w:rPr>
      </w:pPr>
    </w:p>
    <w:p>
      <w:pPr>
        <w:ind w:left="220" w:right="359" w:firstLine="343"/>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Rule 462(b) under the Securities Act of 1933, as amended (“Securities Act”), GigCapital8 Corp. (“Registrant”) is filing this Registration Statement on Form S-1 (this “Registration Statement”) with the Securities and Exchange Commission (“Commission”). This Registration Statement relates to the public offering of securities contemplated by the Registration Statement on </w:t>
      </w:r>
      <w:hyperlink r:id="rId19">
        <w:r>
          <w:rPr>
            <w:rFonts w:ascii="Times New Roman" w:cs="Times New Roman" w:eastAsia="Times New Roman" w:hAnsi="Times New Roman"/>
            <w:sz w:val="14"/>
            <w:szCs w:val="14"/>
            <w:u w:val="single" w:color="auto"/>
            <w:color w:val="0000EE"/>
          </w:rPr>
          <w:t>Form S-1, as amended (File No. 333-289479)</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(the “Prior Registration Statement”), which the Registrant originally filed with the Commission on August 11, 2025, and which the Commission declared effective on September 30, 2025.</w:t>
      </w:r>
    </w:p>
    <w:p>
      <w:pPr>
        <w:spacing w:after="0" w:line="144"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The Registrant is filing this Registration Statement for the sole purpose of increasing the aggregate number of shares of Class A ordinary shares offered by the Registrant by 2,200,000 shares, or up to 2,530,000 if the underwriters exercise the over-allotment option in full, pursuant to the change of each Unit of the Registrant to consist of one Class A ordinary share and one right to receive one-fifth of one Class A ordinary share upon the consummation of an initial business combination. The additional shares that are being registered for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and all exhibits to the Prior Registration Statement are incorporated by reference into this Registration Statement.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required opinions and consents are listed on the Exhibit Index attached hereto and filed herewith.</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77"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The Registrant hereby certifies to the Commission that (1) it has instructed its bank to pay the filing fee set forth on the Filing Fee Table filed as Exhibit 107 of this Registration Statement by a wire transfer of such amount as soon as practicable (but no later than the close of business on October 6, 2025), (2) it will not revoke such instructions, (3) it has sufficient funds in the relevant account to cover the amount of such filing fee and (4) it will confirm receipt of such instructions by its bank during regular business hours no later than October 6, 2025.</w:t>
      </w:r>
    </w:p>
    <w:p>
      <w:pPr>
        <w:sectPr>
          <w:pgSz w:w="11900" w:h="16838" w:orient="portrait"/>
          <w:cols w:equalWidth="0" w:num="1">
            <w:col w:w="9019"/>
          </w:cols>
          <w:pgMar w:left="1440" w:top="23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SIGNATURES</w:t>
      </w:r>
    </w:p>
    <w:p>
      <w:pPr>
        <w:spacing w:after="0" w:line="177" w:lineRule="exact"/>
        <w:rPr>
          <w:sz w:val="20"/>
          <w:szCs w:val="20"/>
          <w:color w:val="auto"/>
        </w:rPr>
      </w:pPr>
    </w:p>
    <w:p>
      <w:pPr>
        <w:ind w:left="220" w:right="319" w:firstLine="343"/>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Palo Alto, State of California, on the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of October, 2025.</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GigCapital8 Corp.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Avi S. Katz</w:t>
      </w:r>
    </w:p>
    <w:p>
      <w:pPr>
        <w:spacing w:after="0" w:line="22"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-101600</wp:posOffset>
            </wp:positionV>
            <wp:extent cx="20294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29460" cy="6985"/>
                    </a:xfrm>
                    <a:prstGeom prst="rect">
                      <a:avLst/>
                    </a:prstGeom>
                    <a:noFill/>
                  </pic:spPr>
                </pic:pic>
              </a:graphicData>
            </a:graphic>
          </wp:anchor>
        </w:drawing>
      </w:r>
    </w:p>
    <w:p>
      <w:pPr>
        <w:ind w:left="480"/>
        <w:spacing w:after="0"/>
        <w:tabs>
          <w:tab w:leader="none" w:pos="960" w:val="left"/>
        </w:tabs>
        <w:rPr>
          <w:sz w:val="20"/>
          <w:szCs w:val="20"/>
          <w:color w:val="auto"/>
        </w:rPr>
      </w:pPr>
      <w:r>
        <w:rPr>
          <w:rFonts w:ascii="Times New Roman" w:cs="Times New Roman" w:eastAsia="Times New Roman" w:hAnsi="Times New Roman"/>
          <w:sz w:val="14"/>
          <w:szCs w:val="14"/>
          <w:color w:val="auto"/>
        </w:rPr>
        <w:t>Title:</w:t>
        <w:tab/>
        <w:t>Chief Executive Officer and Chairman of the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Board</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71"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45"/>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2"/>
                <w:szCs w:val="12"/>
                <w:color w:val="auto"/>
              </w:rPr>
            </w:pPr>
          </w:p>
        </w:tc>
        <w:tc>
          <w:tcPr>
            <w:tcW w:w="37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10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Avi S. Katz</w:t>
            </w:r>
          </w:p>
        </w:tc>
        <w:tc>
          <w:tcPr>
            <w:tcW w:w="3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October 6, 2025</w:t>
            </w:r>
          </w:p>
        </w:tc>
      </w:tr>
      <w:tr>
        <w:trPr>
          <w:trHeight w:val="173"/>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Dr. Avi S. Katz</w:t>
            </w:r>
          </w:p>
        </w:tc>
        <w:tc>
          <w:tcPr>
            <w:tcW w:w="3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60" w:type="dxa"/>
            <w:vAlign w:val="bottom"/>
          </w:tcPr>
          <w:p>
            <w:pPr>
              <w:spacing w:after="0"/>
              <w:rPr>
                <w:sz w:val="15"/>
                <w:szCs w:val="15"/>
                <w:color w:val="auto"/>
              </w:rPr>
            </w:pPr>
          </w:p>
        </w:tc>
      </w:tr>
      <w:tr>
        <w:trPr>
          <w:trHeight w:val="332"/>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Christine Marshall</w:t>
            </w:r>
          </w:p>
        </w:tc>
        <w:tc>
          <w:tcPr>
            <w:tcW w:w="3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October 6, 2025</w:t>
            </w:r>
          </w:p>
        </w:tc>
      </w:tr>
      <w:tr>
        <w:trPr>
          <w:trHeight w:val="173"/>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Christine Marshall</w:t>
            </w:r>
          </w:p>
        </w:tc>
        <w:tc>
          <w:tcPr>
            <w:tcW w:w="3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360" w:type="dxa"/>
            <w:vAlign w:val="bottom"/>
          </w:tcPr>
          <w:p>
            <w:pPr>
              <w:spacing w:after="0"/>
              <w:rPr>
                <w:sz w:val="15"/>
                <w:szCs w:val="15"/>
                <w:color w:val="auto"/>
              </w:rPr>
            </w:pPr>
          </w:p>
        </w:tc>
      </w:tr>
      <w:tr>
        <w:trPr>
          <w:trHeight w:val="332"/>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Raluca Dinu</w:t>
            </w:r>
          </w:p>
        </w:tc>
        <w:tc>
          <w:tcPr>
            <w:tcW w:w="3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October 6, 2025</w:t>
            </w:r>
          </w:p>
        </w:tc>
      </w:tr>
      <w:tr>
        <w:trPr>
          <w:trHeight w:val="173"/>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Dr. Raluca Dinu</w:t>
            </w:r>
          </w:p>
        </w:tc>
        <w:tc>
          <w:tcPr>
            <w:tcW w:w="1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469"/>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II-1</w:t>
            </w:r>
          </w:p>
        </w:tc>
        <w:tc>
          <w:tcPr>
            <w:tcW w:w="136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SIGNATURE OF AUTHORIZED U.S. REPRESENTATIVE OF THE REGISTRANT</w:t>
      </w:r>
    </w:p>
    <w:p>
      <w:pPr>
        <w:spacing w:after="0" w:line="177" w:lineRule="exact"/>
        <w:rPr>
          <w:sz w:val="20"/>
          <w:szCs w:val="20"/>
          <w:color w:val="auto"/>
        </w:rPr>
      </w:pPr>
    </w:p>
    <w:p>
      <w:pPr>
        <w:ind w:left="220" w:right="279" w:firstLine="343"/>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undersigned certifies that it is the duly authorized United States representative of the Registrant and has duly caused this registration statement to be signed by the undersigned, thereunto duly authorized, in the City of Palo Alto, State of California, on the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of October, 2025.</w:t>
      </w:r>
    </w:p>
    <w:p>
      <w:pPr>
        <w:spacing w:after="0" w:line="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GigCapital8 Corp.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 /s/ Avi S. Katz</w:t>
      </w:r>
    </w:p>
    <w:p>
      <w:pPr>
        <w:spacing w:after="0" w:line="22"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-101600</wp:posOffset>
            </wp:positionV>
            <wp:extent cx="20294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029460" cy="6985"/>
                    </a:xfrm>
                    <a:prstGeom prst="rect">
                      <a:avLst/>
                    </a:prstGeom>
                    <a:noFill/>
                  </pic:spPr>
                </pic:pic>
              </a:graphicData>
            </a:graphic>
          </wp:anchor>
        </w:drawing>
      </w:r>
    </w:p>
    <w:p>
      <w:pPr>
        <w:jc w:val="center"/>
        <w:ind w:right="4759"/>
        <w:spacing w:after="0"/>
        <w:tabs>
          <w:tab w:leader="none" w:pos="180" w:val="left"/>
        </w:tabs>
        <w:rPr>
          <w:sz w:val="20"/>
          <w:szCs w:val="20"/>
          <w:color w:val="auto"/>
        </w:rPr>
      </w:pPr>
      <w:r>
        <w:rPr>
          <w:rFonts w:ascii="Times New Roman" w:cs="Times New Roman" w:eastAsia="Times New Roman" w:hAnsi="Times New Roman"/>
          <w:sz w:val="14"/>
          <w:szCs w:val="14"/>
          <w:color w:val="auto"/>
        </w:rPr>
        <w:t>Title:</w:t>
        <w:tab/>
        <w:t>Chief Executive Officer and Chairman of the</w:t>
      </w:r>
    </w:p>
    <w:p>
      <w:pPr>
        <w:spacing w:after="0" w:line="7" w:lineRule="exact"/>
        <w:rPr>
          <w:sz w:val="20"/>
          <w:szCs w:val="20"/>
          <w:color w:val="auto"/>
        </w:rPr>
      </w:pPr>
    </w:p>
    <w:p>
      <w:pPr>
        <w:jc w:val="center"/>
        <w:ind w:right="5059"/>
        <w:spacing w:after="0"/>
        <w:rPr>
          <w:sz w:val="20"/>
          <w:szCs w:val="20"/>
          <w:color w:val="auto"/>
        </w:rPr>
      </w:pPr>
      <w:r>
        <w:rPr>
          <w:rFonts w:ascii="Times New Roman" w:cs="Times New Roman" w:eastAsia="Times New Roman" w:hAnsi="Times New Roman"/>
          <w:sz w:val="14"/>
          <w:szCs w:val="14"/>
          <w:color w:val="auto"/>
        </w:rPr>
        <w:t>Board (Principal Executive Officer)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38" w:right="1440" w:bottom="1440" w:gutter="0" w:footer="0" w:header="0"/>
        </w:sectPr>
      </w:pPr>
    </w:p>
    <w:bookmarkStart w:id="4" w:name="page5"/>
    <w:bookmarkEnd w:id="4"/>
    <w:tbl>
      <w:tblPr>
        <w:tblLayout w:type="fixed"/>
        <w:tblInd w:w="22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6"/>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24"/>
                <w:szCs w:val="24"/>
                <w:color w:val="auto"/>
              </w:rPr>
            </w:pPr>
          </w:p>
        </w:tc>
        <w:tc>
          <w:tcPr>
            <w:tcW w:w="7860" w:type="dxa"/>
            <w:vAlign w:val="bottom"/>
            <w:vMerge w:val="restart"/>
          </w:tcPr>
          <w:p>
            <w:pPr>
              <w:ind w:left="36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6"/>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320" w:type="dxa"/>
            <w:vAlign w:val="bottom"/>
          </w:tcPr>
          <w:p>
            <w:pPr>
              <w:spacing w:after="0"/>
              <w:rPr>
                <w:sz w:val="11"/>
                <w:szCs w:val="11"/>
                <w:color w:val="auto"/>
              </w:rPr>
            </w:pPr>
          </w:p>
        </w:tc>
        <w:tc>
          <w:tcPr>
            <w:tcW w:w="78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ind w:left="280" w:hanging="65"/>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5.1</w:t>
      </w:r>
      <w:r>
        <w:rPr>
          <w:rFonts w:ascii="Times New Roman" w:cs="Times New Roman" w:eastAsia="Times New Roman" w:hAnsi="Times New Roman"/>
          <w:sz w:val="14"/>
          <w:szCs w:val="14"/>
          <w:u w:val="single" w:color="auto"/>
          <w:color w:val="0000EE"/>
        </w:rPr>
        <w:t>Opinion of DLA Piper LLP (US)</w:t>
      </w:r>
    </w:p>
    <w:p>
      <w:pPr>
        <w:spacing w:after="0" w:line="91" w:lineRule="exact"/>
        <w:rPr>
          <w:rFonts w:ascii="Times New Roman" w:cs="Times New Roman" w:eastAsia="Times New Roman" w:hAnsi="Times New Roman"/>
          <w:sz w:val="12"/>
          <w:szCs w:val="12"/>
          <w:color w:val="auto"/>
        </w:rPr>
      </w:pPr>
    </w:p>
    <w:p>
      <w:pPr>
        <w:ind w:left="280" w:hanging="65"/>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5.2</w:t>
      </w:r>
      <w:r>
        <w:rPr>
          <w:rFonts w:ascii="Times New Roman" w:cs="Times New Roman" w:eastAsia="Times New Roman" w:hAnsi="Times New Roman"/>
          <w:sz w:val="13"/>
          <w:szCs w:val="13"/>
          <w:u w:val="single" w:color="auto"/>
          <w:color w:val="0000EE"/>
        </w:rPr>
        <w:t>Opinion of Harney Westwood &amp; Riegels (Cayman) LLP</w:t>
      </w:r>
    </w:p>
    <w:p>
      <w:pPr>
        <w:spacing w:after="0" w:line="102" w:lineRule="exact"/>
        <w:rPr>
          <w:rFonts w:ascii="Times New Roman" w:cs="Times New Roman" w:eastAsia="Times New Roman" w:hAnsi="Times New Roman"/>
          <w:sz w:val="12"/>
          <w:szCs w:val="12"/>
          <w:color w:val="auto"/>
        </w:rPr>
      </w:pPr>
    </w:p>
    <w:p>
      <w:pPr>
        <w:ind w:left="280" w:hanging="65"/>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w:t>
      </w:r>
      <w:r>
        <w:rPr>
          <w:rFonts w:ascii="Times New Roman" w:cs="Times New Roman" w:eastAsia="Times New Roman" w:hAnsi="Times New Roman"/>
          <w:sz w:val="13"/>
          <w:szCs w:val="13"/>
          <w:u w:val="single" w:color="auto"/>
          <w:color w:val="0000EE"/>
        </w:rPr>
        <w:t>Consent of DLA Piper LLP (US) (included in Exhibit 5.1)</w:t>
      </w:r>
    </w:p>
    <w:p>
      <w:pPr>
        <w:spacing w:after="0" w:line="102" w:lineRule="exact"/>
        <w:rPr>
          <w:rFonts w:ascii="Times New Roman" w:cs="Times New Roman" w:eastAsia="Times New Roman" w:hAnsi="Times New Roman"/>
          <w:sz w:val="12"/>
          <w:szCs w:val="12"/>
          <w:color w:val="auto"/>
        </w:rPr>
      </w:pPr>
    </w:p>
    <w:p>
      <w:pPr>
        <w:ind w:left="280" w:hanging="65"/>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23.2</w:t>
      </w:r>
      <w:r>
        <w:rPr>
          <w:rFonts w:ascii="Times New Roman" w:cs="Times New Roman" w:eastAsia="Times New Roman" w:hAnsi="Times New Roman"/>
          <w:sz w:val="13"/>
          <w:szCs w:val="13"/>
          <w:u w:val="single" w:color="auto"/>
          <w:color w:val="0000EE"/>
        </w:rPr>
        <w:t>Consent of Harney Westwood &amp; Riegels (Cayman) LLP (included in Exhibit 5.2)</w:t>
      </w:r>
    </w:p>
    <w:p>
      <w:pPr>
        <w:spacing w:after="0" w:line="102" w:lineRule="exact"/>
        <w:rPr>
          <w:rFonts w:ascii="Times New Roman" w:cs="Times New Roman" w:eastAsia="Times New Roman" w:hAnsi="Times New Roman"/>
          <w:sz w:val="12"/>
          <w:szCs w:val="12"/>
          <w:color w:val="auto"/>
        </w:rPr>
      </w:pPr>
    </w:p>
    <w:p>
      <w:pPr>
        <w:ind w:left="280" w:hanging="65"/>
        <w:spacing w:after="0"/>
        <w:tabs>
          <w:tab w:leader="none" w:pos="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23.3</w:t>
      </w:r>
      <w:r>
        <w:rPr>
          <w:rFonts w:ascii="Times New Roman" w:cs="Times New Roman" w:eastAsia="Times New Roman" w:hAnsi="Times New Roman"/>
          <w:sz w:val="13"/>
          <w:szCs w:val="13"/>
          <w:u w:val="single" w:color="auto"/>
          <w:color w:val="0000EE"/>
        </w:rPr>
        <w:t>Consent of BPM LLP</w:t>
      </w:r>
    </w:p>
    <w:p>
      <w:pPr>
        <w:spacing w:after="0" w:line="103" w:lineRule="exact"/>
        <w:rPr>
          <w:sz w:val="20"/>
          <w:szCs w:val="20"/>
          <w:color w:val="auto"/>
        </w:rPr>
      </w:pPr>
    </w:p>
    <w:p>
      <w:pPr>
        <w:ind w:left="940" w:hanging="725"/>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38" w:right="1440"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-90805</wp:posOffset>
            </wp:positionV>
            <wp:extent cx="974725" cy="587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974725" cy="587375"/>
                    </a:xfrm>
                    <a:prstGeom prst="rect">
                      <a:avLst/>
                    </a:prstGeom>
                    <a:noFill/>
                  </pic:spPr>
                </pic:pic>
              </a:graphicData>
            </a:graphic>
          </wp:anchor>
        </w:drawing>
      </w:r>
    </w:p>
    <w:p>
      <w:pPr>
        <w:spacing w:after="0" w:line="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555 Mission St. #2400</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San Francisco, California 94105</w:t>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color w:val="auto"/>
        </w:rPr>
        <w:t>www.dlapiper.com</w:t>
      </w: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October 6, 2025</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GigCapital8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1731 Embarcadero Rd., Suite 200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Palo Alto, CA 94303</w:t>
      </w:r>
    </w:p>
    <w:p>
      <w:pPr>
        <w:spacing w:after="0" w:line="182" w:lineRule="exact"/>
        <w:rPr>
          <w:sz w:val="20"/>
          <w:szCs w:val="20"/>
          <w:color w:val="auto"/>
        </w:rPr>
      </w:pPr>
    </w:p>
    <w:p>
      <w:pPr>
        <w:ind w:left="220"/>
        <w:spacing w:after="0"/>
        <w:tabs>
          <w:tab w:leader="none" w:pos="540" w:val="left"/>
        </w:tabs>
        <w:rPr>
          <w:sz w:val="20"/>
          <w:szCs w:val="20"/>
          <w:color w:val="auto"/>
        </w:rPr>
      </w:pPr>
      <w:r>
        <w:rPr>
          <w:rFonts w:ascii="Times New Roman" w:cs="Times New Roman" w:eastAsia="Times New Roman" w:hAnsi="Times New Roman"/>
          <w:sz w:val="14"/>
          <w:szCs w:val="14"/>
          <w:color w:val="auto"/>
        </w:rPr>
        <w:t>Re:</w:t>
        <w:tab/>
        <w:t>GigCapital8 Corp.</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Registration Statement on Form S-1 (File. No. 333-289479)</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9"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We have acted as special United States counsel to Gigcapital8 Corp., a Cayman Islands exempted company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initial public offering by the Company of (a) up to 25,300,000 units of the Company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(including up to 3,300,000 Units subject to an over-allotment option), each Unit consisting of one Class A ordinary share of the Company, par value $0.0001 per share (each, a “</w:t>
      </w:r>
      <w:r>
        <w:rPr>
          <w:rFonts w:ascii="Times New Roman" w:cs="Times New Roman" w:eastAsia="Times New Roman" w:hAnsi="Times New Roman"/>
          <w:sz w:val="14"/>
          <w:szCs w:val="14"/>
          <w:b w:val="1"/>
          <w:bCs w:val="1"/>
          <w:color w:val="auto"/>
        </w:rPr>
        <w:t>Class A Ordinary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4"/>
          <w:szCs w:val="14"/>
          <w:color w:val="auto"/>
        </w:rPr>
        <w:t>”), and one right to receive one-fifth of a Class A Ordinary Share (each whole right, a “</w:t>
      </w:r>
      <w:r>
        <w:rPr>
          <w:rFonts w:ascii="Times New Roman" w:cs="Times New Roman" w:eastAsia="Times New Roman" w:hAnsi="Times New Roman"/>
          <w:sz w:val="14"/>
          <w:szCs w:val="14"/>
          <w:b w:val="1"/>
          <w:bCs w:val="1"/>
          <w:color w:val="auto"/>
        </w:rPr>
        <w:t>Right</w:t>
      </w:r>
      <w:r>
        <w:rPr>
          <w:rFonts w:ascii="Times New Roman" w:cs="Times New Roman" w:eastAsia="Times New Roman" w:hAnsi="Times New Roman"/>
          <w:sz w:val="14"/>
          <w:szCs w:val="14"/>
          <w:color w:val="auto"/>
        </w:rPr>
        <w:t>”), each five Rights entitling the holder to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 one Class A Ordinary Share, and (b) all Class A Ordinary Shares and all Rights to be issued as part of the Units. The Units and the Class A Ordinary Shares and Rights, in each case, included as part of the Units are collectively referred to herein as the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t>This opinion is being furnished in accordance with the requirements of Item 601(b)(5) of Regulation S-K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rendering the opinions stated herein, we have examined and relied upon the following:</w:t>
      </w:r>
    </w:p>
    <w:p>
      <w:pPr>
        <w:spacing w:after="0" w:line="102" w:lineRule="exact"/>
        <w:rPr>
          <w:sz w:val="20"/>
          <w:szCs w:val="20"/>
          <w:color w:val="auto"/>
        </w:rPr>
      </w:pPr>
    </w:p>
    <w:p>
      <w:pPr>
        <w:jc w:val="both"/>
        <w:ind w:left="980" w:right="319" w:hanging="429"/>
        <w:spacing w:after="0" w:line="267"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on Form S-1 (File No. 333-289479) of the Company relating to the Securities, initially filed on August 11, 2025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under the Securities Act (such registration statement, as so amended, being hereinafter referred to as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980" w:right="319" w:hanging="429"/>
        <w:spacing w:after="0" w:line="268"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Underwriting Agreement (the “</w:t>
      </w:r>
      <w:r>
        <w:rPr>
          <w:rFonts w:ascii="Times New Roman" w:cs="Times New Roman" w:eastAsia="Times New Roman" w:hAnsi="Times New Roman"/>
          <w:sz w:val="14"/>
          <w:szCs w:val="14"/>
          <w:b w:val="1"/>
          <w:bCs w:val="1"/>
          <w:color w:val="auto"/>
        </w:rPr>
        <w:t>Underwriting Agreement</w:t>
      </w:r>
      <w:r>
        <w:rPr>
          <w:rFonts w:ascii="Times New Roman" w:cs="Times New Roman" w:eastAsia="Times New Roman" w:hAnsi="Times New Roman"/>
          <w:sz w:val="14"/>
          <w:szCs w:val="14"/>
          <w:color w:val="auto"/>
        </w:rPr>
        <w:t>”) proposed to be entered into by and between the D. Boral Capital LLC, as the representative of the underwriters (the “</w:t>
      </w:r>
      <w:r>
        <w:rPr>
          <w:rFonts w:ascii="Times New Roman" w:cs="Times New Roman" w:eastAsia="Times New Roman" w:hAnsi="Times New Roman"/>
          <w:sz w:val="14"/>
          <w:szCs w:val="14"/>
          <w:b w:val="1"/>
          <w:bCs w:val="1"/>
          <w:color w:val="auto"/>
        </w:rPr>
        <w:t>Underwriters</w:t>
      </w:r>
      <w:r>
        <w:rPr>
          <w:rFonts w:ascii="Times New Roman" w:cs="Times New Roman" w:eastAsia="Times New Roman" w:hAnsi="Times New Roman"/>
          <w:sz w:val="14"/>
          <w:szCs w:val="14"/>
          <w:color w:val="auto"/>
        </w:rPr>
        <w:t>”), relating to the sale by the Company to the underwriters of the Units, filed as Exhibit 1.1 to the Registration Statement;</w:t>
      </w:r>
    </w:p>
    <w:p>
      <w:pPr>
        <w:spacing w:after="0" w:line="59"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Specimen Unit Certificate, filed as Exhibit 4.1 to the Registration Statement (the “</w:t>
      </w:r>
      <w:r>
        <w:rPr>
          <w:rFonts w:ascii="Times New Roman" w:cs="Times New Roman" w:eastAsia="Times New Roman" w:hAnsi="Times New Roman"/>
          <w:sz w:val="14"/>
          <w:szCs w:val="14"/>
          <w:b w:val="1"/>
          <w:bCs w:val="1"/>
          <w:color w:val="auto"/>
        </w:rPr>
        <w:t>Unit Certificate</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Specimen Right Certificate, filed as Exhibit 4.3 to the Registration Statement (the “</w:t>
      </w:r>
      <w:r>
        <w:rPr>
          <w:rFonts w:ascii="Times New Roman" w:cs="Times New Roman" w:eastAsia="Times New Roman" w:hAnsi="Times New Roman"/>
          <w:sz w:val="14"/>
          <w:szCs w:val="14"/>
          <w:b w:val="1"/>
          <w:bCs w:val="1"/>
          <w:color w:val="auto"/>
        </w:rPr>
        <w:t>Right Certificate</w:t>
      </w:r>
      <w:r>
        <w:rPr>
          <w:rFonts w:ascii="Times New Roman" w:cs="Times New Roman" w:eastAsia="Times New Roman" w:hAnsi="Times New Roman"/>
          <w:sz w:val="14"/>
          <w:szCs w:val="14"/>
          <w:color w:val="auto"/>
        </w:rPr>
        <w:t>”); and</w:t>
      </w:r>
    </w:p>
    <w:p>
      <w:pPr>
        <w:spacing w:after="0" w:line="103" w:lineRule="exact"/>
        <w:rPr>
          <w:rFonts w:ascii="Times New Roman" w:cs="Times New Roman" w:eastAsia="Times New Roman" w:hAnsi="Times New Roman"/>
          <w:sz w:val="14"/>
          <w:szCs w:val="14"/>
          <w:color w:val="auto"/>
        </w:rPr>
      </w:pPr>
    </w:p>
    <w:p>
      <w:pPr>
        <w:ind w:left="980" w:right="239" w:hanging="429"/>
        <w:spacing w:after="0" w:line="283"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Rights Agreement proposed to be entered into by and between the Company and Continental Stock Transfer &amp; Trust Company, a New York corporation (“</w:t>
      </w:r>
      <w:r>
        <w:rPr>
          <w:rFonts w:ascii="Times New Roman" w:cs="Times New Roman" w:eastAsia="Times New Roman" w:hAnsi="Times New Roman"/>
          <w:sz w:val="14"/>
          <w:szCs w:val="14"/>
          <w:b w:val="1"/>
          <w:bCs w:val="1"/>
          <w:color w:val="auto"/>
        </w:rPr>
        <w:t>CST</w:t>
      </w:r>
      <w:r>
        <w:rPr>
          <w:rFonts w:ascii="Times New Roman" w:cs="Times New Roman" w:eastAsia="Times New Roman" w:hAnsi="Times New Roman"/>
          <w:sz w:val="14"/>
          <w:szCs w:val="14"/>
          <w:color w:val="auto"/>
        </w:rPr>
        <w:t>”), as rights agent (the “</w:t>
      </w:r>
      <w:r>
        <w:rPr>
          <w:rFonts w:ascii="Times New Roman" w:cs="Times New Roman" w:eastAsia="Times New Roman" w:hAnsi="Times New Roman"/>
          <w:sz w:val="14"/>
          <w:szCs w:val="14"/>
          <w:b w:val="1"/>
          <w:bCs w:val="1"/>
          <w:color w:val="auto"/>
        </w:rPr>
        <w:t>Rights Agreement</w:t>
      </w:r>
      <w:r>
        <w:rPr>
          <w:rFonts w:ascii="Times New Roman" w:cs="Times New Roman" w:eastAsia="Times New Roman" w:hAnsi="Times New Roman"/>
          <w:sz w:val="14"/>
          <w:szCs w:val="14"/>
          <w:color w:val="auto"/>
        </w:rPr>
        <w:t>”), filed as Exhibit 4.4 to the Registration Statement.</w:t>
      </w:r>
    </w:p>
    <w:p>
      <w:pPr>
        <w:spacing w:after="0" w:line="125" w:lineRule="exact"/>
        <w:rPr>
          <w:sz w:val="20"/>
          <w:szCs w:val="20"/>
          <w:color w:val="auto"/>
        </w:rPr>
      </w:pPr>
    </w:p>
    <w:p>
      <w:pPr>
        <w:ind w:left="220" w:right="659" w:firstLine="343"/>
        <w:spacing w:after="0" w:line="267" w:lineRule="auto"/>
        <w:rPr>
          <w:sz w:val="20"/>
          <w:szCs w:val="20"/>
          <w:color w:val="auto"/>
        </w:rPr>
      </w:pPr>
      <w:r>
        <w:rPr>
          <w:rFonts w:ascii="Times New Roman" w:cs="Times New Roman" w:eastAsia="Times New Roman" w:hAnsi="Times New Roman"/>
          <w:sz w:val="14"/>
          <w:szCs w:val="14"/>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9019"/>
          </w:cols>
          <w:pgMar w:left="1440" w:top="123" w:right="1440" w:bottom="1440" w:gutter="0" w:footer="0" w:header="0"/>
        </w:sectPr>
      </w:pPr>
    </w:p>
    <w:bookmarkStart w:id="6" w:name="page7"/>
    <w:bookmarkEnd w:id="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GigCapital8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October 6, 2025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w:t>
      </w:r>
    </w:p>
    <w:p>
      <w:pPr>
        <w:spacing w:after="0" w:line="108" w:lineRule="exact"/>
        <w:rPr>
          <w:sz w:val="20"/>
          <w:szCs w:val="20"/>
          <w:color w:val="auto"/>
        </w:rPr>
      </w:pPr>
    </w:p>
    <w:p>
      <w:pPr>
        <w:ind w:left="220" w:right="359" w:firstLine="343"/>
        <w:spacing w:after="0" w:line="256"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on all documents, including electronic signatures, the legal capacity and competency of all natural persons executing any documents, the authenticity and completeness of all documents submitted to us as originals, the completeness and conformity to original documents of all documents submitted to us as facsimile, electronic, certified or photocopied copies or which we obtained from the Commission’s Electronic Data Gathering, Analysis and Retrieval system (“</w:t>
      </w:r>
      <w:r>
        <w:rPr>
          <w:rFonts w:ascii="Times New Roman" w:cs="Times New Roman" w:eastAsia="Times New Roman" w:hAnsi="Times New Roman"/>
          <w:sz w:val="14"/>
          <w:szCs w:val="14"/>
          <w:b w:val="1"/>
          <w:bCs w:val="1"/>
          <w:color w:val="auto"/>
        </w:rPr>
        <w:t>EDGAR</w:t>
      </w:r>
      <w:r>
        <w:rPr>
          <w:rFonts w:ascii="Times New Roman" w:cs="Times New Roman" w:eastAsia="Times New Roman" w:hAnsi="Times New Roman"/>
          <w:sz w:val="14"/>
          <w:szCs w:val="14"/>
          <w:color w:val="auto"/>
        </w:rPr>
        <w:t>”) or other sites on the internet, and the authenticity of the originals thereof. As to any facts and the consequences thereof relevant to the opinions stated herein that we did not independently establish or verify, we have, to the extent deemed appropriate, relied without independent investigation or verification upon, and assumed the accuracy and completeness of, statements and representations of officers and other representatives of the Company and others and of public officials.</w:t>
      </w:r>
    </w:p>
    <w:p>
      <w:pPr>
        <w:spacing w:after="0" w:line="144" w:lineRule="exact"/>
        <w:rPr>
          <w:sz w:val="20"/>
          <w:szCs w:val="20"/>
          <w:color w:val="auto"/>
        </w:rPr>
      </w:pPr>
    </w:p>
    <w:p>
      <w:pPr>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the laws of the State of New York, except we express no opinion and make no statement as to the municipal laws or the laws, rules or regulations of any local agencies or governmental authorities of or within the State of New York or, in each case, as to any matters arising thereunder or relating thereto (the “</w:t>
      </w:r>
      <w:r>
        <w:rPr>
          <w:rFonts w:ascii="Times New Roman" w:cs="Times New Roman" w:eastAsia="Times New Roman" w:hAnsi="Times New Roman"/>
          <w:sz w:val="14"/>
          <w:szCs w:val="14"/>
          <w:b w:val="1"/>
          <w:bCs w:val="1"/>
          <w:color w:val="auto"/>
        </w:rPr>
        <w:t>Opined-on Law</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means the Underwriting Agreement, the Unit Certificate and the Rights Agreement.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w:t>
      </w:r>
    </w:p>
    <w:p>
      <w:pPr>
        <w:spacing w:after="0" w:line="102" w:lineRule="exact"/>
        <w:rPr>
          <w:sz w:val="20"/>
          <w:szCs w:val="20"/>
          <w:color w:val="auto"/>
        </w:rPr>
      </w:pPr>
    </w:p>
    <w:p>
      <w:pPr>
        <w:ind w:left="980" w:right="719" w:hanging="429"/>
        <w:spacing w:after="0" w:line="267" w:lineRule="auto"/>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Units are delivered by the Company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61" w:lineRule="exact"/>
        <w:rPr>
          <w:rFonts w:ascii="Times New Roman" w:cs="Times New Roman" w:eastAsia="Times New Roman" w:hAnsi="Times New Roman"/>
          <w:sz w:val="14"/>
          <w:szCs w:val="14"/>
          <w:color w:val="auto"/>
        </w:rPr>
      </w:pPr>
    </w:p>
    <w:p>
      <w:pPr>
        <w:ind w:left="980" w:right="299" w:hanging="429"/>
        <w:spacing w:after="0" w:line="267" w:lineRule="auto"/>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Units are delivered by the Company in accordance with the Underwriting Agreement upon payment of the agreed upon consideration therefor, the Rights included in such Units will constitute valid and binding obligations of the Company, enforceable against the Company in accordance with their terms under the laws of the State of New York.</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qualifications:</w:t>
      </w:r>
    </w:p>
    <w:p>
      <w:pPr>
        <w:spacing w:after="0" w:line="91" w:lineRule="exact"/>
        <w:rPr>
          <w:sz w:val="20"/>
          <w:szCs w:val="20"/>
          <w:color w:val="auto"/>
        </w:rPr>
      </w:pPr>
    </w:p>
    <w:p>
      <w:pPr>
        <w:ind w:left="220" w:right="259" w:firstLine="338"/>
        <w:spacing w:after="0" w:line="267" w:lineRule="auto"/>
        <w:tabs>
          <w:tab w:leader="none" w:pos="75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135" w:lineRule="exact"/>
        <w:rPr>
          <w:rFonts w:ascii="Times New Roman" w:cs="Times New Roman" w:eastAsia="Times New Roman" w:hAnsi="Times New Roman"/>
          <w:sz w:val="14"/>
          <w:szCs w:val="14"/>
          <w:color w:val="auto"/>
        </w:rPr>
      </w:pPr>
    </w:p>
    <w:p>
      <w:pPr>
        <w:ind w:left="220" w:right="239" w:firstLine="338"/>
        <w:spacing w:after="0" w:line="267" w:lineRule="auto"/>
        <w:tabs>
          <w:tab w:leader="none" w:pos="76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35" w:lineRule="exact"/>
        <w:rPr>
          <w:rFonts w:ascii="Times New Roman" w:cs="Times New Roman" w:eastAsia="Times New Roman" w:hAnsi="Times New Roman"/>
          <w:sz w:val="14"/>
          <w:szCs w:val="14"/>
          <w:color w:val="auto"/>
        </w:rPr>
      </w:pPr>
    </w:p>
    <w:p>
      <w:pPr>
        <w:ind w:left="220" w:right="339" w:firstLine="338"/>
        <w:spacing w:after="0" w:line="261" w:lineRule="auto"/>
        <w:tabs>
          <w:tab w:leader="none" w:pos="75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40" w:lineRule="exact"/>
        <w:rPr>
          <w:rFonts w:ascii="Times New Roman" w:cs="Times New Roman" w:eastAsia="Times New Roman" w:hAnsi="Times New Roman"/>
          <w:sz w:val="14"/>
          <w:szCs w:val="14"/>
          <w:color w:val="auto"/>
        </w:rPr>
      </w:pPr>
    </w:p>
    <w:p>
      <w:pPr>
        <w:ind w:left="220" w:right="359" w:firstLine="338"/>
        <w:spacing w:after="0" w:line="261" w:lineRule="auto"/>
        <w:tabs>
          <w:tab w:leader="none" w:pos="76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40" w:lineRule="exact"/>
        <w:rPr>
          <w:rFonts w:ascii="Times New Roman" w:cs="Times New Roman" w:eastAsia="Times New Roman" w:hAnsi="Times New Roman"/>
          <w:sz w:val="14"/>
          <w:szCs w:val="14"/>
          <w:color w:val="auto"/>
        </w:rPr>
      </w:pPr>
    </w:p>
    <w:p>
      <w:pPr>
        <w:jc w:val="both"/>
        <w:ind w:left="220" w:right="379" w:firstLine="338"/>
        <w:spacing w:after="0" w:line="267" w:lineRule="auto"/>
        <w:tabs>
          <w:tab w:leader="none" w:pos="75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assumed that CST has the power, corporate or other, to enter into and perform all obligations under the Rights Agreement and have also assumed the due authorization by all requisite action, corporate or other, and the execution and delivery by CST of the Rights Agreement and that the Rights Agreement constitutes the valid and binding obligation of CST, enforceable against CST in accordance with its terms; and</w:t>
      </w:r>
    </w:p>
    <w:p>
      <w:pPr>
        <w:sectPr>
          <w:pgSz w:w="11900" w:h="16838" w:orient="portrait"/>
          <w:cols w:equalWidth="0" w:num="1">
            <w:col w:w="9019"/>
          </w:cols>
          <w:pgMar w:left="1440" w:top="240" w:right="1440" w:bottom="1440" w:gutter="0" w:footer="0" w:header="0"/>
        </w:sectPr>
      </w:pPr>
    </w:p>
    <w:bookmarkStart w:id="7" w:name="page8"/>
    <w:bookmarkEnd w:id="7"/>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GigCapital8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October 6, 2025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3</w:t>
      </w:r>
    </w:p>
    <w:p>
      <w:pPr>
        <w:spacing w:after="0" w:line="108" w:lineRule="exact"/>
        <w:rPr>
          <w:sz w:val="20"/>
          <w:szCs w:val="20"/>
          <w:color w:val="auto"/>
        </w:rPr>
      </w:pPr>
    </w:p>
    <w:p>
      <w:pPr>
        <w:ind w:left="220" w:right="259" w:firstLine="338"/>
        <w:spacing w:after="0" w:line="261" w:lineRule="auto"/>
        <w:tabs>
          <w:tab w:leader="none" w:pos="7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opinion relates to the enforceability of the choice of New York law and choice of New York forum provisions contained in any of the Units or the Rights Agreement,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assumed that:</w:t>
      </w:r>
    </w:p>
    <w:p>
      <w:pPr>
        <w:spacing w:after="0" w:line="91" w:lineRule="exact"/>
        <w:rPr>
          <w:sz w:val="20"/>
          <w:szCs w:val="20"/>
          <w:color w:val="auto"/>
        </w:rPr>
      </w:pPr>
    </w:p>
    <w:p>
      <w:pPr>
        <w:jc w:val="both"/>
        <w:ind w:left="220" w:right="479" w:firstLine="338"/>
        <w:spacing w:after="0" w:line="267" w:lineRule="auto"/>
        <w:tabs>
          <w:tab w:leader="none" w:pos="75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corporate power and authority to execute, deliver and perform all its obligations under the Transaction Documents;</w:t>
      </w:r>
    </w:p>
    <w:p>
      <w:pPr>
        <w:spacing w:after="0" w:line="175"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Transaction Documents has been duly authorized, executed and delivered by all requisite corporate action on part of the Company;</w:t>
      </w:r>
    </w:p>
    <w:p>
      <w:pPr>
        <w:spacing w:after="0" w:line="175" w:lineRule="exact"/>
        <w:rPr>
          <w:rFonts w:ascii="Times New Roman" w:cs="Times New Roman" w:eastAsia="Times New Roman" w:hAnsi="Times New Roman"/>
          <w:sz w:val="14"/>
          <w:szCs w:val="14"/>
          <w:color w:val="auto"/>
        </w:rPr>
      </w:pPr>
    </w:p>
    <w:p>
      <w:pPr>
        <w:ind w:left="220" w:right="259" w:firstLine="338"/>
        <w:spacing w:after="0" w:line="257" w:lineRule="auto"/>
        <w:tabs>
          <w:tab w:leader="none" w:pos="76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the Company of the Transaction Documents nor the performance by the Company of its obligations thereunder, including the issuance and sale of the Securities,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43" w:lineRule="exact"/>
        <w:rPr>
          <w:rFonts w:ascii="Times New Roman" w:cs="Times New Roman" w:eastAsia="Times New Roman" w:hAnsi="Times New Roman"/>
          <w:sz w:val="14"/>
          <w:szCs w:val="14"/>
          <w:color w:val="auto"/>
        </w:rPr>
      </w:pPr>
    </w:p>
    <w:p>
      <w:pPr>
        <w:ind w:left="220" w:right="419" w:firstLine="338"/>
        <w:spacing w:after="0" w:line="267" w:lineRule="auto"/>
        <w:tabs>
          <w:tab w:leader="none" w:pos="75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by the Company of the Transaction Documents nor the performance by the Company of its obligations thereunder, including the issuance and sale of the Securities, requires or will require the consent, approval, licensing or authorization of, or any filing, recording or registration with, any governmental authority under any law, rule or regulation of any jurisdiction.</w:t>
      </w:r>
    </w:p>
    <w:p>
      <w:pPr>
        <w:spacing w:after="0" w:line="136"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DLA Piper LLP (US)</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DLA PIPER LLP (US)</w:t>
      </w:r>
    </w:p>
    <w:p>
      <w:pPr>
        <w:sectPr>
          <w:pgSz w:w="11900" w:h="16838" w:orient="portrait"/>
          <w:cols w:equalWidth="0" w:num="1">
            <w:col w:w="9019"/>
          </w:cols>
          <w:pgMar w:left="1440" w:top="240" w:right="1440" w:bottom="1440" w:gutter="0" w:footer="0" w:header="0"/>
        </w:sectPr>
      </w:pPr>
    </w:p>
    <w:bookmarkStart w:id="8" w:name="page9"/>
    <w:bookmarkEnd w:id="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19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1"/>
          <w:szCs w:val="11"/>
          <w:color w:val="auto"/>
        </w:rPr>
        <w:t>Harney Westwood &amp; Riegels (Cayman)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-28575</wp:posOffset>
            </wp:positionV>
            <wp:extent cx="1261745" cy="367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61745" cy="367030"/>
                    </a:xfrm>
                    <a:prstGeom prst="rect">
                      <a:avLst/>
                    </a:prstGeom>
                    <a:noFill/>
                  </pic:spPr>
                </pic:pic>
              </a:graphicData>
            </a:graphic>
          </wp:anchor>
        </w:drawing>
      </w:r>
    </w:p>
    <w:p>
      <w:pPr>
        <w:jc w:val="right"/>
        <w:ind w:right="219"/>
        <w:spacing w:after="0" w:line="221" w:lineRule="auto"/>
        <w:rPr>
          <w:sz w:val="20"/>
          <w:szCs w:val="20"/>
          <w:color w:val="auto"/>
        </w:rPr>
      </w:pPr>
      <w:r>
        <w:rPr>
          <w:rFonts w:ascii="Times New Roman" w:cs="Times New Roman" w:eastAsia="Times New Roman" w:hAnsi="Times New Roman"/>
          <w:sz w:val="11"/>
          <w:szCs w:val="11"/>
          <w:color w:val="auto"/>
        </w:rPr>
        <w:t>3rd Floor, Harbour Place</w:t>
      </w:r>
    </w:p>
    <w:p>
      <w:pPr>
        <w:jc w:val="right"/>
        <w:ind w:right="219"/>
        <w:spacing w:after="0" w:line="219" w:lineRule="auto"/>
        <w:rPr>
          <w:sz w:val="20"/>
          <w:szCs w:val="20"/>
          <w:color w:val="auto"/>
        </w:rPr>
      </w:pPr>
      <w:r>
        <w:rPr>
          <w:rFonts w:ascii="Times New Roman" w:cs="Times New Roman" w:eastAsia="Times New Roman" w:hAnsi="Times New Roman"/>
          <w:sz w:val="11"/>
          <w:szCs w:val="11"/>
          <w:color w:val="auto"/>
        </w:rPr>
        <w:t>103 South Church Street, PO Box 11088</w:t>
      </w:r>
    </w:p>
    <w:p>
      <w:pPr>
        <w:ind w:left="6840"/>
        <w:spacing w:after="0" w:line="220" w:lineRule="auto"/>
        <w:rPr>
          <w:sz w:val="20"/>
          <w:szCs w:val="20"/>
          <w:color w:val="auto"/>
        </w:rPr>
      </w:pPr>
      <w:r>
        <w:rPr>
          <w:rFonts w:ascii="Times New Roman" w:cs="Times New Roman" w:eastAsia="Times New Roman" w:hAnsi="Times New Roman"/>
          <w:sz w:val="11"/>
          <w:szCs w:val="11"/>
          <w:color w:val="auto"/>
        </w:rPr>
        <w:t>Grand Cayman KY1-1008, Cayman Islands</w:t>
      </w:r>
    </w:p>
    <w:p>
      <w:pPr>
        <w:ind w:left="7820"/>
        <w:spacing w:after="0" w:line="219" w:lineRule="auto"/>
        <w:rPr>
          <w:sz w:val="20"/>
          <w:szCs w:val="20"/>
          <w:color w:val="auto"/>
        </w:rPr>
      </w:pPr>
      <w:r>
        <w:rPr>
          <w:rFonts w:ascii="Times New Roman" w:cs="Times New Roman" w:eastAsia="Times New Roman" w:hAnsi="Times New Roman"/>
          <w:sz w:val="11"/>
          <w:szCs w:val="11"/>
          <w:color w:val="auto"/>
        </w:rPr>
        <w:t>Tel: +1 345 949 8599</w:t>
      </w:r>
    </w:p>
    <w:p>
      <w:pPr>
        <w:ind w:left="7800"/>
        <w:spacing w:after="0"/>
        <w:rPr>
          <w:sz w:val="20"/>
          <w:szCs w:val="20"/>
          <w:color w:val="auto"/>
        </w:rPr>
      </w:pPr>
      <w:r>
        <w:rPr>
          <w:rFonts w:ascii="Times New Roman" w:cs="Times New Roman" w:eastAsia="Times New Roman" w:hAnsi="Times New Roman"/>
          <w:sz w:val="11"/>
          <w:szCs w:val="11"/>
          <w:color w:val="auto"/>
        </w:rPr>
        <w:t>Fax: +1 345 949 4451</w:t>
      </w:r>
    </w:p>
    <w:p>
      <w:pPr>
        <w:spacing w:after="0" w:line="1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6 October 2025</w:t>
      </w:r>
    </w:p>
    <w:p>
      <w:pPr>
        <w:spacing w:after="0" w:line="17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christopher.hall@harneys.com</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george.weston@harney.com</w:t>
      </w:r>
    </w:p>
    <w:p>
      <w:pPr>
        <w:spacing w:after="0" w:line="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063740.0002-CH-GYW</w:t>
      </w:r>
    </w:p>
    <w:p>
      <w:pPr>
        <w:spacing w:after="0" w:line="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GigCapital8 Corp.</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Harneys Fiduciary (Cayman) Limited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4th Floor, Harbour Place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103 South Church Street, P.O. Box 10240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Grand Cayman, KY1-1002, Cayman Islands</w:t>
      </w: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Dear GigCapital8 Corp.</w:t>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GigCapital8 Corp.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b w:val="1"/>
          <w:bCs w:val="1"/>
          <w:color w:val="auto"/>
        </w:rPr>
        <w:t>)</w:t>
      </w:r>
    </w:p>
    <w:p>
      <w:pPr>
        <w:spacing w:after="0" w:line="93" w:lineRule="exact"/>
        <w:rPr>
          <w:sz w:val="20"/>
          <w:szCs w:val="20"/>
          <w:color w:val="auto"/>
        </w:rPr>
      </w:pPr>
    </w:p>
    <w:p>
      <w:pPr>
        <w:jc w:val="both"/>
        <w:ind w:left="220" w:right="539"/>
        <w:spacing w:after="0" w:line="267" w:lineRule="auto"/>
        <w:rPr>
          <w:sz w:val="20"/>
          <w:szCs w:val="20"/>
          <w:color w:val="auto"/>
        </w:rPr>
      </w:pPr>
      <w:r>
        <w:rPr>
          <w:rFonts w:ascii="Times New Roman" w:cs="Times New Roman" w:eastAsia="Times New Roman" w:hAnsi="Times New Roman"/>
          <w:sz w:val="14"/>
          <w:szCs w:val="14"/>
          <w:color w:val="auto"/>
        </w:rPr>
        <w:t>We are lawyers qualified to practise in the Cayman Islands and have acted as Cayman Islands legal advisers to the Company in connection with the Company’s registration statement on Form S-1 to be filed with the Securities and Exchange Commission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on or about the date of this opinion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relating to the registration of:</w:t>
      </w:r>
    </w:p>
    <w:p>
      <w:pPr>
        <w:spacing w:after="0" w:line="62" w:lineRule="exact"/>
        <w:rPr>
          <w:sz w:val="20"/>
          <w:szCs w:val="20"/>
          <w:color w:val="auto"/>
        </w:rPr>
      </w:pPr>
    </w:p>
    <w:p>
      <w:pPr>
        <w:ind w:left="640" w:hanging="425"/>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22,000,000 units consisting of:</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Class A Share (as defined below); and</w:t>
      </w:r>
    </w:p>
    <w:p>
      <w:pPr>
        <w:spacing w:after="0" w:line="99"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right to receive one-fifth (1/5) of a Class A Share (</w:t>
      </w:r>
      <w:r>
        <w:rPr>
          <w:rFonts w:ascii="Times New Roman" w:cs="Times New Roman" w:eastAsia="Times New Roman" w:hAnsi="Times New Roman"/>
          <w:sz w:val="14"/>
          <w:szCs w:val="14"/>
          <w:b w:val="1"/>
          <w:bCs w:val="1"/>
          <w:i w:val="1"/>
          <w:iCs w:val="1"/>
          <w:color w:val="auto"/>
        </w:rPr>
        <w:t>Right</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upon the consummation of an initial business combination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w:t>
      </w:r>
    </w:p>
    <w:p>
      <w:pPr>
        <w:spacing w:after="0" w:line="103" w:lineRule="exact"/>
        <w:rPr>
          <w:rFonts w:ascii="Times New Roman" w:cs="Times New Roman" w:eastAsia="Times New Roman" w:hAnsi="Times New Roman"/>
          <w:sz w:val="14"/>
          <w:szCs w:val="14"/>
          <w:color w:val="auto"/>
        </w:rPr>
      </w:pPr>
    </w:p>
    <w:p>
      <w:pPr>
        <w:ind w:left="640" w:right="279" w:hanging="425"/>
        <w:spacing w:after="0" w:line="28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3,300,000 Units, which may be issued upon exercise of an option granted to the underwriter(s) to cover over-allotments, if any, exercisable for a period of forty-five (45) days after the closing of the offering (</w:t>
      </w:r>
      <w:r>
        <w:rPr>
          <w:rFonts w:ascii="Times New Roman" w:cs="Times New Roman" w:eastAsia="Times New Roman" w:hAnsi="Times New Roman"/>
          <w:sz w:val="14"/>
          <w:szCs w:val="14"/>
          <w:b w:val="1"/>
          <w:bCs w:val="1"/>
          <w:i w:val="1"/>
          <w:iCs w:val="1"/>
          <w:color w:val="auto"/>
        </w:rPr>
        <w:t>Over-Allotment Units</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640" w:hanging="425"/>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Class A Shares and all Rights issued as part of the Units and the Over-Allotment Units; and</w:t>
      </w:r>
    </w:p>
    <w:p>
      <w:pPr>
        <w:spacing w:after="0" w:line="101" w:lineRule="exact"/>
        <w:rPr>
          <w:rFonts w:ascii="Times New Roman" w:cs="Times New Roman" w:eastAsia="Times New Roman" w:hAnsi="Times New Roman"/>
          <w:sz w:val="14"/>
          <w:szCs w:val="14"/>
          <w:color w:val="auto"/>
        </w:rPr>
      </w:pPr>
    </w:p>
    <w:p>
      <w:pPr>
        <w:ind w:left="640" w:right="439" w:hanging="425"/>
        <w:spacing w:after="0" w:line="28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Class A Shares that may be issued upon the consummation of an initial business combination in respect of the Rights included in the Units and the Over-Allotment Units,</w:t>
      </w:r>
    </w:p>
    <w:p>
      <w:pPr>
        <w:spacing w:after="0" w:line="123" w:lineRule="exact"/>
        <w:rPr>
          <w:sz w:val="20"/>
          <w:szCs w:val="20"/>
          <w:color w:val="auto"/>
        </w:rPr>
      </w:pPr>
    </w:p>
    <w:p>
      <w:pPr>
        <w:ind w:left="220" w:right="279"/>
        <w:spacing w:after="0" w:line="286" w:lineRule="auto"/>
        <w:rPr>
          <w:sz w:val="20"/>
          <w:szCs w:val="20"/>
          <w:color w:val="auto"/>
        </w:rPr>
      </w:pPr>
      <w:r>
        <w:rPr>
          <w:rFonts w:ascii="Times New Roman" w:cs="Times New Roman" w:eastAsia="Times New Roman" w:hAnsi="Times New Roman"/>
          <w:sz w:val="14"/>
          <w:szCs w:val="14"/>
          <w:color w:val="auto"/>
        </w:rPr>
        <w:t>in each case under the United States Securities Act of 1933, as amended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xml:space="preserve">) and pursuant to the terms of the Registration Statement. In this opinion </w:t>
      </w:r>
      <w:r>
        <w:rPr>
          <w:rFonts w:ascii="Times New Roman" w:cs="Times New Roman" w:eastAsia="Times New Roman" w:hAnsi="Times New Roman"/>
          <w:sz w:val="14"/>
          <w:szCs w:val="14"/>
          <w:b w:val="1"/>
          <w:bCs w:val="1"/>
          <w:i w:val="1"/>
          <w:iCs w:val="1"/>
          <w:color w:val="auto"/>
        </w:rPr>
        <w:t>Companies Act</w:t>
      </w:r>
      <w:r>
        <w:rPr>
          <w:rFonts w:ascii="Times New Roman" w:cs="Times New Roman" w:eastAsia="Times New Roman" w:hAnsi="Times New Roman"/>
          <w:sz w:val="14"/>
          <w:szCs w:val="14"/>
          <w:color w:val="auto"/>
        </w:rPr>
        <w:t xml:space="preserve"> means the Companies Act, as amended, of the Cayman Islands.</w:t>
      </w:r>
    </w:p>
    <w:p>
      <w:pPr>
        <w:spacing w:after="0" w:line="123" w:lineRule="exact"/>
        <w:rPr>
          <w:sz w:val="20"/>
          <w:szCs w:val="20"/>
          <w:color w:val="auto"/>
        </w:rPr>
      </w:pPr>
    </w:p>
    <w:p>
      <w:pPr>
        <w:ind w:left="220" w:right="539"/>
        <w:spacing w:after="0" w:line="283" w:lineRule="auto"/>
        <w:rPr>
          <w:sz w:val="20"/>
          <w:szCs w:val="20"/>
          <w:color w:val="auto"/>
        </w:rPr>
      </w:pPr>
      <w:r>
        <w:rPr>
          <w:rFonts w:ascii="Times New Roman" w:cs="Times New Roman" w:eastAsia="Times New Roman" w:hAnsi="Times New Roman"/>
          <w:sz w:val="14"/>
          <w:szCs w:val="14"/>
          <w:color w:val="auto"/>
        </w:rPr>
        <w:t>Each five (5) Rights entitle the holder thereof to receive one (1) Class A Share upon the consummation of a business combination. There will be no fractional shares issued upon the conversion of the Rights.</w:t>
      </w:r>
    </w:p>
    <w:p>
      <w:pPr>
        <w:spacing w:after="0" w:line="123" w:lineRule="exact"/>
        <w:rPr>
          <w:sz w:val="20"/>
          <w:szCs w:val="20"/>
          <w:color w:val="auto"/>
        </w:rPr>
      </w:pPr>
    </w:p>
    <w:p>
      <w:pPr>
        <w:ind w:left="220" w:right="359"/>
        <w:spacing w:after="0" w:line="286" w:lineRule="auto"/>
        <w:rPr>
          <w:sz w:val="20"/>
          <w:szCs w:val="20"/>
          <w:color w:val="auto"/>
        </w:rPr>
      </w:pPr>
      <w:r>
        <w:rPr>
          <w:rFonts w:ascii="Times New Roman" w:cs="Times New Roman" w:eastAsia="Times New Roman" w:hAnsi="Times New Roman"/>
          <w:sz w:val="14"/>
          <w:szCs w:val="14"/>
          <w:color w:val="auto"/>
        </w:rPr>
        <w:t xml:space="preserve">The Class A Shares underlying the Units and the Over-Allotment Units are referred to herein as the </w:t>
      </w:r>
      <w:r>
        <w:rPr>
          <w:rFonts w:ascii="Times New Roman" w:cs="Times New Roman" w:eastAsia="Times New Roman" w:hAnsi="Times New Roman"/>
          <w:sz w:val="14"/>
          <w:szCs w:val="14"/>
          <w:b w:val="1"/>
          <w:bCs w:val="1"/>
          <w:i w:val="1"/>
          <w:iCs w:val="1"/>
          <w:color w:val="auto"/>
        </w:rPr>
        <w:t>Unit Shares</w:t>
      </w:r>
      <w:r>
        <w:rPr>
          <w:rFonts w:ascii="Times New Roman" w:cs="Times New Roman" w:eastAsia="Times New Roman" w:hAnsi="Times New Roman"/>
          <w:sz w:val="14"/>
          <w:szCs w:val="14"/>
          <w:color w:val="auto"/>
        </w:rPr>
        <w:t xml:space="preserve"> and the Class A Shares to be issued in accordance with the Rights are referred to herein as the </w:t>
      </w:r>
      <w:r>
        <w:rPr>
          <w:rFonts w:ascii="Times New Roman" w:cs="Times New Roman" w:eastAsia="Times New Roman" w:hAnsi="Times New Roman"/>
          <w:sz w:val="14"/>
          <w:szCs w:val="14"/>
          <w:b w:val="1"/>
          <w:bCs w:val="1"/>
          <w:i w:val="1"/>
          <w:iCs w:val="1"/>
          <w:color w:val="auto"/>
        </w:rPr>
        <w:t>Rights Shares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123" w:right="1440" w:bottom="1440" w:gutter="0" w:footer="0" w:header="0"/>
        </w:sectPr>
      </w:pPr>
    </w:p>
    <w:bookmarkStart w:id="9" w:name="page10"/>
    <w:bookmarkEnd w:id="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We are furnishing this opinion as Exhibit 5.2 to the Registration Statement.</w:t>
      </w:r>
    </w:p>
    <w:p>
      <w:pPr>
        <w:spacing w:after="0" w:line="175" w:lineRule="exact"/>
        <w:rPr>
          <w:sz w:val="20"/>
          <w:szCs w:val="20"/>
          <w:color w:val="auto"/>
        </w:rPr>
      </w:pPr>
    </w:p>
    <w:p>
      <w:pPr>
        <w:ind w:left="220" w:right="379"/>
        <w:spacing w:after="0" w:line="261" w:lineRule="auto"/>
        <w:rPr>
          <w:sz w:val="20"/>
          <w:szCs w:val="20"/>
          <w:color w:val="auto"/>
        </w:rPr>
      </w:pPr>
      <w:r>
        <w:rPr>
          <w:rFonts w:ascii="Times New Roman" w:cs="Times New Roman" w:eastAsia="Times New Roman" w:hAnsi="Times New Roman"/>
          <w:sz w:val="14"/>
          <w:szCs w:val="14"/>
          <w:color w:val="auto"/>
        </w:rPr>
        <w:t>For the purposes of giving this opinion, we have examined the Documents (as defined in Schedule 1) which are all the documents which we consider necessary and appropriate for the matters set out in this legal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In giving this opinion, we have relied upon the assumptions set out in Schedule 2 which we have not independently verified.</w:t>
      </w:r>
    </w:p>
    <w:p>
      <w:pPr>
        <w:spacing w:after="0" w:line="175" w:lineRule="exact"/>
        <w:rPr>
          <w:sz w:val="20"/>
          <w:szCs w:val="20"/>
          <w:color w:val="auto"/>
        </w:rPr>
      </w:pPr>
    </w:p>
    <w:p>
      <w:pPr>
        <w:ind w:left="220" w:right="279"/>
        <w:spacing w:after="0" w:line="283" w:lineRule="auto"/>
        <w:rPr>
          <w:sz w:val="20"/>
          <w:szCs w:val="20"/>
          <w:color w:val="auto"/>
        </w:rPr>
      </w:pPr>
      <w:r>
        <w:rPr>
          <w:rFonts w:ascii="Times New Roman" w:cs="Times New Roman" w:eastAsia="Times New Roman" w:hAnsi="Times New Roman"/>
          <w:sz w:val="14"/>
          <w:szCs w:val="14"/>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49" w:lineRule="exact"/>
        <w:rPr>
          <w:sz w:val="20"/>
          <w:szCs w:val="20"/>
          <w:color w:val="auto"/>
        </w:rPr>
      </w:pPr>
    </w:p>
    <w:p>
      <w:pPr>
        <w:ind w:left="640" w:right="299" w:hanging="425"/>
        <w:spacing w:after="0" w:line="286"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Existence and Good Standing. </w:t>
      </w:r>
      <w:r>
        <w:rPr>
          <w:rFonts w:ascii="Times New Roman" w:cs="Times New Roman" w:eastAsia="Times New Roman" w:hAnsi="Times New Roman"/>
          <w:sz w:val="14"/>
          <w:szCs w:val="14"/>
          <w:color w:val="auto"/>
        </w:rPr>
        <w:t>The Company has been duly incorporated as an exempted company with limited liability and is validly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 good standing under the laws of the Cayman Islands.</w:t>
      </w:r>
    </w:p>
    <w:p>
      <w:pPr>
        <w:spacing w:after="0" w:line="47" w:lineRule="exact"/>
        <w:rPr>
          <w:sz w:val="20"/>
          <w:szCs w:val="20"/>
          <w:color w:val="auto"/>
        </w:rPr>
      </w:pPr>
    </w:p>
    <w:p>
      <w:pPr>
        <w:ind w:left="640" w:right="379" w:hanging="425"/>
        <w:spacing w:after="0" w:line="268"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Capacity and Power. </w:t>
      </w:r>
      <w:r>
        <w:rPr>
          <w:rFonts w:ascii="Times New Roman" w:cs="Times New Roman" w:eastAsia="Times New Roman" w:hAnsi="Times New Roman"/>
          <w:sz w:val="14"/>
          <w:szCs w:val="14"/>
          <w:color w:val="auto"/>
        </w:rPr>
        <w:t>The delivery of the Registration Statement by the Company and the performance of its obligations thereunder are within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corporate capacity and power of the Company and have been duly authorised and approved by all necessary corporate action of the Company.</w:t>
      </w:r>
    </w:p>
    <w:p>
      <w:pPr>
        <w:spacing w:after="0" w:line="60" w:lineRule="exact"/>
        <w:rPr>
          <w:sz w:val="20"/>
          <w:szCs w:val="20"/>
          <w:color w:val="auto"/>
        </w:rPr>
      </w:pPr>
    </w:p>
    <w:p>
      <w:pPr>
        <w:ind w:left="640" w:hanging="425"/>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Authorised Share Capital. </w:t>
      </w:r>
      <w:r>
        <w:rPr>
          <w:rFonts w:ascii="Times New Roman" w:cs="Times New Roman" w:eastAsia="Times New Roman" w:hAnsi="Times New Roman"/>
          <w:sz w:val="14"/>
          <w:szCs w:val="14"/>
          <w:color w:val="auto"/>
        </w:rPr>
        <w:t>Based on our review of the Mem &amp; Arts, the authorised share capital of the Company is US$ 22,100 divided into:</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Class A ordinary shares of a par value of US$ 0.0001 each (</w:t>
      </w:r>
      <w:r>
        <w:rPr>
          <w:rFonts w:ascii="Times New Roman" w:cs="Times New Roman" w:eastAsia="Times New Roman" w:hAnsi="Times New Roman"/>
          <w:sz w:val="14"/>
          <w:szCs w:val="14"/>
          <w:b w:val="1"/>
          <w:bCs w:val="1"/>
          <w:i w:val="1"/>
          <w:iCs w:val="1"/>
          <w:color w:val="auto"/>
        </w:rPr>
        <w:t>Class A Shares</w:t>
      </w:r>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Class B ordinary shares of a par value of US$ 0.0001 each (</w:t>
      </w:r>
      <w:r>
        <w:rPr>
          <w:rFonts w:ascii="Times New Roman" w:cs="Times New Roman" w:eastAsia="Times New Roman" w:hAnsi="Times New Roman"/>
          <w:sz w:val="14"/>
          <w:szCs w:val="14"/>
          <w:b w:val="1"/>
          <w:bCs w:val="1"/>
          <w:i w:val="1"/>
          <w:iCs w:val="1"/>
          <w:color w:val="auto"/>
        </w:rPr>
        <w:t>Class B Shares</w:t>
      </w:r>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 Preference shares of a par value of US$ 0.0001 each (</w:t>
      </w:r>
      <w:r>
        <w:rPr>
          <w:rFonts w:ascii="Times New Roman" w:cs="Times New Roman" w:eastAsia="Times New Roman" w:hAnsi="Times New Roman"/>
          <w:sz w:val="14"/>
          <w:szCs w:val="14"/>
          <w:b w:val="1"/>
          <w:bCs w:val="1"/>
          <w:i w:val="1"/>
          <w:iCs w:val="1"/>
          <w:color w:val="auto"/>
        </w:rPr>
        <w:t>Preference Shares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ind w:left="640" w:hanging="425"/>
        <w:spacing w:after="0"/>
        <w:tabs>
          <w:tab w:leader="none" w:pos="64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Issued Securities. </w:t>
      </w:r>
      <w:r>
        <w:rPr>
          <w:rFonts w:ascii="Times New Roman" w:cs="Times New Roman" w:eastAsia="Times New Roman" w:hAnsi="Times New Roman"/>
          <w:sz w:val="14"/>
          <w:szCs w:val="14"/>
          <w:color w:val="auto"/>
        </w:rPr>
        <w:t>As of the date of the Certificate of Incumbency (as defined in Schedule 1), the Company has:</w:t>
      </w:r>
    </w:p>
    <w:p>
      <w:pPr>
        <w:spacing w:after="0" w:line="103" w:lineRule="exact"/>
        <w:rPr>
          <w:rFonts w:ascii="Times New Roman" w:cs="Times New Roman" w:eastAsia="Times New Roman" w:hAnsi="Times New Roman"/>
          <w:sz w:val="14"/>
          <w:szCs w:val="14"/>
          <w:b w:val="1"/>
          <w:bCs w:val="1"/>
          <w:color w:val="auto"/>
        </w:rPr>
      </w:pPr>
    </w:p>
    <w:p>
      <w:pPr>
        <w:ind w:left="1140" w:hanging="505"/>
        <w:spacing w:after="0"/>
        <w:tabs>
          <w:tab w:leader="none" w:pos="11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 Class A Shares;</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7,850,229 Class B Shares; and</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 Preference Shares,</w:t>
      </w:r>
    </w:p>
    <w:p>
      <w:pPr>
        <w:spacing w:after="0" w:line="102" w:lineRule="exact"/>
        <w:rPr>
          <w:sz w:val="20"/>
          <w:szCs w:val="20"/>
          <w:color w:val="auto"/>
        </w:rPr>
      </w:pPr>
    </w:p>
    <w:p>
      <w:pPr>
        <w:ind w:left="640" w:hanging="425"/>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and outstanding.</w:t>
      </w:r>
    </w:p>
    <w:p>
      <w:pPr>
        <w:spacing w:after="0" w:line="100" w:lineRule="exact"/>
        <w:rPr>
          <w:sz w:val="20"/>
          <w:szCs w:val="20"/>
          <w:color w:val="auto"/>
        </w:rPr>
      </w:pPr>
    </w:p>
    <w:p>
      <w:pPr>
        <w:ind w:left="640" w:right="239" w:hanging="425"/>
        <w:spacing w:after="0" w:line="259" w:lineRule="auto"/>
        <w:tabs>
          <w:tab w:leader="none" w:pos="6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Unit Shares. </w:t>
      </w:r>
      <w:r>
        <w:rPr>
          <w:rFonts w:ascii="Times New Roman" w:cs="Times New Roman" w:eastAsia="Times New Roman" w:hAnsi="Times New Roman"/>
          <w:sz w:val="14"/>
          <w:szCs w:val="14"/>
          <w:color w:val="auto"/>
        </w:rPr>
        <w:t>The Unit Shares to be issued by the Company as contemplated by the Registration Statement have been duly authorised and, when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allotted, issued and fully paid for in accordance with the Resolutions (as defined in Schedule 1), and when the name of the shareholder is entered in the register of members of the Company (</w:t>
      </w:r>
      <w:r>
        <w:rPr>
          <w:rFonts w:ascii="Times New Roman" w:cs="Times New Roman" w:eastAsia="Times New Roman" w:hAnsi="Times New Roman"/>
          <w:sz w:val="14"/>
          <w:szCs w:val="14"/>
          <w:b w:val="1"/>
          <w:bCs w:val="1"/>
          <w:i w:val="1"/>
          <w:iCs w:val="1"/>
          <w:color w:val="auto"/>
        </w:rPr>
        <w:t>Register of Members</w:t>
      </w:r>
      <w:r>
        <w:rPr>
          <w:rFonts w:ascii="Times New Roman" w:cs="Times New Roman" w:eastAsia="Times New Roman" w:hAnsi="Times New Roman"/>
          <w:sz w:val="14"/>
          <w:szCs w:val="14"/>
          <w:color w:val="auto"/>
        </w:rPr>
        <w:t>), the Unit Shares will be validly issued, allotted, fully paid, and non-assessable and there will be no further obligation on the holder of any of the Unit Shares to make any further payment to the Company in respect of such Unit Shares.</w:t>
      </w:r>
    </w:p>
    <w:p>
      <w:pPr>
        <w:spacing w:after="0" w:line="67" w:lineRule="exact"/>
        <w:rPr>
          <w:sz w:val="20"/>
          <w:szCs w:val="20"/>
          <w:color w:val="auto"/>
        </w:rPr>
      </w:pPr>
    </w:p>
    <w:p>
      <w:pPr>
        <w:ind w:left="640" w:right="399" w:hanging="425"/>
        <w:spacing w:after="0" w:line="268" w:lineRule="auto"/>
        <w:tabs>
          <w:tab w:leader="none" w:pos="64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Rights Shares. </w:t>
      </w:r>
      <w:r>
        <w:rPr>
          <w:rFonts w:ascii="Times New Roman" w:cs="Times New Roman" w:eastAsia="Times New Roman" w:hAnsi="Times New Roman"/>
          <w:sz w:val="14"/>
          <w:szCs w:val="14"/>
          <w:color w:val="auto"/>
        </w:rPr>
        <w:t>The Rights Shares to be issued by the Company as contemplated by the Registration Statement have been duly authorised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when allotted, issued and fully paid for in accordance with the Resolutions, the terms of the Rights, and when the name of the shareholder is entered in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10" w:name="page11"/>
    <w:bookmarkEnd w:id="10"/>
    <w:p>
      <w:pPr>
        <w:ind w:left="640" w:right="299"/>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Register of Members, the Rights Shares will be validly issued, allotted, fully paid, and non-assessable and there will be no further obligation on the holder of any of the Rights Shares to make any further payment to the Company in respect of such Rights Shares.</w:t>
      </w:r>
    </w:p>
    <w:p>
      <w:pPr>
        <w:spacing w:after="0" w:line="49" w:lineRule="exact"/>
        <w:rPr>
          <w:sz w:val="20"/>
          <w:szCs w:val="20"/>
          <w:color w:val="auto"/>
        </w:rPr>
      </w:pPr>
    </w:p>
    <w:p>
      <w:pPr>
        <w:ind w:left="640" w:right="399" w:hanging="425"/>
        <w:spacing w:after="0" w:line="268" w:lineRule="auto"/>
        <w:tabs>
          <w:tab w:leader="none" w:pos="64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Cayman Islands Law. </w:t>
      </w:r>
      <w:r>
        <w:rPr>
          <w:rFonts w:ascii="Times New Roman" w:cs="Times New Roman" w:eastAsia="Times New Roman" w:hAnsi="Times New Roman"/>
          <w:sz w:val="14"/>
          <w:szCs w:val="14"/>
          <w:color w:val="auto"/>
        </w:rPr>
        <w:t>The statements under the caption “Taxation” in the prospectus forming part of the Registration Statement, to the extent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they constitute statements of Cayman Islands law, are accurate in all material respects as at the date of this opinion and such statements constitute our opinion.</w:t>
      </w:r>
    </w:p>
    <w:p>
      <w:pPr>
        <w:spacing w:after="0" w:line="135" w:lineRule="exact"/>
        <w:rPr>
          <w:sz w:val="20"/>
          <w:szCs w:val="20"/>
          <w:color w:val="auto"/>
        </w:rPr>
      </w:pPr>
    </w:p>
    <w:p>
      <w:pPr>
        <w:jc w:val="both"/>
        <w:ind w:left="220" w:right="479"/>
        <w:spacing w:after="0" w:line="267" w:lineRule="auto"/>
        <w:rPr>
          <w:sz w:val="20"/>
          <w:szCs w:val="20"/>
          <w:color w:val="auto"/>
        </w:rPr>
      </w:pPr>
      <w:r>
        <w:rPr>
          <w:rFonts w:ascii="Times New Roman" w:cs="Times New Roman" w:eastAsia="Times New Roman" w:hAnsi="Times New Roman"/>
          <w:sz w:val="14"/>
          <w:szCs w:val="14"/>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spacing w:after="0" w:line="136" w:lineRule="exact"/>
        <w:rPr>
          <w:sz w:val="20"/>
          <w:szCs w:val="20"/>
          <w:color w:val="auto"/>
        </w:rPr>
      </w:pPr>
    </w:p>
    <w:p>
      <w:pPr>
        <w:ind w:left="220" w:right="339"/>
        <w:spacing w:after="0" w:line="261" w:lineRule="auto"/>
        <w:rPr>
          <w:sz w:val="20"/>
          <w:szCs w:val="20"/>
          <w:color w:val="auto"/>
        </w:rPr>
      </w:pPr>
      <w:r>
        <w:rPr>
          <w:rFonts w:ascii="Times New Roman" w:cs="Times New Roman" w:eastAsia="Times New Roman" w:hAnsi="Times New Roman"/>
          <w:sz w:val="14"/>
          <w:szCs w:val="14"/>
          <w:color w:val="auto"/>
        </w:rPr>
        <w:t>In connection with the above opinion, we hereby consent to the filing of this opinion as an exhibit to the Registration Statement and to the reference to our name under the heading “Legal Matters” and elsewhere in the prospectus included in the Registration Statement. In giving such consent, we do not thereby admit that we come within the category of persons whose consent is required under Section 7 of the Securities Act, as amended, or the Rules and Regulations of the Commission thereunder.</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is limited to the matters referred to herein and shall not be construed as extending to any other matter or document not referred to herein.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shall be construed in accordance with the laws of the Cayman Islands.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74295</wp:posOffset>
            </wp:positionV>
            <wp:extent cx="1822450" cy="280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822450"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Harney Westwood &amp; Riegels (Cayman) LLP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List of Documents and Records Examined</w:t>
      </w:r>
    </w:p>
    <w:p>
      <w:pPr>
        <w:spacing w:after="0" w:line="102" w:lineRule="exact"/>
        <w:rPr>
          <w:sz w:val="20"/>
          <w:szCs w:val="20"/>
          <w:color w:val="auto"/>
        </w:rPr>
      </w:pPr>
    </w:p>
    <w:p>
      <w:pPr>
        <w:ind w:left="640" w:hanging="425"/>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Incorporation dated 30 June 2025.</w:t>
      </w:r>
    </w:p>
    <w:p>
      <w:pPr>
        <w:spacing w:after="0" w:line="100" w:lineRule="exact"/>
        <w:rPr>
          <w:sz w:val="20"/>
          <w:szCs w:val="20"/>
          <w:color w:val="auto"/>
        </w:rPr>
      </w:pPr>
    </w:p>
    <w:p>
      <w:pPr>
        <w:ind w:left="640" w:hanging="425"/>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Memorandum and Articles of Association of the Company dated 30 June 2025 (</w:t>
      </w:r>
      <w:r>
        <w:rPr>
          <w:rFonts w:ascii="Times New Roman" w:cs="Times New Roman" w:eastAsia="Times New Roman" w:hAnsi="Times New Roman"/>
          <w:sz w:val="14"/>
          <w:szCs w:val="14"/>
          <w:b w:val="1"/>
          <w:bCs w:val="1"/>
          <w:i w:val="1"/>
          <w:iCs w:val="1"/>
          <w:color w:val="auto"/>
        </w:rPr>
        <w:t>Mem &amp; Arts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640" w:right="399" w:hanging="425"/>
        <w:spacing w:after="0" w:line="283"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of Incumbency in respect of the Company, issued by Harneys Fiduciary (Cayman) Limited on 22 September 2025, as Registered Office provider to the Company (</w:t>
      </w:r>
      <w:r>
        <w:rPr>
          <w:rFonts w:ascii="Times New Roman" w:cs="Times New Roman" w:eastAsia="Times New Roman" w:hAnsi="Times New Roman"/>
          <w:sz w:val="14"/>
          <w:szCs w:val="14"/>
          <w:b w:val="1"/>
          <w:bCs w:val="1"/>
          <w:i w:val="1"/>
          <w:iCs w:val="1"/>
          <w:color w:val="auto"/>
        </w:rPr>
        <w:t>Certificate of Incumbency</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640" w:hanging="425"/>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of Good Standing in respect of the Company issued by the Cayman Registrar of Companies dated 02 October 2025.</w:t>
      </w:r>
    </w:p>
    <w:p>
      <w:pPr>
        <w:spacing w:after="0" w:line="102" w:lineRule="exact"/>
        <w:rPr>
          <w:sz w:val="20"/>
          <w:szCs w:val="20"/>
          <w:color w:val="auto"/>
        </w:rPr>
      </w:pPr>
    </w:p>
    <w:p>
      <w:pPr>
        <w:ind w:left="640" w:right="839" w:hanging="425"/>
        <w:spacing w:after="0" w:line="283"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Writs and other Originating Process of the Grand Court of the Cayman Islands via the Court’s Digital System from the incorporation date of the Company to 06 October 2025.</w:t>
      </w:r>
    </w:p>
    <w:p>
      <w:pPr>
        <w:spacing w:after="0" w:line="49" w:lineRule="exact"/>
        <w:rPr>
          <w:sz w:val="20"/>
          <w:szCs w:val="20"/>
          <w:color w:val="auto"/>
        </w:rPr>
      </w:pPr>
    </w:p>
    <w:p>
      <w:pPr>
        <w:ind w:left="640" w:hanging="425"/>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written resolutions of the directors of the Company dated 22 September 2025 and 06 October 2025 (</w:t>
      </w:r>
      <w:r>
        <w:rPr>
          <w:rFonts w:ascii="Times New Roman" w:cs="Times New Roman" w:eastAsia="Times New Roman" w:hAnsi="Times New Roman"/>
          <w:sz w:val="14"/>
          <w:szCs w:val="14"/>
          <w:b w:val="1"/>
          <w:bCs w:val="1"/>
          <w:i w:val="1"/>
          <w:iCs w:val="1"/>
          <w:color w:val="auto"/>
        </w:rPr>
        <w:t>Resolutions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Items 1 to 6 above are together referred to as the </w:t>
      </w:r>
      <w:r>
        <w:rPr>
          <w:rFonts w:ascii="Times New Roman" w:cs="Times New Roman" w:eastAsia="Times New Roman" w:hAnsi="Times New Roman"/>
          <w:sz w:val="14"/>
          <w:szCs w:val="14"/>
          <w:b w:val="1"/>
          <w:bCs w:val="1"/>
          <w:i w:val="1"/>
          <w:iCs w:val="1"/>
          <w:color w:val="auto"/>
        </w:rPr>
        <w:t>Corporate Documents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640" w:right="439" w:hanging="425"/>
        <w:spacing w:after="0" w:line="283"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dated 06 October 2025 provided by a director of the Company confirming certain matters to us which are relevant to our opinion (</w:t>
      </w:r>
      <w:r>
        <w:rPr>
          <w:rFonts w:ascii="Times New Roman" w:cs="Times New Roman" w:eastAsia="Times New Roman" w:hAnsi="Times New Roman"/>
          <w:sz w:val="14"/>
          <w:szCs w:val="14"/>
          <w:b w:val="1"/>
          <w:bCs w:val="1"/>
          <w:i w:val="1"/>
          <w:iCs w:val="1"/>
          <w:color w:val="auto"/>
        </w:rPr>
        <w:t>Director’s Certificate</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640" w:hanging="425"/>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1 to 8 above are collectively referred to in this opinion as the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2</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Assumptions</w:t>
      </w:r>
    </w:p>
    <w:p>
      <w:pPr>
        <w:spacing w:after="0" w:line="100" w:lineRule="exact"/>
        <w:rPr>
          <w:sz w:val="20"/>
          <w:szCs w:val="20"/>
          <w:color w:val="auto"/>
        </w:rPr>
      </w:pPr>
    </w:p>
    <w:p>
      <w:pPr>
        <w:ind w:left="640" w:hanging="425"/>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Validity under Foreign Laws. </w:t>
      </w:r>
      <w:r>
        <w:rPr>
          <w:rFonts w:ascii="Times New Roman" w:cs="Times New Roman" w:eastAsia="Times New Roman" w:hAnsi="Times New Roman"/>
          <w:sz w:val="14"/>
          <w:szCs w:val="14"/>
          <w:color w:val="auto"/>
        </w:rPr>
        <w:t>That:</w:t>
      </w:r>
    </w:p>
    <w:p>
      <w:pPr>
        <w:spacing w:after="0" w:line="103"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formalities required under any applicable laws (other than the laws of the Cayman Islands) have been complied with; and</w:t>
      </w:r>
    </w:p>
    <w:p>
      <w:pPr>
        <w:spacing w:after="0" w:line="101" w:lineRule="exact"/>
        <w:rPr>
          <w:rFonts w:ascii="Times New Roman" w:cs="Times New Roman" w:eastAsia="Times New Roman" w:hAnsi="Times New Roman"/>
          <w:sz w:val="14"/>
          <w:szCs w:val="14"/>
          <w:color w:val="auto"/>
        </w:rPr>
      </w:pPr>
    </w:p>
    <w:p>
      <w:pPr>
        <w:ind w:left="1140" w:hanging="505"/>
        <w:spacing w:after="0"/>
        <w:tabs>
          <w:tab w:leader="none" w:pos="114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other matters arising under any foreign law will affect the views expressed in this opinion.</w:t>
      </w:r>
    </w:p>
    <w:p>
      <w:pPr>
        <w:spacing w:after="0" w:line="100" w:lineRule="exact"/>
        <w:rPr>
          <w:sz w:val="20"/>
          <w:szCs w:val="20"/>
          <w:color w:val="auto"/>
        </w:rPr>
      </w:pPr>
    </w:p>
    <w:p>
      <w:pPr>
        <w:ind w:left="640" w:right="259" w:hanging="425"/>
        <w:spacing w:after="0" w:line="262"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Authenticity of Documents. </w:t>
      </w:r>
      <w:r>
        <w:rPr>
          <w:rFonts w:ascii="Times New Roman" w:cs="Times New Roman" w:eastAsia="Times New Roman" w:hAnsi="Times New Roman"/>
          <w:sz w:val="14"/>
          <w:szCs w:val="14"/>
          <w:color w:val="auto"/>
        </w:rPr>
        <w:t>All original Documents are authentic, all signatures, initials and seals are genuine, all copies of Documents are true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64" w:lineRule="exact"/>
        <w:rPr>
          <w:sz w:val="20"/>
          <w:szCs w:val="20"/>
          <w:color w:val="auto"/>
        </w:rPr>
      </w:pPr>
    </w:p>
    <w:p>
      <w:pPr>
        <w:ind w:left="640" w:right="259" w:hanging="425"/>
        <w:spacing w:after="0" w:line="268"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Corporate Documents. </w:t>
      </w:r>
      <w:r>
        <w:rPr>
          <w:rFonts w:ascii="Times New Roman" w:cs="Times New Roman" w:eastAsia="Times New Roman" w:hAnsi="Times New Roman"/>
          <w:sz w:val="14"/>
          <w:szCs w:val="14"/>
          <w:color w:val="auto"/>
        </w:rPr>
        <w:t>All matters required by law to be recorded in the Corporate Documents are so recorded, and all corporate minutes,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resolutions, certificates, documents and records which we have reviewed are accurate and complete, and all facts expressed in or implied thereby are accurate and complete.</w:t>
      </w:r>
    </w:p>
    <w:p>
      <w:pPr>
        <w:spacing w:after="0" w:line="60" w:lineRule="exact"/>
        <w:rPr>
          <w:sz w:val="20"/>
          <w:szCs w:val="20"/>
          <w:color w:val="auto"/>
        </w:rPr>
      </w:pPr>
    </w:p>
    <w:p>
      <w:pPr>
        <w:ind w:left="4460" w:right="1879" w:hanging="4245"/>
        <w:spacing w:after="0" w:line="458" w:lineRule="auto"/>
        <w:tabs>
          <w:tab w:leader="none" w:pos="62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 The contents of the Director’s Certificate are true and accurate as at the date of this opinion.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SCHEDULE 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Qualifications</w:t>
      </w:r>
    </w:p>
    <w:p>
      <w:pPr>
        <w:spacing w:after="0" w:line="100" w:lineRule="exact"/>
        <w:rPr>
          <w:sz w:val="20"/>
          <w:szCs w:val="20"/>
          <w:color w:val="auto"/>
        </w:rPr>
      </w:pPr>
    </w:p>
    <w:p>
      <w:pPr>
        <w:ind w:left="640" w:right="379" w:hanging="425"/>
        <w:spacing w:after="0" w:line="262"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Non-assessable. </w:t>
      </w:r>
      <w:r>
        <w:rPr>
          <w:rFonts w:ascii="Times New Roman" w:cs="Times New Roman" w:eastAsia="Times New Roman" w:hAnsi="Times New Roman"/>
          <w:sz w:val="14"/>
          <w:szCs w:val="14"/>
          <w:color w:val="auto"/>
        </w:rPr>
        <w:t>The 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non-assessable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with respect to shares in the Company, that a shareholder shall not, solely by virtue of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64" w:lineRule="exact"/>
        <w:rPr>
          <w:sz w:val="20"/>
          <w:szCs w:val="20"/>
          <w:color w:val="auto"/>
        </w:rPr>
      </w:pPr>
    </w:p>
    <w:p>
      <w:pPr>
        <w:ind w:left="640" w:hanging="425"/>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Foreign Statutes. </w:t>
      </w:r>
      <w:r>
        <w:rPr>
          <w:rFonts w:ascii="Times New Roman" w:cs="Times New Roman" w:eastAsia="Times New Roman" w:hAnsi="Times New Roman"/>
          <w:sz w:val="14"/>
          <w:szCs w:val="14"/>
          <w:color w:val="auto"/>
        </w:rPr>
        <w:t>We express no opinion in relation to provisions making reference to foreign statutes in the Registration Statement.</w:t>
      </w:r>
    </w:p>
    <w:p>
      <w:pPr>
        <w:spacing w:after="0" w:line="102" w:lineRule="exact"/>
        <w:rPr>
          <w:sz w:val="20"/>
          <w:szCs w:val="20"/>
          <w:color w:val="auto"/>
        </w:rPr>
      </w:pPr>
    </w:p>
    <w:p>
      <w:pPr>
        <w:ind w:left="640" w:right="399" w:hanging="425"/>
        <w:spacing w:after="0" w:line="268"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Good Standing. </w:t>
      </w:r>
      <w:r>
        <w:rPr>
          <w:rFonts w:ascii="Times New Roman" w:cs="Times New Roman" w:eastAsia="Times New Roman" w:hAnsi="Times New Roman"/>
          <w:sz w:val="14"/>
          <w:szCs w:val="14"/>
          <w:color w:val="auto"/>
        </w:rPr>
        <w:t>The Company shall be deemed to be in good standing at any time if all fees (including annual filing fees) and penalties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Companies Act have been paid and the Registrar of Companies in the Cayman Islands has no knowledge that the Company is in default under the Companies Act.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GIGCAPITAL8 CORP.</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in the Cayman Islands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No. 423026</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DIRECTOR’S CERTIFICATE</w:t>
      </w:r>
    </w:p>
    <w:p>
      <w:pPr>
        <w:spacing w:after="0" w:line="175" w:lineRule="exact"/>
        <w:rPr>
          <w:sz w:val="20"/>
          <w:szCs w:val="20"/>
          <w:color w:val="auto"/>
        </w:rPr>
      </w:pPr>
    </w:p>
    <w:p>
      <w:pPr>
        <w:ind w:left="220" w:right="799"/>
        <w:spacing w:after="0" w:line="286" w:lineRule="auto"/>
        <w:rPr>
          <w:sz w:val="20"/>
          <w:szCs w:val="20"/>
          <w:color w:val="auto"/>
        </w:rPr>
      </w:pPr>
      <w:r>
        <w:rPr>
          <w:rFonts w:ascii="Times New Roman" w:cs="Times New Roman" w:eastAsia="Times New Roman" w:hAnsi="Times New Roman"/>
          <w:sz w:val="14"/>
          <w:szCs w:val="14"/>
          <w:color w:val="auto"/>
        </w:rPr>
        <w:t>I, the undersigned, being a director of the Company, am aware that you are being asked to provide an opinion letter (</w:t>
      </w:r>
      <w:r>
        <w:rPr>
          <w:rFonts w:ascii="Times New Roman" w:cs="Times New Roman" w:eastAsia="Times New Roman" w:hAnsi="Times New Roman"/>
          <w:sz w:val="14"/>
          <w:szCs w:val="14"/>
          <w:b w:val="1"/>
          <w:bCs w:val="1"/>
          <w:i w:val="1"/>
          <w:iCs w:val="1"/>
          <w:color w:val="auto"/>
        </w:rPr>
        <w:t>Opinion</w:t>
      </w:r>
      <w:r>
        <w:rPr>
          <w:rFonts w:ascii="Times New Roman" w:cs="Times New Roman" w:eastAsia="Times New Roman" w:hAnsi="Times New Roman"/>
          <w:sz w:val="14"/>
          <w:szCs w:val="14"/>
          <w:color w:val="auto"/>
        </w:rPr>
        <w:t>) in relation to the Registration Statement.</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Unless otherwise defined herein, capitalised terms used in this certificate have the respective meanings given to them in the Opinion.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I hereby certify that:</w:t>
      </w:r>
    </w:p>
    <w:p>
      <w:pPr>
        <w:spacing w:after="0" w:line="102" w:lineRule="exact"/>
        <w:rPr>
          <w:sz w:val="20"/>
          <w:szCs w:val="20"/>
          <w:color w:val="auto"/>
        </w:rPr>
      </w:pPr>
    </w:p>
    <w:p>
      <w:pPr>
        <w:ind w:left="980" w:hanging="429"/>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 &amp; Arts (as set out at Exhibit 2) remain in full force and effect.</w:t>
      </w:r>
    </w:p>
    <w:p>
      <w:pPr>
        <w:spacing w:after="0" w:line="101" w:lineRule="exact"/>
        <w:rPr>
          <w:rFonts w:ascii="Times New Roman" w:cs="Times New Roman" w:eastAsia="Times New Roman" w:hAnsi="Times New Roman"/>
          <w:sz w:val="14"/>
          <w:szCs w:val="14"/>
          <w:color w:val="auto"/>
        </w:rPr>
      </w:pPr>
    </w:p>
    <w:p>
      <w:pPr>
        <w:ind w:left="980" w:right="639" w:hanging="429"/>
        <w:spacing w:after="0" w:line="283"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Resolutions (as set out at Exhibit 1) were duly passed in the manner prescribed in the Mem &amp; Arts and have not been amended, varied, or revoked in any respect.</w:t>
      </w:r>
    </w:p>
    <w:p>
      <w:pPr>
        <w:spacing w:after="0" w:line="51"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authorised share capital of the Company is US$ 22,100 divided into:</w:t>
      </w:r>
    </w:p>
    <w:p>
      <w:pPr>
        <w:spacing w:after="0" w:line="10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Class A Shares;</w:t>
      </w:r>
    </w:p>
    <w:p>
      <w:pPr>
        <w:spacing w:after="0" w:line="2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Class B Shares; and</w:t>
      </w:r>
    </w:p>
    <w:p>
      <w:pPr>
        <w:spacing w:after="0" w:line="7"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 Preference Shares.</w:t>
      </w:r>
    </w:p>
    <w:p>
      <w:pPr>
        <w:spacing w:after="0" w:line="87" w:lineRule="exact"/>
        <w:rPr>
          <w:rFonts w:ascii="Times New Roman" w:cs="Times New Roman" w:eastAsia="Times New Roman" w:hAnsi="Times New Roman"/>
          <w:sz w:val="14"/>
          <w:szCs w:val="14"/>
          <w:color w:val="auto"/>
        </w:rPr>
      </w:pPr>
    </w:p>
    <w:p>
      <w:pPr>
        <w:ind w:left="980" w:right="359" w:hanging="429"/>
        <w:spacing w:after="0" w:line="283"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 will be issued for a price which is lower than its par value, and the Company will have sufficient authorised but unissued shares to issue the Class A Shares underlying the Units and the Rights.</w:t>
      </w:r>
    </w:p>
    <w:p>
      <w:pPr>
        <w:spacing w:after="0" w:line="49"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of the Company (</w:t>
      </w:r>
      <w:r>
        <w:rPr>
          <w:rFonts w:ascii="Times New Roman" w:cs="Times New Roman" w:eastAsia="Times New Roman" w:hAnsi="Times New Roman"/>
          <w:sz w:val="14"/>
          <w:szCs w:val="14"/>
          <w:b w:val="1"/>
          <w:bCs w:val="1"/>
          <w:i w:val="1"/>
          <w:iCs w:val="1"/>
          <w:color w:val="auto"/>
        </w:rPr>
        <w:t>Shareholders</w:t>
      </w:r>
      <w:r>
        <w:rPr>
          <w:rFonts w:ascii="Times New Roman" w:cs="Times New Roman" w:eastAsia="Times New Roman" w:hAnsi="Times New Roman"/>
          <w:sz w:val="14"/>
          <w:szCs w:val="14"/>
          <w:color w:val="auto"/>
        </w:rPr>
        <w:t>) have not restricted the powers of the Directors in any way.</w:t>
      </w:r>
    </w:p>
    <w:p>
      <w:pPr>
        <w:spacing w:after="0" w:line="103"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at the date of the Resolutions, and at the date of this certificate, were, and are, as follows:</w:t>
      </w:r>
    </w:p>
    <w:p>
      <w:pPr>
        <w:spacing w:after="0" w:line="10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Avishay Katz; and</w:t>
      </w:r>
    </w:p>
    <w:p>
      <w:pPr>
        <w:spacing w:after="0" w:line="21" w:lineRule="exact"/>
        <w:rPr>
          <w:rFonts w:ascii="Times New Roman" w:cs="Times New Roman" w:eastAsia="Times New Roman" w:hAnsi="Times New Roman"/>
          <w:sz w:val="14"/>
          <w:szCs w:val="14"/>
          <w:color w:val="auto"/>
        </w:rPr>
      </w:pPr>
    </w:p>
    <w:p>
      <w:pPr>
        <w:ind w:left="1740" w:hanging="411"/>
        <w:spacing w:after="0"/>
        <w:tabs>
          <w:tab w:leader="none" w:pos="174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Raluca Dinu.</w:t>
      </w:r>
    </w:p>
    <w:p>
      <w:pPr>
        <w:spacing w:after="0" w:line="87" w:lineRule="exact"/>
        <w:rPr>
          <w:rFonts w:ascii="Times New Roman" w:cs="Times New Roman" w:eastAsia="Times New Roman" w:hAnsi="Times New Roman"/>
          <w:sz w:val="14"/>
          <w:szCs w:val="14"/>
          <w:color w:val="auto"/>
        </w:rPr>
      </w:pPr>
    </w:p>
    <w:p>
      <w:pPr>
        <w:ind w:left="980" w:right="219" w:hanging="429"/>
        <w:spacing w:after="0" w:line="26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at the time of, and immediately following the approval of the transactions contemplated by the Resolutions, the Company was, or will be, able to pay its debts as they fell, or fall, due and has entered, or will enter, into the transactions contemplated by the Resolutions for proper value and not with an intention to defraud or wilfully defeat an obligation owed to any creditor or with a view to giving a creditor a preference.</w:t>
      </w:r>
    </w:p>
    <w:p>
      <w:pPr>
        <w:spacing w:after="0" w:line="67" w:lineRule="exact"/>
        <w:rPr>
          <w:rFonts w:ascii="Times New Roman" w:cs="Times New Roman" w:eastAsia="Times New Roman" w:hAnsi="Times New Roman"/>
          <w:sz w:val="14"/>
          <w:szCs w:val="14"/>
          <w:color w:val="auto"/>
        </w:rPr>
      </w:pPr>
    </w:p>
    <w:p>
      <w:pPr>
        <w:ind w:left="980" w:right="479" w:hanging="429"/>
        <w:spacing w:after="0" w:line="267"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Director considers the transactions contemplated by the Resolutions to be of commercial benefit to the Company and has acted in good faith in the best interests of the Company, and for a proper purpose of the Company, in relation to the transactions which are the subject of the Opinion.</w:t>
      </w:r>
    </w:p>
    <w:p>
      <w:pPr>
        <w:spacing w:after="0" w:line="61" w:lineRule="exact"/>
        <w:rPr>
          <w:rFonts w:ascii="Times New Roman" w:cs="Times New Roman" w:eastAsia="Times New Roman" w:hAnsi="Times New Roman"/>
          <w:sz w:val="14"/>
          <w:szCs w:val="14"/>
          <w:color w:val="auto"/>
        </w:rPr>
      </w:pPr>
    </w:p>
    <w:p>
      <w:pPr>
        <w:ind w:left="980" w:right="399" w:hanging="429"/>
        <w:spacing w:after="0" w:line="283"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or Shareholders have not taken any steps to have the Company struck off or placed in liquidation, nor have any steps been taken to wind up the Company. Nor has any receiver been appointed over any of the Company’s property or assets.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15" w:name="page16"/>
    <w:bookmarkEnd w:id="1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ind w:left="220" w:right="239"/>
        <w:spacing w:after="0" w:line="261"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S-1 of our report (which contains an explanatory paragraph relating to the Company’s ability to continue as a going concern as described in Note 1 to the financial statements) dated September 29, 2025, relating to the financial statements of GigCapital8 Corp., which appears in such Amendment No. 3 to the Registration Statement on Form S-1 (No. 333-289479). We also consent to the reference to us under the heading “Experts” in such Registration Statement (No. 333-289479).</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BPM LLP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October 3, 2025</w:t>
      </w:r>
    </w:p>
    <w:p>
      <w:pPr>
        <w:sectPr>
          <w:pgSz w:w="11900" w:h="16838" w:orient="portrait"/>
          <w:cols w:equalWidth="0" w:num="1">
            <w:col w:w="9019"/>
          </w:cols>
          <w:pgMar w:left="1440" w:top="123" w:right="1440" w:bottom="1440" w:gutter="0" w:footer="0" w:header="0"/>
        </w:sectPr>
      </w:pPr>
    </w:p>
    <w:bookmarkStart w:id="16" w:name="page17"/>
    <w:bookmarkEnd w:id="16"/>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GigCapital8 Corp.</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2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96"/>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w w:val="96"/>
              </w:rPr>
              <w:t>underlying</w:t>
            </w:r>
          </w:p>
        </w:tc>
        <w:tc>
          <w:tcPr>
            <w:tcW w:w="20" w:type="dxa"/>
            <w:vAlign w:val="bottom"/>
          </w:tcPr>
          <w:p>
            <w:pPr>
              <w:spacing w:after="0"/>
              <w:rPr>
                <w:sz w:val="22"/>
                <w:szCs w:val="22"/>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22"/>
                <w:szCs w:val="22"/>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2,530,000</w:t>
            </w:r>
          </w:p>
        </w:tc>
        <w:tc>
          <w:tcPr>
            <w:tcW w:w="20" w:type="dxa"/>
            <w:vAlign w:val="bottom"/>
          </w:tcPr>
          <w:p>
            <w:pPr>
              <w:spacing w:after="0"/>
              <w:rPr>
                <w:sz w:val="22"/>
                <w:szCs w:val="22"/>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$ 10.00</w:t>
            </w:r>
          </w:p>
        </w:tc>
        <w:tc>
          <w:tcPr>
            <w:tcW w:w="20" w:type="dxa"/>
            <w:vAlign w:val="bottom"/>
          </w:tcPr>
          <w:p>
            <w:pPr>
              <w:spacing w:after="0"/>
              <w:rPr>
                <w:sz w:val="22"/>
                <w:szCs w:val="22"/>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22"/>
                <w:szCs w:val="22"/>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$ 3,493.93</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rights</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shd w:val="clear" w:color="auto" w:fill="E7E7E2"/>
          </w:tcPr>
          <w:p>
            <w:pPr>
              <w:jc w:val="right"/>
              <w:spacing w:after="0" w:line="116" w:lineRule="exact"/>
              <w:rPr>
                <w:sz w:val="20"/>
                <w:szCs w:val="20"/>
                <w:color w:val="auto"/>
              </w:rPr>
            </w:pPr>
            <w:r>
              <w:rPr>
                <w:rFonts w:ascii="Arial" w:cs="Arial" w:eastAsia="Arial" w:hAnsi="Arial"/>
                <w:sz w:val="13"/>
                <w:szCs w:val="13"/>
                <w:color w:val="auto"/>
              </w:rPr>
              <w:t>25,300,000.00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included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as part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1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$ 3,493.93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25,300,000.00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$ 3,493.93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700" w:hanging="184"/>
        <w:spacing w:after="0" w:line="227" w:lineRule="auto"/>
        <w:tabs>
          <w:tab w:leader="none" w:pos="220" w:val="left"/>
        </w:tabs>
        <w:numPr>
          <w:ilvl w:val="0"/>
          <w:numId w:val="33"/>
        </w:numPr>
        <w:rPr>
          <w:rFonts w:ascii="Arial" w:cs="Arial" w:eastAsia="Arial" w:hAnsi="Arial"/>
          <w:sz w:val="21"/>
          <w:szCs w:val="21"/>
          <w:color w:val="auto"/>
          <w:vertAlign w:val="superscript"/>
        </w:rPr>
      </w:pPr>
      <w:r>
        <w:rPr>
          <w:rFonts w:ascii="Arial" w:cs="Arial" w:eastAsia="Arial" w:hAnsi="Arial"/>
          <w:sz w:val="17"/>
          <w:szCs w:val="17"/>
          <w:color w:val="auto"/>
        </w:rPr>
        <w:t>(1) Estimated solely for the purposes of calculating the registration fee pursuant to Rule 457(a) under the Securities Act. (4) An additional indeterminate amount of securities are being registered hereby to be offered solely for certain market making transactions, by affiliates of the Registrant. Pursuant to Rule 457(q) under the Securities Act, no additional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98"/>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5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7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0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
      <w:numFmt w:val="bullet"/>
      <w:start w:val="1"/>
    </w:lvl>
  </w:abstractNum>
  <w:abstractNum w:abstractNumId="1">
    <w:nsid w:val="519B500D"/>
    <w:multiLevelType w:val="hybridMultilevel"/>
    <w:lvl w:ilvl="0">
      <w:lvlJc w:val="left"/>
      <w:lvlText w:val="%1"/>
      <w:numFmt w:val="decimal"/>
      <w:start w:val="107"/>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6"/>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upperLetter"/>
      <w:start w:val="1"/>
    </w:lvl>
    <w:lvl w:ilvl="1">
      <w:lvlJc w:val="left"/>
      <w:lvlText w:val="%2."/>
      <w:numFmt w:val="lowerLetter"/>
      <w:start w:val="1"/>
    </w:lvl>
  </w:abstractNum>
  <w:abstractNum w:abstractNumId="8">
    <w:nsid w:val="628C895D"/>
    <w:multiLevelType w:val="hybridMultilevel"/>
    <w:lvl w:ilvl="0">
      <w:lvlJc w:val="left"/>
      <w:lvlText w:val="1"/>
      <w:numFmt w:val="bullet"/>
      <w:start w:val="1"/>
    </w:lvl>
  </w:abstractNum>
  <w:abstractNum w:abstractNumId="9">
    <w:nsid w:val="333AB105"/>
    <w:multiLevelType w:val="hybridMultilevel"/>
    <w:lvl w:ilvl="0">
      <w:lvlJc w:val="left"/>
      <w:lvlText w:val="2"/>
      <w:numFmt w:val="bullet"/>
      <w:start w:val="1"/>
    </w:lvl>
  </w:abstractNum>
  <w:abstractNum w:abstractNumId="10">
    <w:nsid w:val="721DA317"/>
    <w:multiLevelType w:val="hybridMultilevel"/>
    <w:lvl w:ilvl="0">
      <w:lvlJc w:val="left"/>
      <w:lvlText w:val="3"/>
      <w:numFmt w:val="bullet"/>
      <w:start w:val="1"/>
    </w:lvl>
    <w:lvl w:ilvl="1">
      <w:lvlJc w:val="left"/>
      <w:lvlText w:val="(%2)"/>
      <w:numFmt w:val="lowerLetter"/>
      <w:start w:val="1"/>
    </w:lvl>
  </w:abstractNum>
  <w:abstractNum w:abstractNumId="11">
    <w:nsid w:val="2443A858"/>
    <w:multiLevelType w:val="hybridMultilevel"/>
    <w:lvl w:ilvl="0">
      <w:lvlJc w:val="left"/>
      <w:lvlText w:val="4"/>
      <w:numFmt w:val="bullet"/>
      <w:start w:val="1"/>
    </w:lvl>
    <w:lvl w:ilvl="1">
      <w:lvlJc w:val="left"/>
      <w:lvlText w:val="(%2)"/>
      <w:numFmt w:val="lowerLetter"/>
      <w:start w:val="1"/>
    </w:lvl>
  </w:abstractNum>
  <w:abstractNum w:abstractNumId="12">
    <w:nsid w:val="2D1D5AE9"/>
    <w:multiLevelType w:val="hybridMultilevel"/>
    <w:lvl w:ilvl="0">
      <w:lvlJc w:val="left"/>
      <w:lvlText w:val=" "/>
      <w:numFmt w:val="bullet"/>
      <w:start w:val="1"/>
    </w:lvl>
  </w:abstractNum>
  <w:abstractNum w:abstractNumId="13">
    <w:nsid w:val="6763845E"/>
    <w:multiLevelType w:val="hybridMultilevel"/>
    <w:lvl w:ilvl="0">
      <w:lvlJc w:val="left"/>
      <w:lvlText w:val="5"/>
      <w:numFmt w:val="bullet"/>
      <w:start w:val="1"/>
    </w:lvl>
  </w:abstractNum>
  <w:abstractNum w:abstractNumId="14">
    <w:nsid w:val="75A2A8D4"/>
    <w:multiLevelType w:val="hybridMultilevel"/>
    <w:lvl w:ilvl="0">
      <w:lvlJc w:val="left"/>
      <w:lvlText w:val="6"/>
      <w:numFmt w:val="bullet"/>
      <w:start w:val="1"/>
    </w:lvl>
  </w:abstractNum>
  <w:abstractNum w:abstractNumId="15">
    <w:nsid w:val="8EDBDAB"/>
    <w:multiLevelType w:val="hybridMultilevel"/>
    <w:lvl w:ilvl="0">
      <w:lvlJc w:val="left"/>
      <w:lvlText w:val="7"/>
      <w:numFmt w:val="bullet"/>
      <w:start w:val="1"/>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3"/>
      <w:numFmt w:val="bullet"/>
      <w:start w:val="1"/>
    </w:lvl>
  </w:abstractNum>
  <w:abstractNum w:abstractNumId="19">
    <w:nsid w:val="189A769B"/>
    <w:multiLevelType w:val="hybridMultilevel"/>
    <w:lvl w:ilvl="0">
      <w:lvlJc w:val="left"/>
      <w:lvlText w:val="4"/>
      <w:numFmt w:val="bullet"/>
      <w:start w:val="1"/>
    </w:lvl>
  </w:abstractNum>
  <w:abstractNum w:abstractNumId="20">
    <w:nsid w:val="54E49EB4"/>
    <w:multiLevelType w:val="hybridMultilevel"/>
    <w:lvl w:ilvl="0">
      <w:lvlJc w:val="left"/>
      <w:lvlText w:val="5"/>
      <w:numFmt w:val="bullet"/>
      <w:start w:val="1"/>
    </w:lvl>
  </w:abstractNum>
  <w:abstractNum w:abstractNumId="21">
    <w:nsid w:val="71F32454"/>
    <w:multiLevelType w:val="hybridMultilevel"/>
    <w:lvl w:ilvl="0">
      <w:lvlJc w:val="left"/>
      <w:lvlText w:val="6"/>
      <w:numFmt w:val="bullet"/>
      <w:start w:val="1"/>
    </w:lvl>
  </w:abstractNum>
  <w:abstractNum w:abstractNumId="22">
    <w:nsid w:val="2CA88611"/>
    <w:multiLevelType w:val="hybridMultilevel"/>
    <w:lvl w:ilvl="0">
      <w:lvlJc w:val="left"/>
      <w:lvlText w:val="7"/>
      <w:numFmt w:val="bullet"/>
      <w:start w:val="1"/>
    </w:lvl>
  </w:abstractNum>
  <w:abstractNum w:abstractNumId="23">
    <w:nsid w:val="836C40E"/>
    <w:multiLevelType w:val="hybridMultilevel"/>
    <w:lvl w:ilvl="0">
      <w:lvlJc w:val="left"/>
      <w:lvlText w:val="8"/>
      <w:numFmt w:val="bullet"/>
      <w:start w:val="1"/>
    </w:lvl>
  </w:abstractNum>
  <w:abstractNum w:abstractNumId="24">
    <w:nsid w:val="2901D82"/>
    <w:multiLevelType w:val="hybridMultilevel"/>
    <w:lvl w:ilvl="0">
      <w:lvlJc w:val="left"/>
      <w:lvlText w:val="1"/>
      <w:numFmt w:val="bullet"/>
      <w:start w:val="1"/>
    </w:lvl>
    <w:lvl w:ilvl="1">
      <w:lvlJc w:val="left"/>
      <w:lvlText w:val="(%2)"/>
      <w:numFmt w:val="lowerLetter"/>
      <w:start w:val="1"/>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3"/>
      <w:numFmt w:val="bullet"/>
      <w:start w:val="1"/>
    </w:lvl>
  </w:abstractNum>
  <w:abstractNum w:abstractNumId="27">
    <w:nsid w:val="1E7FF521"/>
    <w:multiLevelType w:val="hybridMultilevel"/>
    <w:lvl w:ilvl="0">
      <w:lvlJc w:val="left"/>
      <w:lvlText w:val="4"/>
      <w:numFmt w:val="bullet"/>
      <w:start w:val="1"/>
    </w:lvl>
  </w:abstractNum>
  <w:abstractNum w:abstractNumId="28">
    <w:nsid w:val="7C3DBD3D"/>
    <w:multiLevelType w:val="hybridMultilevel"/>
    <w:lvl w:ilvl="0">
      <w:lvlJc w:val="left"/>
      <w:lvlText w:val="1"/>
      <w:numFmt w:val="bullet"/>
      <w:start w:val="1"/>
    </w:lvl>
  </w:abstractNum>
  <w:abstractNum w:abstractNumId="29">
    <w:nsid w:val="737B8DDC"/>
    <w:multiLevelType w:val="hybridMultilevel"/>
    <w:lvl w:ilvl="0">
      <w:lvlJc w:val="left"/>
      <w:lvlText w:val="2"/>
      <w:numFmt w:val="bullet"/>
      <w:start w:val="1"/>
    </w:lvl>
  </w:abstractNum>
  <w:abstractNum w:abstractNumId="30">
    <w:nsid w:val="6CEAF087"/>
    <w:multiLevelType w:val="hybridMultilevel"/>
    <w:lvl w:ilvl="0">
      <w:lvlJc w:val="left"/>
      <w:lvlText w:val="3"/>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ix?doc=/Archives/edgar/data/2080019/000119312525177848/d929696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2025-10-06T05:24:08Z</dcterms:created>
  <dcterms:modified xsi:type="dcterms:W3CDTF">2025-10-06T05:24:08Z</dcterms:modified>
</cp:coreProperties>
</file>