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FORM 8-A /A</w:t>
      </w:r>
    </w:p>
    <w:p>
      <w:pPr>
        <w:spacing w:after="0" w:line="3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AMENDMENT NO. 1</w:t>
      </w:r>
    </w:p>
    <w:p>
      <w:pPr>
        <w:jc w:val="center"/>
        <w:ind w:right="-739"/>
        <w:spacing w:after="0" w:line="237" w:lineRule="auto"/>
        <w:rPr>
          <w:sz w:val="20"/>
          <w:szCs w:val="20"/>
          <w:color w:val="auto"/>
        </w:rPr>
      </w:pPr>
      <w:r>
        <w:rPr>
          <w:rFonts w:ascii="Times New Roman" w:cs="Times New Roman" w:eastAsia="Times New Roman" w:hAnsi="Times New Roman"/>
          <w:sz w:val="32"/>
          <w:szCs w:val="32"/>
          <w:b w:val="1"/>
          <w:bCs w:val="1"/>
          <w:color w:val="auto"/>
        </w:rPr>
        <w:t>to</w:t>
      </w:r>
    </w:p>
    <w:p>
      <w:pPr>
        <w:spacing w:after="0" w:line="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GigCapital8 Corp.</w:t>
      </w:r>
    </w:p>
    <w:p>
      <w:pPr>
        <w:spacing w:after="0" w:line="5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50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42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98-1868645</w:t>
            </w:r>
          </w:p>
        </w:tc>
      </w:tr>
      <w:tr>
        <w:trPr>
          <w:trHeight w:val="190"/>
        </w:trPr>
        <w:tc>
          <w:tcPr>
            <w:tcW w:w="5040" w:type="dxa"/>
            <w:vAlign w:val="bottom"/>
          </w:tcPr>
          <w:p>
            <w:pPr>
              <w:jc w:val="center"/>
              <w:ind w:right="123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420" w:type="dxa"/>
            <w:vAlign w:val="bottom"/>
          </w:tcPr>
          <w:p>
            <w:pPr>
              <w:jc w:val="center"/>
              <w:ind w:left="12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0"/>
        </w:trPr>
        <w:tc>
          <w:tcPr>
            <w:tcW w:w="50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w w:val="99"/>
              </w:rPr>
              <w:t>1731 Embarcadero Rd., Suite 200, Palo Alto, CA</w:t>
            </w:r>
          </w:p>
        </w:tc>
        <w:tc>
          <w:tcPr>
            <w:tcW w:w="34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94303</w:t>
            </w:r>
          </w:p>
        </w:tc>
      </w:tr>
      <w:tr>
        <w:trPr>
          <w:trHeight w:val="190"/>
        </w:trPr>
        <w:tc>
          <w:tcPr>
            <w:tcW w:w="5040" w:type="dxa"/>
            <w:vAlign w:val="bottom"/>
          </w:tcPr>
          <w:p>
            <w:pPr>
              <w:jc w:val="center"/>
              <w:ind w:right="1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left="12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37"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4040" w:type="dxa"/>
            <w:vAlign w:val="bottom"/>
            <w:gridSpan w:val="2"/>
          </w:tcPr>
          <w:p>
            <w:pPr>
              <w:jc w:val="center"/>
              <w:ind w:right="29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Pr>
          <w:p>
            <w:pPr>
              <w:spacing w:after="0"/>
              <w:rPr>
                <w:sz w:val="13"/>
                <w:szCs w:val="13"/>
                <w:color w:val="auto"/>
              </w:rPr>
            </w:pPr>
          </w:p>
        </w:tc>
        <w:tc>
          <w:tcPr>
            <w:tcW w:w="20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Name of exchange on which</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920" w:type="dxa"/>
            <w:vAlign w:val="bottom"/>
          </w:tcPr>
          <w:p>
            <w:pPr>
              <w:spacing w:after="0"/>
              <w:rPr>
                <w:sz w:val="15"/>
                <w:szCs w:val="15"/>
                <w:color w:val="auto"/>
              </w:rPr>
            </w:pPr>
          </w:p>
        </w:tc>
        <w:tc>
          <w:tcPr>
            <w:tcW w:w="3300" w:type="dxa"/>
            <w:vAlign w:val="bottom"/>
            <w:gridSpan w:val="3"/>
          </w:tcPr>
          <w:p>
            <w:pPr>
              <w:jc w:val="center"/>
              <w:ind w:left="775"/>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0" w:type="dxa"/>
            <w:vAlign w:val="bottom"/>
          </w:tcPr>
          <w:p>
            <w:pPr>
              <w:spacing w:after="0"/>
              <w:rPr>
                <w:sz w:val="1"/>
                <w:szCs w:val="1"/>
                <w:color w:val="auto"/>
              </w:rPr>
            </w:pPr>
          </w:p>
        </w:tc>
      </w:tr>
      <w:tr>
        <w:trPr>
          <w:trHeight w:val="20"/>
        </w:trPr>
        <w:tc>
          <w:tcPr>
            <w:tcW w:w="20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11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20" w:type="dxa"/>
            <w:vAlign w:val="bottom"/>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The</w:t>
            </w:r>
          </w:p>
        </w:tc>
        <w:tc>
          <w:tcPr>
            <w:tcW w:w="17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1"/>
              </w:rPr>
              <w:t>LLC</w:t>
            </w:r>
          </w:p>
        </w:tc>
        <w:tc>
          <w:tcPr>
            <w:tcW w:w="0" w:type="dxa"/>
            <w:vAlign w:val="bottom"/>
          </w:tcPr>
          <w:p>
            <w:pPr>
              <w:spacing w:after="0" w:line="20" w:lineRule="exact"/>
              <w:rPr>
                <w:sz w:val="1"/>
                <w:szCs w:val="1"/>
                <w:color w:val="auto"/>
              </w:rPr>
            </w:pPr>
          </w:p>
        </w:tc>
      </w:tr>
      <w:tr>
        <w:trPr>
          <w:trHeight w:val="187"/>
        </w:trPr>
        <w:tc>
          <w:tcPr>
            <w:tcW w:w="2060" w:type="dxa"/>
            <w:vAlign w:val="bottom"/>
            <w:vMerge w:val="continue"/>
          </w:tcPr>
          <w:p>
            <w:pPr>
              <w:spacing w:after="0"/>
              <w:rPr>
                <w:sz w:val="16"/>
                <w:szCs w:val="16"/>
                <w:color w:val="auto"/>
              </w:rPr>
            </w:pPr>
          </w:p>
        </w:tc>
        <w:tc>
          <w:tcPr>
            <w:tcW w:w="40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Shares, par value $0.0001 per share</w:t>
            </w:r>
          </w:p>
        </w:tc>
        <w:tc>
          <w:tcPr>
            <w:tcW w:w="1220" w:type="dxa"/>
            <w:vAlign w:val="bottom"/>
            <w:vMerge w:val="continue"/>
          </w:tcPr>
          <w:p>
            <w:pPr>
              <w:spacing w:after="0"/>
              <w:rPr>
                <w:sz w:val="16"/>
                <w:szCs w:val="16"/>
                <w:color w:val="auto"/>
              </w:rPr>
            </w:pPr>
          </w:p>
        </w:tc>
        <w:tc>
          <w:tcPr>
            <w:tcW w:w="1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Nasdaq Stock Market</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 right to</w:t>
            </w:r>
          </w:p>
        </w:tc>
        <w:tc>
          <w:tcPr>
            <w:tcW w:w="3300" w:type="dxa"/>
            <w:vAlign w:val="bottom"/>
            <w:gridSpan w:val="3"/>
          </w:tcPr>
          <w:p>
            <w:pPr>
              <w:jc w:val="center"/>
              <w:ind w:left="775"/>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29"/>
        </w:trPr>
        <w:tc>
          <w:tcPr>
            <w:tcW w:w="61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acquire one-fifth of one Class A ordinary share</w:t>
            </w:r>
          </w:p>
        </w:tc>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Rights to acquire one-fifth of one Class A ordinary share</w:t>
            </w:r>
          </w:p>
        </w:tc>
        <w:tc>
          <w:tcPr>
            <w:tcW w:w="3300" w:type="dxa"/>
            <w:vAlign w:val="bottom"/>
            <w:gridSpan w:val="3"/>
          </w:tcPr>
          <w:p>
            <w:pPr>
              <w:jc w:val="center"/>
              <w:ind w:left="775"/>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please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333-289479</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This Amendment No. 1 on Form 8-A/A amends and restates in its entirety the information set forth in the Registration Statement on Form 8-A previously filed by GigCapital8 Corp. (the “Registrant”) with the Securities and Exchange Commission on October 3,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securities to be registered hereby of the Registrant are the Class A ordinary shares, par value $0.0001 per share of the Registrant (the “Ordinary Shares”), the public units, where each unit consists of one Ordinary Share and one right to purchase one-fifth of one Ordinary Share (the “Units”), and the public rights to purchase one-fifth of one Ordinary Share (the “Rights”). The description of the Ordinary Shares, the Units and the Rights set forth under the heading “Description of Securities” in the prospectus forming part of the Registrant’s Registration Statement on Form S-1</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(File No. 333-289479), originally filed with the SEC on August 11, 2025, as thereafter amended and supplemented from time to time (the “Registration Statement”), is incorporated by reference herein. Any form of prospectus or prospectus supplement to the Registration Statement that includes such descriptions and that is subsequently filed is hereby also incorporated by reference herein.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2025</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2025-10-06T05:22:47Z</dcterms:created>
  <dcterms:modified xsi:type="dcterms:W3CDTF">2025-10-06T05:22:47Z</dcterms:modified>
</cp:coreProperties>
</file>