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778510</wp:posOffset>
            </wp:positionH>
            <wp:positionV relativeFrom="page">
              <wp:posOffset>514985</wp:posOffset>
            </wp:positionV>
            <wp:extent cx="1981200" cy="396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9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5944870</wp:posOffset>
            </wp:positionH>
            <wp:positionV relativeFrom="page">
              <wp:posOffset>572770</wp:posOffset>
            </wp:positionV>
            <wp:extent cx="912495" cy="260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" cy="26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b w:val="1"/>
          <w:bCs w:val="1"/>
          <w:color w:val="auto"/>
        </w:rPr>
        <w:t>Eun Ah Choi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Senior Vice President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Global Head of Regulatory Operations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October 3, 2025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Division of 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U.S. 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100 F Street, N.E.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Division of Corporation Finance: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jc w:val="both"/>
        <w:spacing w:after="0" w:line="225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This is to certify that on October 3, 2025, The Nasdaq Stock Market (the "Exchange") received from GigCapital8 Corp. (the "Registrant") a copy of the Registrant's application on Form 8-A 12(b) for the registration of the following securities: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Class A Ordinary Shares, par value $0.0001 per share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jc w:val="center"/>
        <w:spacing w:after="0" w:line="218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Units, each consisting of one Class A ordinary share and one right to acquire one-tenth of one Class A ordinary share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Rights to acquire one-tenth of one Class A ordinary share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both"/>
        <w:spacing w:after="0" w:line="218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We further certify that the securities described above have been approved by the Exchange for listing and registration upon official notice of issuance.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both"/>
        <w:spacing w:after="0" w:line="218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We understand that the Registrant is seeking effectiveness under the Form 8-A 12(b), and we hereby join in such request.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2"/>
          <w:szCs w:val="22"/>
          <w:color w:val="auto"/>
        </w:rPr>
        <w:t>Sincerely,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-401955</wp:posOffset>
                </wp:positionH>
                <wp:positionV relativeFrom="paragraph">
                  <wp:posOffset>1906905</wp:posOffset>
                </wp:positionV>
                <wp:extent cx="674751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7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A6A6A6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31.6499pt,150.15pt" to="499.65pt,150.15pt" o:allowincell="f" strokecolor="#A6A6A6" strokeweight="0.5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3175</wp:posOffset>
            </wp:positionV>
            <wp:extent cx="1819275" cy="561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20"/>
          <w:szCs w:val="20"/>
          <w:color w:val="auto"/>
        </w:rPr>
        <w:t>The Nasdaq Stock Market LLC, 1100 New York Ave. NW, Suite 310E, Washington, DC 20005</w:t>
      </w:r>
    </w:p>
    <w:sectPr>
      <w:pgSz w:w="12240" w:h="15840" w:orient="portrait"/>
      <w:cols w:equalWidth="0" w:num="1">
        <w:col w:w="9360"/>
      </w:cols>
      <w:pgMar w:left="1440" w:top="1440" w:right="1440" w:bottom="427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2025-10-03T14:54:31Z</dcterms:created>
  <dcterms:modified xsi:type="dcterms:W3CDTF">2025-10-03T14:54:31Z</dcterms:modified>
</cp:coreProperties>
</file>