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160" w:right="164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43"/>
          <w:szCs w:val="43"/>
          <w:b w:val="1"/>
          <w:bCs w:val="1"/>
          <w:color w:val="auto"/>
        </w:rPr>
        <w:t>GigCapital8 Corp.</w:t>
      </w:r>
    </w:p>
    <w:p>
      <w:pPr>
        <w:spacing w:after="0" w:line="5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5040" w:type="dxa"/>
            <w:vAlign w:val="bottom"/>
          </w:tcPr>
          <w:p>
            <w:pPr>
              <w:jc w:val="center"/>
              <w:ind w:right="1239"/>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42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98-1868645</w:t>
            </w:r>
          </w:p>
        </w:tc>
      </w:tr>
      <w:tr>
        <w:trPr>
          <w:trHeight w:val="190"/>
        </w:trPr>
        <w:tc>
          <w:tcPr>
            <w:tcW w:w="5040" w:type="dxa"/>
            <w:vAlign w:val="bottom"/>
          </w:tcPr>
          <w:p>
            <w:pPr>
              <w:jc w:val="center"/>
              <w:ind w:right="123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420" w:type="dxa"/>
            <w:vAlign w:val="bottom"/>
          </w:tcPr>
          <w:p>
            <w:pPr>
              <w:jc w:val="center"/>
              <w:ind w:left="125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0"/>
        </w:trPr>
        <w:tc>
          <w:tcPr>
            <w:tcW w:w="5040" w:type="dxa"/>
            <w:vAlign w:val="bottom"/>
          </w:tcPr>
          <w:p>
            <w:pPr>
              <w:jc w:val="center"/>
              <w:ind w:right="1239"/>
              <w:spacing w:after="0"/>
              <w:rPr>
                <w:sz w:val="20"/>
                <w:szCs w:val="20"/>
                <w:color w:val="auto"/>
              </w:rPr>
            </w:pPr>
            <w:r>
              <w:rPr>
                <w:rFonts w:ascii="Times New Roman" w:cs="Times New Roman" w:eastAsia="Times New Roman" w:hAnsi="Times New Roman"/>
                <w:sz w:val="18"/>
                <w:szCs w:val="18"/>
                <w:b w:val="1"/>
                <w:bCs w:val="1"/>
                <w:color w:val="auto"/>
                <w:w w:val="99"/>
              </w:rPr>
              <w:t>1731 Embarcadero Rd., Suite 200, Palo Alto, CA</w:t>
            </w:r>
          </w:p>
        </w:tc>
        <w:tc>
          <w:tcPr>
            <w:tcW w:w="342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94303</w:t>
            </w:r>
          </w:p>
        </w:tc>
      </w:tr>
      <w:tr>
        <w:trPr>
          <w:trHeight w:val="190"/>
        </w:trPr>
        <w:tc>
          <w:tcPr>
            <w:tcW w:w="5040" w:type="dxa"/>
            <w:vAlign w:val="bottom"/>
          </w:tcPr>
          <w:p>
            <w:pPr>
              <w:jc w:val="center"/>
              <w:ind w:right="12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20" w:type="dxa"/>
            <w:vAlign w:val="bottom"/>
          </w:tcPr>
          <w:p>
            <w:pPr>
              <w:jc w:val="center"/>
              <w:ind w:left="125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237"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4040" w:type="dxa"/>
            <w:vAlign w:val="bottom"/>
            <w:gridSpan w:val="2"/>
          </w:tcPr>
          <w:p>
            <w:pPr>
              <w:jc w:val="center"/>
              <w:ind w:right="29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20" w:type="dxa"/>
            <w:vAlign w:val="bottom"/>
          </w:tcPr>
          <w:p>
            <w:pPr>
              <w:spacing w:after="0"/>
              <w:rPr>
                <w:sz w:val="13"/>
                <w:szCs w:val="13"/>
                <w:color w:val="auto"/>
              </w:rPr>
            </w:pPr>
          </w:p>
        </w:tc>
        <w:tc>
          <w:tcPr>
            <w:tcW w:w="208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Name of exchange on which</w:t>
            </w:r>
          </w:p>
        </w:tc>
        <w:tc>
          <w:tcPr>
            <w:tcW w:w="0" w:type="dxa"/>
            <w:vAlign w:val="bottom"/>
          </w:tcPr>
          <w:p>
            <w:pPr>
              <w:spacing w:after="0"/>
              <w:rPr>
                <w:sz w:val="1"/>
                <w:szCs w:val="1"/>
                <w:color w:val="auto"/>
              </w:rPr>
            </w:pPr>
          </w:p>
        </w:tc>
      </w:tr>
      <w:tr>
        <w:trPr>
          <w:trHeight w:val="173"/>
        </w:trPr>
        <w:tc>
          <w:tcPr>
            <w:tcW w:w="20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2920" w:type="dxa"/>
            <w:vAlign w:val="bottom"/>
          </w:tcPr>
          <w:p>
            <w:pPr>
              <w:spacing w:after="0"/>
              <w:rPr>
                <w:sz w:val="15"/>
                <w:szCs w:val="15"/>
                <w:color w:val="auto"/>
              </w:rPr>
            </w:pPr>
          </w:p>
        </w:tc>
        <w:tc>
          <w:tcPr>
            <w:tcW w:w="3300" w:type="dxa"/>
            <w:vAlign w:val="bottom"/>
            <w:gridSpan w:val="3"/>
          </w:tcPr>
          <w:p>
            <w:pPr>
              <w:jc w:val="center"/>
              <w:ind w:left="775"/>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0" w:type="dxa"/>
            <w:vAlign w:val="bottom"/>
          </w:tcPr>
          <w:p>
            <w:pPr>
              <w:spacing w:after="0"/>
              <w:rPr>
                <w:sz w:val="1"/>
                <w:szCs w:val="1"/>
                <w:color w:val="auto"/>
              </w:rPr>
            </w:pPr>
          </w:p>
        </w:tc>
      </w:tr>
      <w:tr>
        <w:trPr>
          <w:trHeight w:val="20"/>
        </w:trPr>
        <w:tc>
          <w:tcPr>
            <w:tcW w:w="20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Class A Ordinary</w:t>
            </w:r>
          </w:p>
        </w:tc>
        <w:tc>
          <w:tcPr>
            <w:tcW w:w="11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20" w:type="dxa"/>
            <w:vAlign w:val="bottom"/>
            <w:vMerge w:val="restart"/>
          </w:tcPr>
          <w:p>
            <w:pPr>
              <w:ind w:left="860"/>
              <w:spacing w:after="0"/>
              <w:rPr>
                <w:sz w:val="20"/>
                <w:szCs w:val="20"/>
                <w:color w:val="auto"/>
              </w:rPr>
            </w:pPr>
            <w:r>
              <w:rPr>
                <w:rFonts w:ascii="Times New Roman" w:cs="Times New Roman" w:eastAsia="Times New Roman" w:hAnsi="Times New Roman"/>
                <w:sz w:val="18"/>
                <w:szCs w:val="18"/>
                <w:b w:val="1"/>
                <w:bCs w:val="1"/>
                <w:color w:val="auto"/>
              </w:rPr>
              <w:t>The</w:t>
            </w:r>
          </w:p>
        </w:tc>
        <w:tc>
          <w:tcPr>
            <w:tcW w:w="17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1"/>
              </w:rPr>
              <w:t>LLC</w:t>
            </w:r>
          </w:p>
        </w:tc>
        <w:tc>
          <w:tcPr>
            <w:tcW w:w="0" w:type="dxa"/>
            <w:vAlign w:val="bottom"/>
          </w:tcPr>
          <w:p>
            <w:pPr>
              <w:spacing w:after="0" w:line="20" w:lineRule="exact"/>
              <w:rPr>
                <w:sz w:val="1"/>
                <w:szCs w:val="1"/>
                <w:color w:val="auto"/>
              </w:rPr>
            </w:pPr>
          </w:p>
        </w:tc>
      </w:tr>
      <w:tr>
        <w:trPr>
          <w:trHeight w:val="187"/>
        </w:trPr>
        <w:tc>
          <w:tcPr>
            <w:tcW w:w="2060" w:type="dxa"/>
            <w:vAlign w:val="bottom"/>
            <w:vMerge w:val="continue"/>
          </w:tcPr>
          <w:p>
            <w:pPr>
              <w:spacing w:after="0"/>
              <w:rPr>
                <w:sz w:val="16"/>
                <w:szCs w:val="16"/>
                <w:color w:val="auto"/>
              </w:rPr>
            </w:pPr>
          </w:p>
        </w:tc>
        <w:tc>
          <w:tcPr>
            <w:tcW w:w="404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Shares, par value $0.0001 per share</w:t>
            </w:r>
          </w:p>
        </w:tc>
        <w:tc>
          <w:tcPr>
            <w:tcW w:w="1220" w:type="dxa"/>
            <w:vAlign w:val="bottom"/>
            <w:vMerge w:val="continue"/>
          </w:tcPr>
          <w:p>
            <w:pPr>
              <w:spacing w:after="0"/>
              <w:rPr>
                <w:sz w:val="16"/>
                <w:szCs w:val="16"/>
                <w:color w:val="auto"/>
              </w:rPr>
            </w:pPr>
          </w:p>
        </w:tc>
        <w:tc>
          <w:tcPr>
            <w:tcW w:w="17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Nasdaq Stock Market</w:t>
            </w:r>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Units, each consisting of one Class A ordinary share and one right to</w:t>
            </w:r>
          </w:p>
        </w:tc>
        <w:tc>
          <w:tcPr>
            <w:tcW w:w="3300" w:type="dxa"/>
            <w:vAlign w:val="bottom"/>
            <w:gridSpan w:val="3"/>
          </w:tcPr>
          <w:p>
            <w:pPr>
              <w:jc w:val="center"/>
              <w:ind w:left="775"/>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29"/>
        </w:trPr>
        <w:tc>
          <w:tcPr>
            <w:tcW w:w="61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acquire one-tenth of one Class A ordinary share</w:t>
            </w:r>
          </w:p>
        </w:tc>
        <w:tc>
          <w:tcPr>
            <w:tcW w:w="1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1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Rights to acquire one-tenth of one Class A ordinary share</w:t>
            </w:r>
          </w:p>
        </w:tc>
        <w:tc>
          <w:tcPr>
            <w:tcW w:w="3300" w:type="dxa"/>
            <w:vAlign w:val="bottom"/>
            <w:gridSpan w:val="3"/>
          </w:tcPr>
          <w:p>
            <w:pPr>
              <w:jc w:val="center"/>
              <w:ind w:left="775"/>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please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or Regulation A offering statement file number to which this form relates:</w:t>
      </w:r>
    </w:p>
    <w:p>
      <w:pPr>
        <w:spacing w:after="0" w:line="3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333-289479</w:t>
      </w:r>
    </w:p>
    <w:p>
      <w:pPr>
        <w:spacing w:after="0" w:line="203"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184785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80"/>
          </w:cols>
          <w:pgMar w:left="440" w:top="376" w:right="11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securities to be registered hereby of GigCapital8 Corp. (the “Registrant”) are the Class A ordinary shares, par value $0.0001 per share of the Registrant (the “Ordinary Shares”), the public units, where each unit consists of one Ordinary Share and one right to purchase one-tenth of Ordinary Share (the “Units”), and the public rights to purchase one-tenth of Ordinary Share (the “Rights”). The description of the Ordinary Shares, the Units and the Rights set forth under the heading “Description of Securities” in the prospectus forming part of the Registrant’s Registration Statement on</w:t>
      </w:r>
    </w:p>
    <w:p>
      <w:pPr>
        <w:spacing w:after="0" w:line="3" w:lineRule="exact"/>
        <w:rPr>
          <w:sz w:val="20"/>
          <w:szCs w:val="20"/>
          <w:color w:val="auto"/>
        </w:rPr>
      </w:pPr>
    </w:p>
    <w:p>
      <w:pPr>
        <w:jc w:val="both"/>
        <w:ind w:right="380"/>
        <w:spacing w:after="0" w:line="255" w:lineRule="auto"/>
        <w:rPr>
          <w:sz w:val="20"/>
          <w:szCs w:val="20"/>
          <w:color w:val="auto"/>
        </w:rPr>
      </w:pPr>
      <w:r>
        <w:rPr>
          <w:rFonts w:ascii="Times New Roman" w:cs="Times New Roman" w:eastAsia="Times New Roman" w:hAnsi="Times New Roman"/>
          <w:sz w:val="18"/>
          <w:szCs w:val="18"/>
          <w:color w:val="auto"/>
        </w:rPr>
        <w:t>Form S-1 (File No. 333-289479), originally filed with the SEC on August 11, 2025, as thereafter amended and supplemented from time to time (the “Registration Statement”), is incorporated by reference herein. Any form of prospectus or prospectus supplement to the Registration Statement that includes such descriptions and that is subsequently filed is hereby also incorporated by reference herein.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Instructions as to Exhibits for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ectPr>
          <w:pgSz w:w="11900" w:h="16838" w:orient="portrait"/>
          <w:cols w:equalWidth="0" w:num="1">
            <w:col w:w="11000"/>
          </w:cols>
          <w:pgMar w:left="440" w:top="26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Dr. Avi Katz</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Dr. Avi Katz</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 2025</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2025-10-03T12:09:31Z</dcterms:created>
  <dcterms:modified xsi:type="dcterms:W3CDTF">2025-10-03T12:09:31Z</dcterms:modified>
</cp:coreProperties>
</file>