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5"/>
          <w:szCs w:val="15"/>
          <w:b w:val="1"/>
          <w:bCs w:val="1"/>
          <w:u w:val="single" w:color="auto"/>
          <w:color w:val="0000EE"/>
        </w:rPr>
      </w:pP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September 30, 2025.</w:t>
      </w:r>
    </w:p>
    <w:p>
      <w:pPr>
        <w:spacing w:after="0" w:line="23" w:lineRule="exact"/>
        <w:rPr>
          <w:sz w:val="24"/>
          <w:szCs w:val="24"/>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Registration No. 333-289479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288925</wp:posOffset>
            </wp:positionH>
            <wp:positionV relativeFrom="paragraph">
              <wp:posOffset>38100</wp:posOffset>
            </wp:positionV>
            <wp:extent cx="61372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37275" cy="762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76200</wp:posOffset>
            </wp:positionV>
            <wp:extent cx="61372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7275" cy="7620"/>
                    </a:xfrm>
                    <a:prstGeom prst="rect">
                      <a:avLst/>
                    </a:prstGeom>
                    <a:noFill/>
                  </pic:spPr>
                </pic:pic>
              </a:graphicData>
            </a:graphic>
          </wp:anchor>
        </w:drawing>
      </w:r>
    </w:p>
    <w:p>
      <w:pPr>
        <w:spacing w:after="0" w:line="10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90170</wp:posOffset>
            </wp:positionV>
            <wp:extent cx="12858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AMENDMENT No. 3</w:t>
      </w:r>
    </w:p>
    <w:p>
      <w:pPr>
        <w:spacing w:after="0" w:line="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TO</w:t>
      </w:r>
    </w:p>
    <w:p>
      <w:pPr>
        <w:jc w:val="center"/>
        <w:ind w:right="-99"/>
        <w:spacing w:after="0" w:line="236" w:lineRule="auto"/>
        <w:rPr>
          <w:sz w:val="20"/>
          <w:szCs w:val="20"/>
          <w:color w:val="auto"/>
        </w:rPr>
      </w:pPr>
      <w:r>
        <w:rPr>
          <w:rFonts w:ascii="Times New Roman" w:cs="Times New Roman" w:eastAsia="Times New Roman" w:hAnsi="Times New Roman"/>
          <w:sz w:val="23"/>
          <w:szCs w:val="23"/>
          <w:b w:val="1"/>
          <w:bCs w:val="1"/>
          <w:color w:val="auto"/>
        </w:rPr>
        <w:t>FORM S-1</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jc w:val="center"/>
        <w:ind w:right="-99"/>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90170</wp:posOffset>
            </wp:positionV>
            <wp:extent cx="12858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GigCapital8 Corp.</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90805</wp:posOffset>
            </wp:positionV>
            <wp:extent cx="12858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ectPr>
          <w:pgSz w:w="11900" w:h="16840" w:orient="portrait"/>
          <w:cols w:equalWidth="0" w:num="1">
            <w:col w:w="10480"/>
          </w:cols>
          <w:pgMar w:left="660" w:top="554" w:right="760" w:bottom="380" w:gutter="0" w:footer="0" w:header="0"/>
        </w:sectPr>
      </w:pPr>
    </w:p>
    <w:p>
      <w:pPr>
        <w:spacing w:after="0" w:line="212"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6770</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98-1868645</w:t>
      </w:r>
    </w:p>
    <w:p>
      <w:pPr>
        <w:spacing w:after="0" w:line="26" w:lineRule="exact"/>
        <w:rPr>
          <w:sz w:val="24"/>
          <w:szCs w:val="24"/>
          <w:color w:val="auto"/>
        </w:rPr>
      </w:pPr>
    </w:p>
    <w:p>
      <w:pPr>
        <w:sectPr>
          <w:pgSz w:w="11900" w:h="16840" w:orient="portrait"/>
          <w:cols w:equalWidth="0" w:num="3">
            <w:col w:w="4520" w:space="720"/>
            <w:col w:w="2280" w:space="720"/>
            <w:col w:w="2240"/>
          </w:cols>
          <w:pgMar w:left="660" w:top="554" w:right="760" w:bottom="380" w:gutter="0" w:footer="0" w:header="0"/>
          <w:type w:val="continuous"/>
        </w:sectPr>
      </w:pPr>
    </w:p>
    <w:p>
      <w:pPr>
        <w:ind w:left="14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1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(Primary Standard Industrial</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6"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0"/>
          <w:szCs w:val="10"/>
          <w:b w:val="1"/>
          <w:bCs w:val="1"/>
          <w:color w:val="auto"/>
        </w:rPr>
        <w:t>Identification Number)</w:t>
      </w:r>
    </w:p>
    <w:p>
      <w:pPr>
        <w:spacing w:after="0" w:line="28" w:lineRule="exact"/>
        <w:rPr>
          <w:sz w:val="24"/>
          <w:szCs w:val="24"/>
          <w:color w:val="auto"/>
        </w:rPr>
      </w:pPr>
    </w:p>
    <w:p>
      <w:pPr>
        <w:sectPr>
          <w:pgSz w:w="11900" w:h="16840" w:orient="portrait"/>
          <w:cols w:equalWidth="0" w:num="3">
            <w:col w:w="4000" w:space="720"/>
            <w:col w:w="2600" w:space="720"/>
            <w:col w:w="2440"/>
          </w:cols>
          <w:pgMar w:left="660" w:top="554" w:right="760" w:bottom="38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1731 Embarcadero Rd., Suite 200</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Palo Alto, CA 94303</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(650) 276-7040</w:t>
      </w:r>
    </w:p>
    <w:p>
      <w:pPr>
        <w:sectPr>
          <w:pgSz w:w="11900" w:h="16840" w:orient="portrait"/>
          <w:cols w:equalWidth="0" w:num="1">
            <w:col w:w="10480"/>
          </w:cols>
          <w:pgMar w:left="660" w:top="554" w:right="760" w:bottom="380" w:gutter="0" w:footer="0" w:header="0"/>
          <w:type w:val="continuous"/>
        </w:sectPr>
      </w:pP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88265</wp:posOffset>
            </wp:positionV>
            <wp:extent cx="12858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Dr. Avi S. Katz</w:t>
      </w:r>
    </w:p>
    <w:p>
      <w:pPr>
        <w:spacing w:after="0" w:line="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GigCapital8 Corp.</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1731 Embarcadero Rd., Suite 200</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Palo Alto, CA 94303</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(650) 276-7040</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91440</wp:posOffset>
            </wp:positionV>
            <wp:extent cx="12858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p>
      <w:pPr>
        <w:spacing w:after="0" w:line="11" w:lineRule="exact"/>
        <w:rPr>
          <w:sz w:val="24"/>
          <w:szCs w:val="24"/>
          <w:color w:val="auto"/>
        </w:rPr>
      </w:pPr>
    </w:p>
    <w:tbl>
      <w:tblPr>
        <w:tblLayout w:type="fixed"/>
        <w:tblInd w:w="1240" w:type="dxa"/>
        <w:tblCellMar>
          <w:top w:w="0" w:type="dxa"/>
          <w:left w:w="0" w:type="dxa"/>
          <w:bottom w:w="0" w:type="dxa"/>
          <w:right w:w="0" w:type="dxa"/>
        </w:tblCellMar>
      </w:tblPr>
      <w:tr>
        <w:trPr>
          <w:trHeight w:val="149"/>
        </w:trPr>
        <w:tc>
          <w:tcPr>
            <w:tcW w:w="2560" w:type="dxa"/>
            <w:vAlign w:val="bottom"/>
          </w:tcPr>
          <w:p>
            <w:pPr>
              <w:jc w:val="center"/>
              <w:ind w:right="795"/>
              <w:spacing w:after="0"/>
              <w:rPr>
                <w:sz w:val="20"/>
                <w:szCs w:val="20"/>
                <w:color w:val="auto"/>
              </w:rPr>
            </w:pPr>
            <w:r>
              <w:rPr>
                <w:rFonts w:ascii="Times New Roman" w:cs="Times New Roman" w:eastAsia="Times New Roman" w:hAnsi="Times New Roman"/>
                <w:sz w:val="13"/>
                <w:szCs w:val="13"/>
                <w:b w:val="1"/>
                <w:bCs w:val="1"/>
                <w:color w:val="auto"/>
                <w:w w:val="99"/>
              </w:rPr>
              <w:t>Jeffrey C. Selman, Esq.</w:t>
            </w:r>
          </w:p>
        </w:tc>
        <w:tc>
          <w:tcPr>
            <w:tcW w:w="3020" w:type="dxa"/>
            <w:vAlign w:val="bottom"/>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rPr>
              <w:t>George Weston</w:t>
            </w:r>
          </w:p>
        </w:tc>
        <w:tc>
          <w:tcPr>
            <w:tcW w:w="2780" w:type="dxa"/>
            <w:vAlign w:val="bottom"/>
          </w:tcPr>
          <w:p>
            <w:pPr>
              <w:jc w:val="center"/>
              <w:ind w:left="655"/>
              <w:spacing w:after="0"/>
              <w:rPr>
                <w:sz w:val="20"/>
                <w:szCs w:val="20"/>
                <w:color w:val="auto"/>
              </w:rPr>
            </w:pPr>
            <w:r>
              <w:rPr>
                <w:rFonts w:ascii="Times New Roman" w:cs="Times New Roman" w:eastAsia="Times New Roman" w:hAnsi="Times New Roman"/>
                <w:sz w:val="13"/>
                <w:szCs w:val="13"/>
                <w:b w:val="1"/>
                <w:bCs w:val="1"/>
                <w:color w:val="auto"/>
              </w:rPr>
              <w:t>Douglas S. Ellenoff, Esq.</w:t>
            </w:r>
          </w:p>
        </w:tc>
      </w:tr>
      <w:tr>
        <w:trPr>
          <w:trHeight w:val="154"/>
        </w:trPr>
        <w:tc>
          <w:tcPr>
            <w:tcW w:w="2560" w:type="dxa"/>
            <w:vAlign w:val="bottom"/>
          </w:tcPr>
          <w:p>
            <w:pPr>
              <w:jc w:val="center"/>
              <w:ind w:right="795"/>
              <w:spacing w:after="0"/>
              <w:rPr>
                <w:sz w:val="20"/>
                <w:szCs w:val="20"/>
                <w:color w:val="auto"/>
              </w:rPr>
            </w:pPr>
            <w:r>
              <w:rPr>
                <w:rFonts w:ascii="Times New Roman" w:cs="Times New Roman" w:eastAsia="Times New Roman" w:hAnsi="Times New Roman"/>
                <w:sz w:val="13"/>
                <w:szCs w:val="13"/>
                <w:b w:val="1"/>
                <w:bCs w:val="1"/>
                <w:color w:val="auto"/>
                <w:w w:val="99"/>
              </w:rPr>
              <w:t>Elena Nrtina, Esq.</w:t>
            </w:r>
          </w:p>
        </w:tc>
        <w:tc>
          <w:tcPr>
            <w:tcW w:w="3020" w:type="dxa"/>
            <w:vAlign w:val="bottom"/>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w w:val="98"/>
              </w:rPr>
              <w:t>Christopher Hall</w:t>
            </w:r>
          </w:p>
        </w:tc>
        <w:tc>
          <w:tcPr>
            <w:tcW w:w="2780" w:type="dxa"/>
            <w:vAlign w:val="bottom"/>
          </w:tcPr>
          <w:p>
            <w:pPr>
              <w:jc w:val="center"/>
              <w:ind w:left="655"/>
              <w:spacing w:after="0"/>
              <w:rPr>
                <w:sz w:val="20"/>
                <w:szCs w:val="20"/>
                <w:color w:val="auto"/>
              </w:rPr>
            </w:pPr>
            <w:r>
              <w:rPr>
                <w:rFonts w:ascii="Times New Roman" w:cs="Times New Roman" w:eastAsia="Times New Roman" w:hAnsi="Times New Roman"/>
                <w:sz w:val="13"/>
                <w:szCs w:val="13"/>
                <w:b w:val="1"/>
                <w:bCs w:val="1"/>
                <w:color w:val="auto"/>
              </w:rPr>
              <w:t>Stuart Neuhauser, Esq.</w:t>
            </w:r>
          </w:p>
        </w:tc>
      </w:tr>
      <w:tr>
        <w:trPr>
          <w:trHeight w:val="154"/>
        </w:trPr>
        <w:tc>
          <w:tcPr>
            <w:tcW w:w="2560" w:type="dxa"/>
            <w:vAlign w:val="bottom"/>
          </w:tcPr>
          <w:p>
            <w:pPr>
              <w:jc w:val="center"/>
              <w:ind w:right="795"/>
              <w:spacing w:after="0"/>
              <w:rPr>
                <w:sz w:val="20"/>
                <w:szCs w:val="20"/>
                <w:color w:val="auto"/>
              </w:rPr>
            </w:pPr>
            <w:r>
              <w:rPr>
                <w:rFonts w:ascii="Times New Roman" w:cs="Times New Roman" w:eastAsia="Times New Roman" w:hAnsi="Times New Roman"/>
                <w:sz w:val="13"/>
                <w:szCs w:val="13"/>
                <w:b w:val="1"/>
                <w:bCs w:val="1"/>
                <w:color w:val="auto"/>
                <w:w w:val="99"/>
              </w:rPr>
              <w:t>DLA Piper LLP (US)</w:t>
            </w:r>
          </w:p>
        </w:tc>
        <w:tc>
          <w:tcPr>
            <w:tcW w:w="3020" w:type="dxa"/>
            <w:vAlign w:val="bottom"/>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rPr>
              <w:t>Harney Westwood &amp;</w:t>
            </w:r>
          </w:p>
        </w:tc>
        <w:tc>
          <w:tcPr>
            <w:tcW w:w="2780" w:type="dxa"/>
            <w:vAlign w:val="bottom"/>
          </w:tcPr>
          <w:p>
            <w:pPr>
              <w:jc w:val="center"/>
              <w:ind w:left="655"/>
              <w:spacing w:after="0"/>
              <w:rPr>
                <w:sz w:val="20"/>
                <w:szCs w:val="20"/>
                <w:color w:val="auto"/>
              </w:rPr>
            </w:pPr>
            <w:r>
              <w:rPr>
                <w:rFonts w:ascii="Times New Roman" w:cs="Times New Roman" w:eastAsia="Times New Roman" w:hAnsi="Times New Roman"/>
                <w:sz w:val="13"/>
                <w:szCs w:val="13"/>
                <w:b w:val="1"/>
                <w:bCs w:val="1"/>
                <w:color w:val="auto"/>
                <w:w w:val="99"/>
              </w:rPr>
              <w:t>Anthony Ain, Esq.</w:t>
            </w:r>
          </w:p>
        </w:tc>
      </w:tr>
      <w:tr>
        <w:trPr>
          <w:trHeight w:val="154"/>
        </w:trPr>
        <w:tc>
          <w:tcPr>
            <w:tcW w:w="2560" w:type="dxa"/>
            <w:vAlign w:val="bottom"/>
          </w:tcPr>
          <w:p>
            <w:pPr>
              <w:jc w:val="center"/>
              <w:ind w:right="815"/>
              <w:spacing w:after="0"/>
              <w:rPr>
                <w:sz w:val="20"/>
                <w:szCs w:val="20"/>
                <w:color w:val="auto"/>
              </w:rPr>
            </w:pPr>
            <w:r>
              <w:rPr>
                <w:rFonts w:ascii="Times New Roman" w:cs="Times New Roman" w:eastAsia="Times New Roman" w:hAnsi="Times New Roman"/>
                <w:sz w:val="13"/>
                <w:szCs w:val="13"/>
                <w:b w:val="1"/>
                <w:bCs w:val="1"/>
                <w:color w:val="auto"/>
              </w:rPr>
              <w:t>555 Mission Street, Suite 2400</w:t>
            </w:r>
          </w:p>
        </w:tc>
        <w:tc>
          <w:tcPr>
            <w:tcW w:w="3020" w:type="dxa"/>
            <w:vAlign w:val="bottom"/>
          </w:tcPr>
          <w:p>
            <w:pPr>
              <w:jc w:val="center"/>
              <w:ind w:left="75"/>
              <w:spacing w:after="0"/>
              <w:rPr>
                <w:sz w:val="20"/>
                <w:szCs w:val="20"/>
                <w:color w:val="auto"/>
              </w:rPr>
            </w:pPr>
            <w:r>
              <w:rPr>
                <w:rFonts w:ascii="Times New Roman" w:cs="Times New Roman" w:eastAsia="Times New Roman" w:hAnsi="Times New Roman"/>
                <w:sz w:val="13"/>
                <w:szCs w:val="13"/>
                <w:b w:val="1"/>
                <w:bCs w:val="1"/>
                <w:color w:val="auto"/>
              </w:rPr>
              <w:t>Riegels (Cayman) LLP</w:t>
            </w:r>
          </w:p>
        </w:tc>
        <w:tc>
          <w:tcPr>
            <w:tcW w:w="2780" w:type="dxa"/>
            <w:vAlign w:val="bottom"/>
          </w:tcPr>
          <w:p>
            <w:pPr>
              <w:jc w:val="center"/>
              <w:ind w:left="655"/>
              <w:spacing w:after="0"/>
              <w:rPr>
                <w:sz w:val="20"/>
                <w:szCs w:val="20"/>
                <w:color w:val="auto"/>
              </w:rPr>
            </w:pPr>
            <w:r>
              <w:rPr>
                <w:rFonts w:ascii="Times New Roman" w:cs="Times New Roman" w:eastAsia="Times New Roman" w:hAnsi="Times New Roman"/>
                <w:sz w:val="13"/>
                <w:szCs w:val="13"/>
                <w:b w:val="1"/>
                <w:bCs w:val="1"/>
                <w:color w:val="auto"/>
                <w:w w:val="99"/>
              </w:rPr>
              <w:t>Ellenoff Grossman &amp; Schole LLP</w:t>
            </w:r>
          </w:p>
        </w:tc>
      </w:tr>
      <w:tr>
        <w:trPr>
          <w:trHeight w:val="154"/>
        </w:trPr>
        <w:tc>
          <w:tcPr>
            <w:tcW w:w="2560" w:type="dxa"/>
            <w:vAlign w:val="bottom"/>
          </w:tcPr>
          <w:p>
            <w:pPr>
              <w:jc w:val="center"/>
              <w:ind w:right="815"/>
              <w:spacing w:after="0"/>
              <w:rPr>
                <w:sz w:val="20"/>
                <w:szCs w:val="20"/>
                <w:color w:val="auto"/>
              </w:rPr>
            </w:pPr>
            <w:r>
              <w:rPr>
                <w:rFonts w:ascii="Times New Roman" w:cs="Times New Roman" w:eastAsia="Times New Roman" w:hAnsi="Times New Roman"/>
                <w:sz w:val="13"/>
                <w:szCs w:val="13"/>
                <w:b w:val="1"/>
                <w:bCs w:val="1"/>
                <w:color w:val="auto"/>
              </w:rPr>
              <w:t>San Francisco, CA 94105</w:t>
            </w:r>
          </w:p>
        </w:tc>
        <w:tc>
          <w:tcPr>
            <w:tcW w:w="3020" w:type="dxa"/>
            <w:vAlign w:val="bottom"/>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rPr>
              <w:t>3rd Floor, Harbour Place</w:t>
            </w:r>
          </w:p>
        </w:tc>
        <w:tc>
          <w:tcPr>
            <w:tcW w:w="2780" w:type="dxa"/>
            <w:vAlign w:val="bottom"/>
          </w:tcPr>
          <w:p>
            <w:pPr>
              <w:jc w:val="center"/>
              <w:ind w:left="655"/>
              <w:spacing w:after="0"/>
              <w:rPr>
                <w:sz w:val="20"/>
                <w:szCs w:val="20"/>
                <w:color w:val="auto"/>
              </w:rPr>
            </w:pPr>
            <w:r>
              <w:rPr>
                <w:rFonts w:ascii="Times New Roman" w:cs="Times New Roman" w:eastAsia="Times New Roman" w:hAnsi="Times New Roman"/>
                <w:sz w:val="13"/>
                <w:szCs w:val="13"/>
                <w:b w:val="1"/>
                <w:bCs w:val="1"/>
                <w:color w:val="auto"/>
                <w:w w:val="99"/>
              </w:rPr>
              <w:t>1345 Avenue of the Americas, 11</w:t>
            </w:r>
            <w:r>
              <w:rPr>
                <w:rFonts w:ascii="Times New Roman" w:cs="Times New Roman" w:eastAsia="Times New Roman" w:hAnsi="Times New Roman"/>
                <w:sz w:val="8"/>
                <w:szCs w:val="8"/>
                <w:b w:val="1"/>
                <w:bCs w:val="1"/>
                <w:color w:val="auto"/>
                <w:w w:val="99"/>
              </w:rPr>
              <w:t>th</w:t>
            </w:r>
            <w:r>
              <w:rPr>
                <w:rFonts w:ascii="Times New Roman" w:cs="Times New Roman" w:eastAsia="Times New Roman" w:hAnsi="Times New Roman"/>
                <w:sz w:val="13"/>
                <w:szCs w:val="13"/>
                <w:b w:val="1"/>
                <w:bCs w:val="1"/>
                <w:color w:val="auto"/>
                <w:w w:val="99"/>
              </w:rPr>
              <w:t xml:space="preserve"> Fl.</w:t>
            </w:r>
          </w:p>
        </w:tc>
      </w:tr>
      <w:tr>
        <w:trPr>
          <w:trHeight w:val="154"/>
        </w:trPr>
        <w:tc>
          <w:tcPr>
            <w:tcW w:w="2560" w:type="dxa"/>
            <w:vAlign w:val="bottom"/>
          </w:tcPr>
          <w:p>
            <w:pPr>
              <w:jc w:val="center"/>
              <w:ind w:right="775"/>
              <w:spacing w:after="0"/>
              <w:rPr>
                <w:sz w:val="20"/>
                <w:szCs w:val="20"/>
                <w:color w:val="auto"/>
              </w:rPr>
            </w:pPr>
            <w:r>
              <w:rPr>
                <w:rFonts w:ascii="Times New Roman" w:cs="Times New Roman" w:eastAsia="Times New Roman" w:hAnsi="Times New Roman"/>
                <w:sz w:val="13"/>
                <w:szCs w:val="13"/>
                <w:b w:val="1"/>
                <w:bCs w:val="1"/>
                <w:color w:val="auto"/>
              </w:rPr>
              <w:t>Telephone: (415) 615-6095</w:t>
            </w:r>
          </w:p>
        </w:tc>
        <w:tc>
          <w:tcPr>
            <w:tcW w:w="3020" w:type="dxa"/>
            <w:vAlign w:val="bottom"/>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rPr>
              <w:t>103 South Church Street</w:t>
            </w:r>
          </w:p>
        </w:tc>
        <w:tc>
          <w:tcPr>
            <w:tcW w:w="2780" w:type="dxa"/>
            <w:vAlign w:val="bottom"/>
          </w:tcPr>
          <w:p>
            <w:pPr>
              <w:jc w:val="center"/>
              <w:ind w:left="655"/>
              <w:spacing w:after="0"/>
              <w:rPr>
                <w:sz w:val="20"/>
                <w:szCs w:val="20"/>
                <w:color w:val="auto"/>
              </w:rPr>
            </w:pPr>
            <w:r>
              <w:rPr>
                <w:rFonts w:ascii="Times New Roman" w:cs="Times New Roman" w:eastAsia="Times New Roman" w:hAnsi="Times New Roman"/>
                <w:sz w:val="13"/>
                <w:szCs w:val="13"/>
                <w:b w:val="1"/>
                <w:bCs w:val="1"/>
                <w:color w:val="auto"/>
              </w:rPr>
              <w:t>New York, NY 10105</w:t>
            </w:r>
          </w:p>
        </w:tc>
      </w:tr>
      <w:tr>
        <w:trPr>
          <w:trHeight w:val="154"/>
        </w:trPr>
        <w:tc>
          <w:tcPr>
            <w:tcW w:w="2560" w:type="dxa"/>
            <w:vAlign w:val="bottom"/>
          </w:tcPr>
          <w:p>
            <w:pPr>
              <w:jc w:val="center"/>
              <w:ind w:right="795"/>
              <w:spacing w:after="0"/>
              <w:rPr>
                <w:sz w:val="20"/>
                <w:szCs w:val="20"/>
                <w:color w:val="auto"/>
              </w:rPr>
            </w:pPr>
            <w:r>
              <w:rPr>
                <w:rFonts w:ascii="Times New Roman" w:cs="Times New Roman" w:eastAsia="Times New Roman" w:hAnsi="Times New Roman"/>
                <w:sz w:val="13"/>
                <w:szCs w:val="13"/>
                <w:b w:val="1"/>
                <w:bCs w:val="1"/>
                <w:color w:val="auto"/>
              </w:rPr>
              <w:t>Facsimile: (415) 659 7465</w:t>
            </w:r>
          </w:p>
        </w:tc>
        <w:tc>
          <w:tcPr>
            <w:tcW w:w="3020" w:type="dxa"/>
            <w:vAlign w:val="bottom"/>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w w:val="98"/>
              </w:rPr>
              <w:t>Grand Cayman</w:t>
            </w:r>
          </w:p>
        </w:tc>
        <w:tc>
          <w:tcPr>
            <w:tcW w:w="2780" w:type="dxa"/>
            <w:vAlign w:val="bottom"/>
          </w:tcPr>
          <w:p>
            <w:pPr>
              <w:jc w:val="center"/>
              <w:ind w:left="675"/>
              <w:spacing w:after="0"/>
              <w:rPr>
                <w:sz w:val="20"/>
                <w:szCs w:val="20"/>
                <w:color w:val="auto"/>
              </w:rPr>
            </w:pPr>
            <w:r>
              <w:rPr>
                <w:rFonts w:ascii="Times New Roman" w:cs="Times New Roman" w:eastAsia="Times New Roman" w:hAnsi="Times New Roman"/>
                <w:sz w:val="13"/>
                <w:szCs w:val="13"/>
                <w:b w:val="1"/>
                <w:bCs w:val="1"/>
                <w:color w:val="auto"/>
              </w:rPr>
              <w:t>Telephone: (212) 370-1300</w:t>
            </w:r>
          </w:p>
        </w:tc>
      </w:tr>
      <w:tr>
        <w:trPr>
          <w:trHeight w:val="170"/>
        </w:trPr>
        <w:tc>
          <w:tcPr>
            <w:tcW w:w="2560" w:type="dxa"/>
            <w:vAlign w:val="bottom"/>
          </w:tcPr>
          <w:p>
            <w:pPr>
              <w:spacing w:after="0"/>
              <w:rPr>
                <w:sz w:val="14"/>
                <w:szCs w:val="14"/>
                <w:color w:val="auto"/>
              </w:rPr>
            </w:pPr>
          </w:p>
        </w:tc>
        <w:tc>
          <w:tcPr>
            <w:tcW w:w="3020" w:type="dxa"/>
            <w:vAlign w:val="bottom"/>
          </w:tcPr>
          <w:p>
            <w:pPr>
              <w:jc w:val="center"/>
              <w:ind w:left="75"/>
              <w:spacing w:after="0"/>
              <w:rPr>
                <w:sz w:val="20"/>
                <w:szCs w:val="20"/>
                <w:color w:val="auto"/>
              </w:rPr>
            </w:pPr>
            <w:r>
              <w:rPr>
                <w:rFonts w:ascii="Times New Roman" w:cs="Times New Roman" w:eastAsia="Times New Roman" w:hAnsi="Times New Roman"/>
                <w:sz w:val="13"/>
                <w:szCs w:val="13"/>
                <w:b w:val="1"/>
                <w:bCs w:val="1"/>
                <w:color w:val="auto"/>
              </w:rPr>
              <w:t>Tel: (345) 949-8599</w:t>
            </w:r>
          </w:p>
        </w:tc>
        <w:tc>
          <w:tcPr>
            <w:tcW w:w="2780" w:type="dxa"/>
            <w:vAlign w:val="bottom"/>
          </w:tcPr>
          <w:p>
            <w:pPr>
              <w:jc w:val="center"/>
              <w:ind w:left="655"/>
              <w:spacing w:after="0"/>
              <w:rPr>
                <w:sz w:val="20"/>
                <w:szCs w:val="20"/>
                <w:color w:val="auto"/>
              </w:rPr>
            </w:pPr>
            <w:r>
              <w:rPr>
                <w:rFonts w:ascii="Times New Roman" w:cs="Times New Roman" w:eastAsia="Times New Roman" w:hAnsi="Times New Roman"/>
                <w:sz w:val="13"/>
                <w:szCs w:val="13"/>
                <w:b w:val="1"/>
                <w:bCs w:val="1"/>
                <w:color w:val="auto"/>
              </w:rPr>
              <w:t>Facsimile: (212) 370-7889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96520</wp:posOffset>
            </wp:positionV>
            <wp:extent cx="12858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p>
    <w:p>
      <w:pPr>
        <w:spacing w:after="0" w:line="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As soon as practicable after the effective date of this registration statement.</w:t>
      </w:r>
    </w:p>
    <w:p>
      <w:pPr>
        <w:spacing w:after="0" w:line="14" w:lineRule="exact"/>
        <w:rPr>
          <w:sz w:val="24"/>
          <w:szCs w:val="24"/>
          <w:color w:val="auto"/>
        </w:rPr>
      </w:pPr>
    </w:p>
    <w:p>
      <w:pPr>
        <w:ind w:left="460" w:right="400" w:firstLine="379"/>
        <w:spacing w:after="0" w:line="168" w:lineRule="exact"/>
        <w:rPr>
          <w:sz w:val="20"/>
          <w:szCs w:val="20"/>
          <w:color w:val="auto"/>
        </w:rPr>
      </w:pPr>
      <w:r>
        <w:rPr>
          <w:rFonts w:ascii="Times New Roman" w:cs="Times New Roman" w:eastAsia="Times New Roman" w:hAnsi="Times New Roman"/>
          <w:sz w:val="13"/>
          <w:szCs w:val="13"/>
          <w:color w:val="auto"/>
        </w:rPr>
        <w:t>If any of the securities being registered on this Form are to be offered on a delayed or continuous basis pursuant to Rule 415 under the Securities Act of 1933 check the following box.</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ind w:left="460" w:right="600" w:firstLine="379"/>
        <w:spacing w:after="0" w:line="166" w:lineRule="exact"/>
        <w:rPr>
          <w:sz w:val="20"/>
          <w:szCs w:val="20"/>
          <w:color w:val="auto"/>
        </w:rPr>
      </w:pPr>
      <w:r>
        <w:rPr>
          <w:rFonts w:ascii="Times New Roman" w:cs="Times New Roman" w:eastAsia="Times New Roman" w:hAnsi="Times New Roman"/>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1" w:lineRule="exact"/>
        <w:rPr>
          <w:sz w:val="24"/>
          <w:szCs w:val="24"/>
          <w:color w:val="auto"/>
        </w:rPr>
      </w:pPr>
    </w:p>
    <w:p>
      <w:pPr>
        <w:ind w:left="460" w:right="760" w:firstLine="379"/>
        <w:spacing w:after="0" w:line="166" w:lineRule="exact"/>
        <w:rPr>
          <w:sz w:val="20"/>
          <w:szCs w:val="20"/>
          <w:color w:val="auto"/>
        </w:rPr>
      </w:pPr>
      <w:r>
        <w:rPr>
          <w:rFonts w:ascii="Times New Roman" w:cs="Times New Roman" w:eastAsia="Times New Roman" w:hAnsi="Times New Roman"/>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1" w:lineRule="exact"/>
        <w:rPr>
          <w:sz w:val="24"/>
          <w:szCs w:val="24"/>
          <w:color w:val="auto"/>
        </w:rPr>
      </w:pPr>
    </w:p>
    <w:p>
      <w:pPr>
        <w:ind w:left="460" w:right="740" w:firstLine="379"/>
        <w:spacing w:after="0" w:line="166" w:lineRule="exact"/>
        <w:rPr>
          <w:sz w:val="20"/>
          <w:szCs w:val="20"/>
          <w:color w:val="auto"/>
        </w:rPr>
      </w:pPr>
      <w:r>
        <w:rPr>
          <w:rFonts w:ascii="Times New Roman" w:cs="Times New Roman" w:eastAsia="Times New Roman" w:hAnsi="Times New Roman"/>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1" w:lineRule="exact"/>
        <w:rPr>
          <w:sz w:val="24"/>
          <w:szCs w:val="24"/>
          <w:color w:val="auto"/>
        </w:rPr>
      </w:pPr>
    </w:p>
    <w:p>
      <w:pPr>
        <w:ind w:left="460" w:right="480" w:firstLine="379"/>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non-filer, a smaller reporting company or an emerging growth company. See the definitions of “large accelerated filer,” “accelerated filer,” “smaller reporting company” and “emerging growth company” in Rule 12b-2 of the Exchange Act.</w:t>
      </w:r>
    </w:p>
    <w:tbl>
      <w:tblPr>
        <w:tblLayout w:type="fixed"/>
        <w:tblInd w:w="460" w:type="dxa"/>
        <w:tblCellMar>
          <w:top w:w="0" w:type="dxa"/>
          <w:left w:w="0" w:type="dxa"/>
          <w:bottom w:w="0" w:type="dxa"/>
          <w:right w:w="0" w:type="dxa"/>
        </w:tblCellMar>
      </w:tblPr>
      <w:tr>
        <w:trPr>
          <w:trHeight w:val="21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3"/>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2"/>
        </w:trPr>
        <w:tc>
          <w:tcPr>
            <w:tcW w:w="1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52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ind w:left="460" w:right="600" w:firstLine="379"/>
        <w:spacing w:after="0" w:line="163" w:lineRule="exact"/>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80645</wp:posOffset>
            </wp:positionV>
            <wp:extent cx="12858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29" w:lineRule="exact"/>
        <w:rPr>
          <w:sz w:val="24"/>
          <w:szCs w:val="24"/>
          <w:color w:val="auto"/>
        </w:rPr>
      </w:pPr>
    </w:p>
    <w:p>
      <w:pPr>
        <w:ind w:left="460" w:right="400" w:firstLine="379"/>
        <w:spacing w:after="0" w:line="26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288925</wp:posOffset>
            </wp:positionH>
            <wp:positionV relativeFrom="paragraph">
              <wp:posOffset>50165</wp:posOffset>
            </wp:positionV>
            <wp:extent cx="61372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7275" cy="762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87630</wp:posOffset>
            </wp:positionV>
            <wp:extent cx="61372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7275" cy="7620"/>
                    </a:xfrm>
                    <a:prstGeom prst="rect">
                      <a:avLst/>
                    </a:prstGeom>
                    <a:noFill/>
                  </pic:spPr>
                </pic:pic>
              </a:graphicData>
            </a:graphic>
          </wp:anchor>
        </w:drawing>
      </w:r>
    </w:p>
    <w:p>
      <w:pPr>
        <w:spacing w:after="0" w:line="140" w:lineRule="exact"/>
        <w:rPr>
          <w:sz w:val="24"/>
          <w:szCs w:val="24"/>
          <w:color w:val="auto"/>
        </w:rPr>
      </w:pPr>
    </w:p>
    <w:p>
      <w:pPr>
        <w:ind w:left="460"/>
        <w:spacing w:after="0" w:line="274" w:lineRule="auto"/>
        <w:rPr>
          <w:sz w:val="20"/>
          <w:szCs w:val="20"/>
          <w:color w:val="auto"/>
        </w:rPr>
      </w:pPr>
      <w:r>
        <w:rPr>
          <w:rFonts w:ascii="Arial" w:cs="Arial" w:eastAsia="Arial" w:hAnsi="Arial"/>
          <w:sz w:val="15"/>
          <w:szCs w:val="15"/>
          <w:b w:val="1"/>
          <w:bCs w:val="1"/>
          <w:color w:val="FF4338"/>
        </w:rPr>
        <w:t>The information in this prospectus is not complete and may be changed. We may not sell these securities until the registration statement filed with the U.S. Securities and Exchange Commission is effective. This prospectus is not an offer to sell these securities and it is not soliciting an offer to buy these securities in any jurisdiction where the offer or sale is not permitted.</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FF4338"/>
        </w:rPr>
        <w:t>PRELIMINARY PROSPECTUS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FF4338"/>
        </w:rPr>
        <w:t>SUBJECT TO COMPLETION, DATED SEPTEMBER 30, 2025</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$220,000,000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2357120</wp:posOffset>
            </wp:positionH>
            <wp:positionV relativeFrom="paragraph">
              <wp:posOffset>206375</wp:posOffset>
            </wp:positionV>
            <wp:extent cx="2008505" cy="315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08505" cy="315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8"/>
          <w:szCs w:val="38"/>
          <w:b w:val="1"/>
          <w:bCs w:val="1"/>
          <w:color w:val="auto"/>
        </w:rPr>
        <w:t>GigCapital8 Corp.</w:t>
      </w:r>
    </w:p>
    <w:p>
      <w:pPr>
        <w:spacing w:after="0" w:line="20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22,000,000 Units</w:t>
      </w:r>
    </w:p>
    <w:p>
      <w:pPr>
        <w:sectPr>
          <w:pgSz w:w="11900" w:h="16840" w:orient="portrait"/>
          <w:cols w:equalWidth="0" w:num="1">
            <w:col w:w="10480"/>
          </w:cols>
          <w:pgMar w:left="660" w:top="554" w:right="760" w:bottom="380" w:gutter="0" w:footer="0" w:header="0"/>
          <w:type w:val="continuous"/>
        </w:sectPr>
      </w:pPr>
    </w:p>
    <w:bookmarkStart w:id="1" w:name="page2"/>
    <w:bookmarkEnd w:id="1"/>
    <w:p>
      <w:pPr>
        <w:ind w:left="440" w:right="460" w:firstLine="320"/>
        <w:spacing w:after="0" w:line="25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3235325</wp:posOffset>
            </wp:positionH>
            <wp:positionV relativeFrom="page">
              <wp:posOffset>459740</wp:posOffset>
            </wp:positionV>
            <wp:extent cx="10833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3310" cy="7620"/>
                    </a:xfrm>
                    <a:prstGeom prst="rect">
                      <a:avLst/>
                    </a:prstGeom>
                    <a:noFill/>
                  </pic:spPr>
                </pic:pic>
              </a:graphicData>
            </a:graphic>
          </wp:anchor>
        </w:drawing>
        <w:t>GigCapital8 Corp., a Cayman Islands exempted company (the “company”), is a newly organized Private-to-Public Equity (PPE) company, also known as a blank check company or special purpose acquisition company (“SPAC”), formed by an affiliate of the serial SPAC issuer GigCapital Global, for the purpose of entering into a merger, share exchange, asset acquisition, stock purchase, recapitalization, reorganization or similar business combination with one or more businesses, which we refer to throughout this prospectus as our “initial business combination.”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the aerospace and defense services, cybersecurity and secured communications and quantum-based command and control systems, and artificial intelligence and machine-learning industries.</w:t>
      </w:r>
    </w:p>
    <w:p>
      <w:pPr>
        <w:spacing w:after="0" w:line="165" w:lineRule="exact"/>
        <w:rPr>
          <w:sz w:val="20"/>
          <w:szCs w:val="20"/>
          <w:color w:val="auto"/>
        </w:rPr>
      </w:pPr>
    </w:p>
    <w:p>
      <w:pPr>
        <w:ind w:left="440" w:right="440" w:firstLine="320"/>
        <w:spacing w:after="0" w:line="252" w:lineRule="auto"/>
        <w:rPr>
          <w:sz w:val="20"/>
          <w:szCs w:val="20"/>
          <w:color w:val="auto"/>
        </w:rPr>
      </w:pPr>
      <w:r>
        <w:rPr>
          <w:rFonts w:ascii="Times New Roman" w:cs="Times New Roman" w:eastAsia="Times New Roman" w:hAnsi="Times New Roman"/>
          <w:sz w:val="15"/>
          <w:szCs w:val="15"/>
          <w:color w:val="auto"/>
        </w:rPr>
        <w:t>This is an initial public offering of our securities. We are offering 22,000,000 units at an offering price of $10.00 each. Each unit consists of one Class A ordinary share and one right to receive one-tenth of one Class A ordinary share upon the consummation of an initial business combination. Each ten rights entitle the holder thereof to receive one Class A ordinary share upon the consummation of our business combination. We will not issue fractional shares upon the conversion of the rights. As a result, you must hold rights in multiples of ten in order to receive shares for all of your rights upon the consummation of a business combination. We refer herein to the units sold in this offering as our “public units,” and the components thereof as our “public shares” and “public rights,” respectively. We have granted D. Boral Capital LLC, the representative of the underwriters of this offering, a 45-day option to purchase up to an additional 3,300,000 units solely to cover over-allotments, if any.</w:t>
      </w:r>
    </w:p>
    <w:p>
      <w:pPr>
        <w:spacing w:after="0" w:line="162" w:lineRule="exact"/>
        <w:rPr>
          <w:sz w:val="20"/>
          <w:szCs w:val="20"/>
          <w:color w:val="auto"/>
        </w:rPr>
      </w:pPr>
    </w:p>
    <w:p>
      <w:pPr>
        <w:ind w:left="440" w:right="480" w:firstLine="320"/>
        <w:spacing w:after="0" w:line="249" w:lineRule="auto"/>
        <w:rPr>
          <w:sz w:val="20"/>
          <w:szCs w:val="20"/>
          <w:color w:val="auto"/>
        </w:rPr>
      </w:pPr>
      <w:r>
        <w:rPr>
          <w:rFonts w:ascii="Times New Roman" w:cs="Times New Roman" w:eastAsia="Times New Roman" w:hAnsi="Times New Roman"/>
          <w:sz w:val="15"/>
          <w:szCs w:val="15"/>
          <w:color w:val="auto"/>
        </w:rPr>
        <w:t>We will provide the purchasers of our public units, or our “public shareholders,” with the opportunity to redeem all or a portion of their public shares upon the completion of our initial business combination at a per -share price, payable in cash, equal to the aggregate amount then on deposit in the trust account described below as of two business days prior to consummation of the initial business combination, including interest earned on the funds held in the trust account (net of amounts withdrawn to fund our working capital requirements, subject to an annual limit of $1,000,000, and to pay our taxes, if any (“permitted withdrawals”)), divided by the number of then issued and outstanding public shares, subject to the limitations and on the conditions described herein. The amount in the trust account will initially be $10.00 per public share. We will have 24 months from the closing of this offering or until such earlier liquidation date as our board of directors may approve, to consummate an initial business combination, which we refer to herein as the completion window. If we anticipate that we may be unable to consummate our initial business combination within such 24- 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(less permitted withdrawals), divided by the number of then issued and outstanding public shares, subject to applicable law. If we are unable to complete our initial business combination within the completion window (or such later date as approved by our shareholders), or by such</w:t>
      </w:r>
    </w:p>
    <w:p>
      <w:pPr>
        <w:sectPr>
          <w:pgSz w:w="11900" w:h="16840" w:orient="portrait"/>
          <w:cols w:equalWidth="0" w:num="1">
            <w:col w:w="9020"/>
          </w:cols>
          <w:pgMar w:left="1440" w:top="914" w:right="1440" w:bottom="1440" w:gutter="0" w:footer="0" w:header="0"/>
        </w:sectPr>
      </w:pPr>
    </w:p>
    <w:bookmarkStart w:id="2" w:name="page3"/>
    <w:bookmarkEnd w:id="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7" w:lineRule="auto"/>
        <w:rPr>
          <w:sz w:val="20"/>
          <w:szCs w:val="20"/>
          <w:color w:val="auto"/>
        </w:rPr>
      </w:pPr>
      <w:r>
        <w:rPr>
          <w:rFonts w:ascii="Times New Roman" w:cs="Times New Roman" w:eastAsia="Times New Roman" w:hAnsi="Times New Roman"/>
          <w:sz w:val="15"/>
          <w:szCs w:val="15"/>
          <w:color w:val="auto"/>
        </w:rPr>
        <w:t xml:space="preserve">earlier liquidation date as our board of directors may approve, we will redeem 100% of the public shares at a per share price, payable in cash, equal to the aggregate amount then on deposit in the trust account, including interest earned thereon (less permitted withdrawals and up to $100,000 of interest income to pay dissolution expenses), divided by the number of then issued and outstanding public shares, subject to applicable law and certain conditions as further described herein. </w:t>
      </w: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Summary — The Offering — Redemption rights for public shareholders upon completion of our initial business combination</w:t>
      </w:r>
      <w:r>
        <w:rPr>
          <w:rFonts w:ascii="Times New Roman" w:cs="Times New Roman" w:eastAsia="Times New Roman" w:hAnsi="Times New Roman"/>
          <w:sz w:val="15"/>
          <w:szCs w:val="15"/>
          <w:b w:val="1"/>
          <w:bCs w:val="1"/>
          <w:color w:val="auto"/>
        </w:rPr>
        <w:t>” 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and “</w:t>
      </w:r>
      <w:r>
        <w:rPr>
          <w:rFonts w:ascii="Times New Roman" w:cs="Times New Roman" w:eastAsia="Times New Roman" w:hAnsi="Times New Roman"/>
          <w:sz w:val="15"/>
          <w:szCs w:val="15"/>
          <w:b w:val="1"/>
          <w:bCs w:val="1"/>
          <w:i w:val="1"/>
          <w:iCs w:val="1"/>
          <w:color w:val="auto"/>
        </w:rPr>
        <w:t>Summary — The Offering — Redemption of public shares and distribution and liquidation if no initial business combination</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for more information.</w:t>
      </w:r>
    </w:p>
    <w:p>
      <w:pPr>
        <w:spacing w:after="0" w:line="147" w:lineRule="exact"/>
        <w:rPr>
          <w:sz w:val="20"/>
          <w:szCs w:val="20"/>
          <w:color w:val="auto"/>
        </w:rPr>
      </w:pPr>
    </w:p>
    <w:p>
      <w:pPr>
        <w:ind w:left="460" w:right="100" w:firstLine="379"/>
        <w:spacing w:after="0" w:line="251" w:lineRule="auto"/>
        <w:rPr>
          <w:sz w:val="20"/>
          <w:szCs w:val="20"/>
          <w:color w:val="auto"/>
        </w:rPr>
      </w:pPr>
      <w:r>
        <w:rPr>
          <w:rFonts w:ascii="Times New Roman" w:cs="Times New Roman" w:eastAsia="Times New Roman" w:hAnsi="Times New Roman"/>
          <w:sz w:val="15"/>
          <w:szCs w:val="15"/>
          <w:color w:val="auto"/>
        </w:rPr>
        <w:t xml:space="preserve">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“group”(as defined under Section 13 of the Securities Exchange Act of 1934, as amended (the “Exchange Act”), will be restricted from redeeming its shares with respect to more than an aggregate of 15% of the shares sold in this offering without our prior consent. However, we would not be restricting our shareholders’ ability to vote all of their shares (including all shares held by those shareholders that hold more than 15% of the shares sold in this offering) for or against our initial business combination. </w:t>
      </w: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Summary—The Offering— Limitation on redemption rights of shareholders holding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more than 15% of the public shares sold in this offering if we hold a shareholder vote</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for further discussion on certain limitations 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redemption rights.</w:t>
      </w:r>
    </w:p>
    <w:p>
      <w:pPr>
        <w:spacing w:after="0" w:line="164" w:lineRule="exact"/>
        <w:rPr>
          <w:sz w:val="20"/>
          <w:szCs w:val="20"/>
          <w:color w:val="auto"/>
        </w:rPr>
      </w:pPr>
    </w:p>
    <w:p>
      <w:pPr>
        <w:ind w:left="460" w:right="60" w:firstLine="379"/>
        <w:spacing w:after="0" w:line="250" w:lineRule="auto"/>
        <w:rPr>
          <w:sz w:val="20"/>
          <w:szCs w:val="20"/>
          <w:color w:val="auto"/>
        </w:rPr>
      </w:pPr>
      <w:r>
        <w:rPr>
          <w:rFonts w:ascii="Times New Roman" w:cs="Times New Roman" w:eastAsia="Times New Roman" w:hAnsi="Times New Roman"/>
          <w:sz w:val="15"/>
          <w:szCs w:val="15"/>
          <w:color w:val="auto"/>
        </w:rPr>
        <w:t>Our sponsor, GigAcquisitions8 Corp. which is owned by two of our directors, Dr. Avi S. Katz and Dr. Raluca Dinu (ornon-affiliated investors to which our sponsor assigns this subscription as described below) together with four of our other directors, James Greene, Luis Machuca, Bryan Timm and Raanan Horowitz, and non-affiliated Lynrock Lake Master Fund LP (“Lynrock”) will subscribe pursuant to a unit purchase agreement (the “Unit Purchase Agreement”) to purchase an aggregate of 95,200 private placement units (including if the underwriters’ over-allotment option is exercised in full), at a price of $ 9.7374 per unit, for an aggregate purchase price of $927,000 in a private placement that will close simultaneously with the closing of this offering. Each unit sold in this private placement consists of one Class A ordinary share and one right to receive one-tenth of one Class A ordinary share upon the consummation of an initial business combination, as described in more detail in this prospectus. We refer to these units throughout this prospectus as “private placement units,” the Class A ordinary shares included in the units as “private placement shares” and the share rights included in such units as “private placement rights.” The sponsor reserves the right to allocate participation in the private placement for the 95,200 private placement units to some non-affiliated investors in connection with the completion of this offering in exchange for interests in our founder shares (as defined below). The private placement units are identical to the public units sold in this offering, subject to certain limited exceptions as described in this prospectus.</w:t>
      </w:r>
    </w:p>
    <w:p>
      <w:pPr>
        <w:spacing w:after="0" w:line="167" w:lineRule="exact"/>
        <w:rPr>
          <w:sz w:val="20"/>
          <w:szCs w:val="20"/>
          <w:color w:val="auto"/>
        </w:rPr>
      </w:pPr>
    </w:p>
    <w:p>
      <w:pPr>
        <w:ind w:left="460" w:right="40" w:firstLine="379"/>
        <w:spacing w:after="0" w:line="250" w:lineRule="auto"/>
        <w:rPr>
          <w:sz w:val="20"/>
          <w:szCs w:val="20"/>
          <w:color w:val="auto"/>
        </w:rPr>
      </w:pPr>
      <w:r>
        <w:rPr>
          <w:rFonts w:ascii="Times New Roman" w:cs="Times New Roman" w:eastAsia="Times New Roman" w:hAnsi="Times New Roman"/>
          <w:sz w:val="15"/>
          <w:szCs w:val="15"/>
          <w:color w:val="auto"/>
        </w:rPr>
        <w:t xml:space="preserve">At our formation on June 30, 2025, one Class B ordinary share that was allotted to Harneys Fiduciary (Cayman) Limited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As a result, as of the date of this prospectus, our sponsor has 7,850,229 Class B ordinary shares, which our sponsor can transfer to permitted transferees as set forth in the subscription agreement and the letter agreement to be executed at the time of the closing of this offering. We refer to such 7,850,229 Class B ordinary shares currently held by our sponsor throughout this prospectus as “founder shares.” </w:t>
      </w: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Summary— The Offering— Sponsor’s Securities and Compensation”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further discussion on sponsor’s and our affiliates’ securities and compensation. </w:t>
      </w:r>
      <w:r>
        <w:rPr>
          <w:rFonts w:ascii="Times New Roman" w:cs="Times New Roman" w:eastAsia="Times New Roman" w:hAnsi="Times New Roman"/>
          <w:sz w:val="15"/>
          <w:szCs w:val="15"/>
          <w:color w:val="auto"/>
        </w:rPr>
        <w:t>The proceeds from the sale of the founder shares will not be placed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trust account. Prior to the completion of our initial business combination, only holders of our Class B ordinary shares will be entitled to vote on the election of directors. Our sponsor intends at the time of this offering to sell 375,397 founder shares in the aggregate to Messrs. Greene, Machuca, Timm and Horowitz at an aggregate price of $9,244, and 1,416,665 founder shares to</w:t>
      </w:r>
    </w:p>
    <w:p>
      <w:pPr>
        <w:sectPr>
          <w:pgSz w:w="11900" w:h="16840" w:orient="portrait"/>
          <w:cols w:equalWidth="0" w:num="1">
            <w:col w:w="10120"/>
          </w:cols>
          <w:pgMar w:left="660" w:top="874" w:right="1120" w:bottom="1440" w:gutter="0" w:footer="0" w:header="0"/>
        </w:sectPr>
      </w:pPr>
    </w:p>
    <w:bookmarkStart w:id="3" w:name="page4"/>
    <w:bookmarkEnd w:id="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spacing w:after="0" w:line="256" w:lineRule="auto"/>
        <w:rPr>
          <w:sz w:val="20"/>
          <w:szCs w:val="20"/>
          <w:color w:val="auto"/>
        </w:rPr>
      </w:pPr>
      <w:r>
        <w:rPr>
          <w:rFonts w:ascii="Times New Roman" w:cs="Times New Roman" w:eastAsia="Times New Roman" w:hAnsi="Times New Roman"/>
          <w:sz w:val="15"/>
          <w:szCs w:val="15"/>
          <w:color w:val="auto"/>
        </w:rPr>
        <w:t>non-affiliated Lynrock at an aggregate price of $13,130, thus reducing the price paid by our sponsor for the 6,058,167 founder shares which it is retaining to $2,626, or $0.000434 per share. 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158" w:lineRule="exact"/>
        <w:rPr>
          <w:sz w:val="20"/>
          <w:szCs w:val="20"/>
          <w:color w:val="auto"/>
        </w:rPr>
      </w:pPr>
    </w:p>
    <w:p>
      <w:pPr>
        <w:ind w:left="460" w:right="80" w:firstLine="379"/>
        <w:spacing w:after="0" w:line="252" w:lineRule="auto"/>
        <w:rPr>
          <w:sz w:val="20"/>
          <w:szCs w:val="20"/>
          <w:color w:val="auto"/>
        </w:rPr>
      </w:pPr>
      <w:r>
        <w:rPr>
          <w:rFonts w:ascii="Times New Roman" w:cs="Times New Roman" w:eastAsia="Times New Roman" w:hAnsi="Times New Roman"/>
          <w:sz w:val="15"/>
          <w:szCs w:val="15"/>
          <w:color w:val="auto"/>
        </w:rPr>
        <w:t>Eight groups of institutional accredited investors (none of which are affiliated with any member of our management, our sponsor or any other investor), which we refer to as the “non- managing investors” throughout this prospectus,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 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 We refer to the 2,964,203 Class B ordinary shares being issued to the non-managing investors throughout this prospectus as “private investor shares.”</w:t>
      </w:r>
    </w:p>
    <w:p>
      <w:pPr>
        <w:spacing w:after="0" w:line="162" w:lineRule="exact"/>
        <w:rPr>
          <w:sz w:val="20"/>
          <w:szCs w:val="20"/>
          <w:color w:val="auto"/>
        </w:rPr>
      </w:pPr>
    </w:p>
    <w:p>
      <w:pPr>
        <w:ind w:left="460" w:firstLine="379"/>
        <w:spacing w:after="0" w:line="249" w:lineRule="auto"/>
        <w:rPr>
          <w:sz w:val="20"/>
          <w:szCs w:val="20"/>
          <w:color w:val="auto"/>
        </w:rPr>
      </w:pPr>
      <w:r>
        <w:rPr>
          <w:rFonts w:ascii="Times New Roman" w:cs="Times New Roman" w:eastAsia="Times New Roman" w:hAnsi="Times New Roman"/>
          <w:sz w:val="15"/>
          <w:szCs w:val="15"/>
          <w:color w:val="auto"/>
        </w:rPr>
        <w:t xml:space="preserve">The Class B ordinary shares will automatically convert into Class A ordinary shares at the time of our initial business combination, or at any time prior thereto at the option of the holder thereof, on a one- for-one basis, subject to adjustment for share sub-divisions, share capitalizations, reorganizations, recapitalizations and the like. Because our sponsor, following the sale of founder shares to the four other directors and Lynrock, acquired the retained founder shares at a nominal price of $0.000434 per Class B ordinary share, Messrs. Greene, Machuca, Timm and Horowitz will acquire founder shares from our sponsor at the time of this offering at a nominal price of $0.02462 per Class B ordinary share, Lynrock will acquire founder shares from our sponsor at the time of this offering at a nominal purchase price of $0.00927 per share, and the non-managing investors will acquire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 -dilution rights of our Class B ordinary shares that may result in an issuance of Class A ordinary shares on a greater than one-to-one basis upon conversion. In addition, because our insiders will acquire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w:t>
      </w:r>
      <w:r>
        <w:rPr>
          <w:rFonts w:ascii="Times New Roman" w:cs="Times New Roman" w:eastAsia="Times New Roman" w:hAnsi="Times New Roman"/>
          <w:sz w:val="15"/>
          <w:szCs w:val="15"/>
          <w:b w:val="1"/>
          <w:bCs w:val="1"/>
          <w:color w:val="auto"/>
        </w:rPr>
        <w:t>See the section titled “</w:t>
      </w:r>
      <w:r>
        <w:rPr>
          <w:rFonts w:ascii="Times New Roman" w:cs="Times New Roman" w:eastAsia="Times New Roman" w:hAnsi="Times New Roman"/>
          <w:sz w:val="15"/>
          <w:szCs w:val="15"/>
          <w:b w:val="1"/>
          <w:bCs w:val="1"/>
          <w:i w:val="1"/>
          <w:iCs w:val="1"/>
          <w:color w:val="auto"/>
        </w:rPr>
        <w:t>Risk</w:t>
      </w:r>
    </w:p>
    <w:p>
      <w:pPr>
        <w:spacing w:after="0" w:line="1" w:lineRule="exact"/>
        <w:rPr>
          <w:sz w:val="20"/>
          <w:szCs w:val="20"/>
          <w:color w:val="auto"/>
        </w:rPr>
      </w:pPr>
    </w:p>
    <w:p>
      <w:pPr>
        <w:ind w:left="460" w:right="20"/>
        <w:spacing w:after="0" w:line="248" w:lineRule="auto"/>
        <w:rPr>
          <w:sz w:val="20"/>
          <w:szCs w:val="20"/>
          <w:color w:val="auto"/>
        </w:rPr>
      </w:pPr>
      <w:r>
        <w:rPr>
          <w:rFonts w:ascii="Times New Roman" w:cs="Times New Roman" w:eastAsia="Times New Roman" w:hAnsi="Times New Roman"/>
          <w:sz w:val="15"/>
          <w:szCs w:val="15"/>
          <w:b w:val="1"/>
          <w:bCs w:val="1"/>
          <w:i w:val="1"/>
          <w:iCs w:val="1"/>
          <w:color w:val="auto"/>
        </w:rPr>
        <w:t>Factors — Risks Relating to our Securities — The nominal purchase price paid by our sponsor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In the case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that additional Class A ordinary shares, or equity-linked securities (as described herein), are issued or deemed issued in excess of the amounts issued in this offering and related to or in connection with the closing of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as described below), (ii) plus all Class A ordinary shares and equity- linked securities issued or deemed issued in connection with our initial business combination (excluding any shares or equity- linked securities issued, or to be issued, to any seller in the initial business combination and any private placement -equivalent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w:t>
      </w:r>
    </w:p>
    <w:p>
      <w:pPr>
        <w:sectPr>
          <w:pgSz w:w="11900" w:h="16840" w:orient="portrait"/>
          <w:cols w:equalWidth="0" w:num="1">
            <w:col w:w="10140"/>
          </w:cols>
          <w:pgMar w:left="660" w:top="874" w:right="1100" w:bottom="1440" w:gutter="0" w:footer="0" w:header="0"/>
        </w:sectPr>
      </w:pPr>
    </w:p>
    <w:bookmarkStart w:id="4" w:name="page5"/>
    <w:bookmarkEnd w:id="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49" w:lineRule="auto"/>
        <w:rPr>
          <w:sz w:val="20"/>
          <w:szCs w:val="20"/>
          <w:color w:val="auto"/>
        </w:rPr>
      </w:pPr>
      <w:r>
        <w:rPr>
          <w:rFonts w:ascii="Times New Roman" w:cs="Times New Roman" w:eastAsia="Times New Roman" w:hAnsi="Times New Roman"/>
          <w:sz w:val="15"/>
          <w:szCs w:val="15"/>
          <w:color w:val="auto"/>
        </w:rPr>
        <w:t>conversion of founder shares will never occur on a less thanone-for-one basis. If we increase or decrease the size of this offering, we will effect a share capitalization or a share repurchase or redemption or other appropriate mechanism, as applicable, with respect to our Class B ordinary shares immediately prior to the consummation of this offering in such amount as to maintain the ownership of founder shares by our insiders, on an as-converted basis, at 30% of our issued and outstanding ordinary shares upon the consummation of this offering. Prior to our initial business combination, only holders of our Class B ordinary shares will have the right to vote on the appointment and removal of directors. Holders of our Class A ordinary shares will not be entitled to vote on the appointment or removal of directors during such time. These provisions of our amended and restated memorandum and articles of association may only be amended by a special resolution passed by a majority of at least 90% (or, where such amendment is proposed in respect of the consummation of our initial business combination, two-thirds) of our ordinary shares voting at the applicable general meeting. With respect to any other matter submitted to a vote of our shareholders, including any vote in connection with our initial business combination, except as required by applicable law or stock exchange rule, holders of our Class A ordinary shares and holders of our Class B ordinary shares will vote together as a single class, with each share entitling the holder to one vote. In addition, to continue the company in a jurisdiction outside of the Cayman Islands, including the adoption of the organizational documents for such jurisdiction, our board of directors will be able to approve such continuation and organizational documents without the vote of any holders of our Class A ordinary shares and Class B ordinary shares. Collectively, our insiders’ aggregate holdings of 5,599,050 Class B ordinary shares and 45,200 private placement shares will represent 17.8% of all ordinary shares outstanding upon completion of this offering, assuming that the underwriters’ over-allotment option is not exercised. In addition, together with the non-managing investors’ 2,577,522 Class B ordinary shares and 242,475 private placement shares, the total founder shares, private investor shares and private placement shares of the insiders and the non-managing investors will represent 30.7% of all 31,741,483 ordinary shares outstanding upon completion of this offering, assuming that the underwriters’ over-allotment option is not exercised.</w:t>
      </w:r>
    </w:p>
    <w:p>
      <w:pPr>
        <w:spacing w:after="0" w:line="146" w:lineRule="exact"/>
        <w:rPr>
          <w:sz w:val="20"/>
          <w:szCs w:val="20"/>
          <w:color w:val="auto"/>
        </w:rPr>
      </w:pPr>
    </w:p>
    <w:p>
      <w:pPr>
        <w:ind w:left="460" w:right="40" w:firstLine="379"/>
        <w:spacing w:after="0" w:line="256" w:lineRule="auto"/>
        <w:rPr>
          <w:sz w:val="20"/>
          <w:szCs w:val="20"/>
          <w:color w:val="auto"/>
        </w:rPr>
      </w:pP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Summary—Sponsor</w:t>
      </w:r>
      <w:r>
        <w:rPr>
          <w:rFonts w:ascii="Times New Roman" w:cs="Times New Roman" w:eastAsia="Times New Roman" w:hAnsi="Times New Roman"/>
          <w:sz w:val="15"/>
          <w:szCs w:val="15"/>
          <w:b w:val="1"/>
          <w:bCs w:val="1"/>
          <w:color w:val="auto"/>
        </w:rPr>
        <w:t xml:space="preserve"> ” for further discussion on our sponsor’s securities and compensation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b w:val="1"/>
          <w:bCs w:val="1"/>
          <w:i w:val="1"/>
          <w:iCs w:val="1"/>
          <w:color w:val="auto"/>
        </w:rPr>
        <w:t>Summary —The Offering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Transfer restrictions applicable to founder shares, private investor shares, private placement shares and private placement rights (and shares into which the rights convert)</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b w:val="1"/>
          <w:bCs w:val="1"/>
          <w:i w:val="1"/>
          <w:iCs w:val="1"/>
          <w:color w:val="auto"/>
        </w:rPr>
        <w:t>Summary —The Offering—Conversion of founder shares and private investor shares and anti -dilution rights</w:t>
      </w:r>
      <w:r>
        <w:rPr>
          <w:rFonts w:ascii="Times New Roman" w:cs="Times New Roman" w:eastAsia="Times New Roman" w:hAnsi="Times New Roman"/>
          <w:sz w:val="15"/>
          <w:szCs w:val="15"/>
          <w:b w:val="1"/>
          <w:bCs w:val="1"/>
          <w:color w:val="auto"/>
        </w:rPr>
        <w:t>” 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xml:space="preserve"> ] “</w:t>
      </w:r>
      <w:r>
        <w:rPr>
          <w:rFonts w:ascii="Times New Roman" w:cs="Times New Roman" w:eastAsia="Times New Roman" w:hAnsi="Times New Roman"/>
          <w:sz w:val="15"/>
          <w:szCs w:val="15"/>
          <w:b w:val="1"/>
          <w:bCs w:val="1"/>
          <w:i w:val="1"/>
          <w:iCs w:val="1"/>
          <w:color w:val="auto"/>
        </w:rPr>
        <w:t>Summary — The Offering —Election of directors; Voting rights</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b w:val="1"/>
          <w:bCs w:val="1"/>
          <w:i w:val="1"/>
          <w:iCs w:val="1"/>
          <w:color w:val="auto"/>
        </w:rPr>
        <w:t>Risk Factors —Risks Relating to our Securities—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nominal purchase price paid by our insiders for the founder shares and paid by the non-managing investors for the private investor shares, in addition to the sale of private placement units to the insiders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and “</w:t>
      </w:r>
      <w:r>
        <w:rPr>
          <w:rFonts w:ascii="Times New Roman" w:cs="Times New Roman" w:eastAsia="Times New Roman" w:hAnsi="Times New Roman"/>
          <w:sz w:val="15"/>
          <w:szCs w:val="15"/>
          <w:b w:val="1"/>
          <w:bCs w:val="1"/>
          <w:i w:val="1"/>
          <w:iCs w:val="1"/>
          <w:color w:val="auto"/>
        </w:rPr>
        <w:t xml:space="preserve"> General Risk Factors — 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and “</w:t>
      </w:r>
      <w:r>
        <w:rPr>
          <w:rFonts w:ascii="Times New Roman" w:cs="Times New Roman" w:eastAsia="Times New Roman" w:hAnsi="Times New Roman"/>
          <w:sz w:val="15"/>
          <w:szCs w:val="15"/>
          <w:b w:val="1"/>
          <w:bCs w:val="1"/>
          <w:i w:val="1"/>
          <w:iCs w:val="1"/>
          <w:color w:val="auto"/>
        </w:rPr>
        <w:t>Dilution</w:t>
      </w:r>
      <w:r>
        <w:rPr>
          <w:rFonts w:ascii="Times New Roman" w:cs="Times New Roman" w:eastAsia="Times New Roman" w:hAnsi="Times New Roman"/>
          <w:sz w:val="15"/>
          <w:szCs w:val="15"/>
          <w:b w:val="1"/>
          <w:bCs w:val="1"/>
          <w:color w:val="auto"/>
        </w:rPr>
        <w:t>” on page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w:t>
      </w:r>
    </w:p>
    <w:p>
      <w:pPr>
        <w:spacing w:after="0" w:line="328"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None of the non-managing investors have currently expressed to us an interest in purchasing any of the public units in this offering and neither us nor the representatives have had discussions with any non- 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 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 managing investors, the post-offering trading volume, volatility and liquidity of our securities may be reduced relative to what they would have been had the units been more widely offered and sold</w:t>
      </w:r>
    </w:p>
    <w:p>
      <w:pPr>
        <w:sectPr>
          <w:pgSz w:w="11900" w:h="16840" w:orient="portrait"/>
          <w:cols w:equalWidth="0" w:num="1">
            <w:col w:w="10120"/>
          </w:cols>
          <w:pgMar w:left="660" w:top="874" w:right="1120" w:bottom="1440" w:gutter="0" w:footer="0" w:header="0"/>
        </w:sectPr>
      </w:pPr>
    </w:p>
    <w:bookmarkStart w:id="5" w:name="page6"/>
    <w:bookmarkEnd w:id="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49" w:lineRule="auto"/>
        <w:rPr>
          <w:sz w:val="20"/>
          <w:szCs w:val="20"/>
          <w:color w:val="auto"/>
        </w:rPr>
      </w:pPr>
      <w:r>
        <w:rPr>
          <w:rFonts w:ascii="Times New Roman" w:cs="Times New Roman" w:eastAsia="Times New Roman" w:hAnsi="Times New Roman"/>
          <w:sz w:val="15"/>
          <w:szCs w:val="15"/>
          <w:color w:val="auto"/>
        </w:rPr>
        <w:t xml:space="preserve">to other public investors. We do not expect any potential purchases of units by thenon -managing investors to negatively impact our ability to meet the listing eligibility requirements of the Nasdaq Global Market tier of The Nasdaq Stock Market LLC (“Nasdaq”) .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w:t>
      </w:r>
      <w:r>
        <w:rPr>
          <w:rFonts w:ascii="Times New Roman" w:cs="Times New Roman" w:eastAsia="Times New Roman" w:hAnsi="Times New Roman"/>
          <w:sz w:val="15"/>
          <w:szCs w:val="15"/>
          <w:b w:val="1"/>
          <w:bCs w:val="1"/>
          <w:color w:val="auto"/>
        </w:rPr>
        <w:t>If the non-managing investors that purchase public units otherwise hold a substantial number of our public units, then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w:t>
      </w:r>
    </w:p>
    <w:p>
      <w:pPr>
        <w:spacing w:after="0" w:line="321"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b w:val="1"/>
          <w:bCs w:val="1"/>
          <w:color w:val="auto"/>
        </w:rPr>
        <w:t>As more fully discussed in “</w:t>
      </w:r>
      <w:r>
        <w:rPr>
          <w:rFonts w:ascii="Times New Roman" w:cs="Times New Roman" w:eastAsia="Times New Roman" w:hAnsi="Times New Roman"/>
          <w:sz w:val="15"/>
          <w:szCs w:val="15"/>
          <w:b w:val="1"/>
          <w:bCs w:val="1"/>
          <w:i w:val="1"/>
          <w:iCs w:val="1"/>
          <w:color w:val="auto"/>
        </w:rPr>
        <w:t>Management—Conflicts of Interest</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xml:space="preserve">],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w:t>
      </w:r>
      <w:r>
        <w:rPr>
          <w:rFonts w:ascii="Times New Roman" w:cs="Times New Roman" w:eastAsia="Times New Roman" w:hAnsi="Times New Roman"/>
          <w:sz w:val="15"/>
          <w:szCs w:val="15"/>
          <w:color w:val="auto"/>
        </w:rPr>
        <w:t>The low price that our sponsor, executive officers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directors (directly or indirectly) paid for the founder shares creates an incentive whereby our sponsor, officers and directors could potentially make a substantial profit even if we select an acquisition target that subsequently declines in value and is unprofitable for public shareholders. If we are unable to complete our initial business combination within 24 months from the closing of this offering, or by such earlier liquidation date as our board of directors may approve, the founder shares and private placement units held by our insiders may expire worthless, except to the extent they receive liquidating distributions from assets outside the trust account, which could create an incentive for our sponsor, executive officers and directors to complete a transaction even if we select an acquisition target that subsequently declines in value and is unprofitable for public shareholders.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 Additionally, commencing on the date on which our securities are listed on Nasdaq, we will pay an affiliate of our sponsor in an amount equal to $30,000 per month for office space, utilities and secretarial and administrative support made available to us, as described elsewhere in this prospectus. Furthermore, we will pay our Chief Financial Officer up to $15,000 per month for her services to us. Upon consummation of this offering, we will repay a $100,000 loan made to us by our sponsor to cover offering-related and organizational expenses. In the event that following this offering we obtain working capital loans from our sponsor to finance transaction costs related to our initial business combination, up to $1,500,000 of such loans may be convertible into units of the post-</w:t>
      </w:r>
    </w:p>
    <w:p>
      <w:pPr>
        <w:spacing w:after="0" w:line="5" w:lineRule="exact"/>
        <w:rPr>
          <w:sz w:val="20"/>
          <w:szCs w:val="20"/>
          <w:color w:val="auto"/>
        </w:rPr>
      </w:pPr>
    </w:p>
    <w:p>
      <w:pPr>
        <w:ind w:left="460" w:right="140"/>
        <w:spacing w:after="0" w:line="254" w:lineRule="auto"/>
        <w:rPr>
          <w:sz w:val="20"/>
          <w:szCs w:val="20"/>
          <w:color w:val="auto"/>
        </w:rPr>
      </w:pPr>
      <w:r>
        <w:rPr>
          <w:rFonts w:ascii="Times New Roman" w:cs="Times New Roman" w:eastAsia="Times New Roman" w:hAnsi="Times New Roman"/>
          <w:sz w:val="15"/>
          <w:szCs w:val="15"/>
          <w:color w:val="auto"/>
        </w:rPr>
        <w:t>business combination entity at a price of $10.00 per unit at the option of our sponsor. Additionally, our sponsor, our officers and directors or their affiliates may be paid finder’s fees, advisory fees, consulting fees or success fees in order to effectuate the completion of our initial business combination. Additionally, following</w:t>
      </w:r>
    </w:p>
    <w:p>
      <w:pPr>
        <w:sectPr>
          <w:pgSz w:w="11900" w:h="16840" w:orient="portrait"/>
          <w:cols w:equalWidth="0" w:num="1">
            <w:col w:w="10140"/>
          </w:cols>
          <w:pgMar w:left="660" w:top="874" w:right="1100" w:bottom="1440" w:gutter="0" w:footer="0" w:header="0"/>
        </w:sectPr>
      </w:pPr>
    </w:p>
    <w:bookmarkStart w:id="6" w:name="page7"/>
    <w:bookmarkEnd w:id="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80"/>
        <w:spacing w:after="0" w:line="250" w:lineRule="auto"/>
        <w:rPr>
          <w:sz w:val="20"/>
          <w:szCs w:val="20"/>
          <w:color w:val="auto"/>
        </w:rPr>
      </w:pPr>
      <w:r>
        <w:rPr>
          <w:rFonts w:ascii="Times New Roman" w:cs="Times New Roman" w:eastAsia="Times New Roman" w:hAnsi="Times New Roman"/>
          <w:sz w:val="15"/>
          <w:szCs w:val="15"/>
          <w:color w:val="auto"/>
        </w:rPr>
        <w:t xml:space="preserve">consummation of a business combination, members of our management team will be entitled to reimbursement for anyout-of-pocket expenses related to identifying, investigating and completing an initial business combination. As a result, there may be actual or potential material conflicts of interest between members of our management team, our sponsor and its affiliates on one hand, and purchasers in this offering on the other. </w:t>
      </w:r>
      <w:r>
        <w:rPr>
          <w:rFonts w:ascii="Times New Roman" w:cs="Times New Roman" w:eastAsia="Times New Roman" w:hAnsi="Times New Roman"/>
          <w:sz w:val="15"/>
          <w:szCs w:val="15"/>
          <w:b w:val="1"/>
          <w:bCs w:val="1"/>
          <w:color w:val="auto"/>
        </w:rPr>
        <w:t>See the sections titled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Prospectus Summary — Our Sponsor</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xml:space="preserve">] for further discussion on our sponsor’s and affiliate’s compensation;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Proposed</w:t>
      </w:r>
    </w:p>
    <w:p>
      <w:pPr>
        <w:spacing w:after="0" w:line="2" w:lineRule="exact"/>
        <w:rPr>
          <w:sz w:val="20"/>
          <w:szCs w:val="20"/>
          <w:color w:val="auto"/>
        </w:rPr>
      </w:pPr>
    </w:p>
    <w:p>
      <w:pPr>
        <w:ind w:left="460" w:right="500"/>
        <w:spacing w:after="0" w:line="250" w:lineRule="auto"/>
        <w:rPr>
          <w:sz w:val="20"/>
          <w:szCs w:val="20"/>
          <w:color w:val="auto"/>
        </w:rPr>
      </w:pPr>
      <w:r>
        <w:rPr>
          <w:rFonts w:ascii="Times New Roman" w:cs="Times New Roman" w:eastAsia="Times New Roman" w:hAnsi="Times New Roman"/>
          <w:sz w:val="15"/>
          <w:szCs w:val="15"/>
          <w:b w:val="1"/>
          <w:bCs w:val="1"/>
          <w:i w:val="1"/>
          <w:iCs w:val="1"/>
          <w:color w:val="auto"/>
        </w:rPr>
        <w:t xml:space="preserve">Business — Our Business Combination Process — Sources of Target Businesses” </w:t>
      </w:r>
      <w:r>
        <w:rPr>
          <w:rFonts w:ascii="Times New Roman" w:cs="Times New Roman" w:eastAsia="Times New Roman" w:hAnsi="Times New Roman"/>
          <w:sz w:val="15"/>
          <w:szCs w:val="15"/>
          <w:b w:val="1"/>
          <w:bCs w:val="1"/>
          <w:color w:val="auto"/>
        </w:rPr>
        <w:t>on page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and</w:t>
      </w:r>
      <w:r>
        <w:rPr>
          <w:rFonts w:ascii="Times New Roman" w:cs="Times New Roman" w:eastAsia="Times New Roman" w:hAnsi="Times New Roman"/>
          <w:sz w:val="15"/>
          <w:szCs w:val="15"/>
          <w:b w:val="1"/>
          <w:bCs w:val="1"/>
          <w:i w:val="1"/>
          <w:iCs w:val="1"/>
          <w:color w:val="auto"/>
        </w:rPr>
        <w:t xml:space="preserve"> “Certain Relationships and Related Party Transactions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on page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for more information. For more details on related risks, see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Risk Factors — Risks Relating to our Search for, and</w:t>
      </w:r>
    </w:p>
    <w:p>
      <w:pPr>
        <w:ind w:left="460" w:right="120"/>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Consummation of or Inability to Consummate, a Business Combination — We may engage in our initial business combination with one or more target businesses that have relationships with entities that may be affiliated with our sponsor, executive officers or directors, which may raise potential conflicts of interest.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on page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Risk Factors — Risks Relating to Our Search for, and Consummation of or Inability to Consummate, a Business</w:t>
      </w:r>
    </w:p>
    <w:p>
      <w:pPr>
        <w:spacing w:after="0" w:line="2" w:lineRule="exact"/>
        <w:rPr>
          <w:sz w:val="20"/>
          <w:szCs w:val="20"/>
          <w:color w:val="auto"/>
        </w:rPr>
      </w:pPr>
    </w:p>
    <w:p>
      <w:pPr>
        <w:ind w:left="460" w:right="140"/>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Combination — “We may engage in our initial business combination with one or more target businesses that have relationships with entities that may be affiliated with our sponsor, executive officers or directors, which may raise potential conflicts of interest.” </w:t>
      </w:r>
      <w:r>
        <w:rPr>
          <w:rFonts w:ascii="Times New Roman" w:cs="Times New Roman" w:eastAsia="Times New Roman" w:hAnsi="Times New Roman"/>
          <w:sz w:val="15"/>
          <w:szCs w:val="15"/>
          <w:b w:val="1"/>
          <w:bCs w:val="1"/>
          <w:color w:val="auto"/>
        </w:rPr>
        <w:t>on page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“Risk Factors — Risks</w:t>
      </w:r>
    </w:p>
    <w:p>
      <w:pPr>
        <w:spacing w:after="0" w:line="1" w:lineRule="exact"/>
        <w:rPr>
          <w:sz w:val="20"/>
          <w:szCs w:val="20"/>
          <w:color w:val="auto"/>
        </w:rPr>
      </w:pPr>
    </w:p>
    <w:p>
      <w:pPr>
        <w:ind w:left="460" w:right="140"/>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Relating to our Search for, and Consummation of or Inability to Consummate, a Business Combination —We are not required to obtain an opinion from an independent investment banking firm or another independent entity, and consequently, an independent source may not confirm that the price we are paying for the business is fair to our shareholders from a financial point of view.” </w:t>
      </w:r>
      <w:r>
        <w:rPr>
          <w:rFonts w:ascii="Times New Roman" w:cs="Times New Roman" w:eastAsia="Times New Roman" w:hAnsi="Times New Roman"/>
          <w:sz w:val="15"/>
          <w:szCs w:val="15"/>
          <w:b w:val="1"/>
          <w:bCs w:val="1"/>
          <w:color w:val="auto"/>
        </w:rPr>
        <w:t>on page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Risk Factors — Risks Relating to Our</w:t>
      </w:r>
    </w:p>
    <w:p>
      <w:pPr>
        <w:spacing w:after="0" w:line="2" w:lineRule="exact"/>
        <w:rPr>
          <w:sz w:val="20"/>
          <w:szCs w:val="20"/>
          <w:color w:val="auto"/>
        </w:rPr>
      </w:pPr>
    </w:p>
    <w:p>
      <w:pPr>
        <w:ind w:left="460"/>
        <w:spacing w:after="0" w:line="249" w:lineRule="auto"/>
        <w:rPr>
          <w:sz w:val="20"/>
          <w:szCs w:val="20"/>
          <w:color w:val="auto"/>
        </w:rPr>
      </w:pPr>
      <w:r>
        <w:rPr>
          <w:rFonts w:ascii="Times New Roman" w:cs="Times New Roman" w:eastAsia="Times New Roman" w:hAnsi="Times New Roman"/>
          <w:sz w:val="15"/>
          <w:szCs w:val="15"/>
          <w:b w:val="1"/>
          <w:bCs w:val="1"/>
          <w:i w:val="1"/>
          <w:iCs w:val="1"/>
          <w:color w:val="auto"/>
        </w:rPr>
        <w:t xml:space="preserve">Management Team — 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 </w:t>
      </w:r>
      <w:r>
        <w:rPr>
          <w:rFonts w:ascii="Times New Roman" w:cs="Times New Roman" w:eastAsia="Times New Roman" w:hAnsi="Times New Roman"/>
          <w:sz w:val="15"/>
          <w:szCs w:val="15"/>
          <w:b w:val="1"/>
          <w:bCs w:val="1"/>
          <w:color w:val="auto"/>
        </w:rPr>
        <w:t>on page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Risk Factors — Risks Relating to our Management Team— Our officers and directors will allocate their time to other businesses thereby causing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 xml:space="preserve">conflicts of interest in their determination as to how much time to devote to our affairs. This conflict of interest could have a negative impact on our ability to complete our initial business combination.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on page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Risk Factors — Risks Relating to Our Management Team — 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on page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We have until the date that is 24 months from the closing of this offering or until such earlier liquidation date as our board of directors may approve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(which interest shall be net of permitted withdrawals), divided by the number of then issued and outstanding public shares, subject to applicable law. If we are unable to complete our initial business combination within the 24-month period, we will redeem 100% of the public shares at a per share price, payable in cash, equal to the aggregate amount then on deposit in the trust account, including interest earned thereon (which interest shall be net of permitted withdrawals and up to $100,000 of interest income to pay liquidation expenses), divided by the number of then issued and outstanding public shares, which redemption will constitute full and complete payment for the public shares and completely extinguish public shareholders’ rights as shareholders (including the right to receive further liquidation or other distributions, if any), subject to our obligations under Cayman Islands law to provide for claims of creditors and subject to the other requirements of applicable law. The redemption rights will also include the requirement that any beneficial owner on whose behalf a redemption right is being exercised must identify itself in order to validly redeem its shares.</w:t>
      </w:r>
    </w:p>
    <w:p>
      <w:pPr>
        <w:spacing w:after="0" w:line="163" w:lineRule="exact"/>
        <w:rPr>
          <w:sz w:val="20"/>
          <w:szCs w:val="20"/>
          <w:color w:val="auto"/>
        </w:rPr>
      </w:pPr>
    </w:p>
    <w:p>
      <w:pPr>
        <w:jc w:val="both"/>
        <w:ind w:left="460" w:firstLine="379"/>
        <w:spacing w:after="0" w:line="265" w:lineRule="auto"/>
        <w:rPr>
          <w:sz w:val="20"/>
          <w:szCs w:val="20"/>
          <w:color w:val="auto"/>
        </w:rPr>
      </w:pPr>
      <w:r>
        <w:rPr>
          <w:rFonts w:ascii="Times New Roman" w:cs="Times New Roman" w:eastAsia="Times New Roman" w:hAnsi="Times New Roman"/>
          <w:sz w:val="15"/>
          <w:szCs w:val="15"/>
          <w:color w:val="auto"/>
        </w:rPr>
        <w:t>There is presently no public market for our public units, public shares or public rights. We intend to apply to list our public units on the Nasdaq, under the symbol “GIWWU” on or promptly after the date of this prospectus. We cannot guarantee that our securities will be approved for listing on Nasdaq. The public shares and the public</w:t>
      </w:r>
    </w:p>
    <w:p>
      <w:pPr>
        <w:sectPr>
          <w:pgSz w:w="11900" w:h="16840" w:orient="portrait"/>
          <w:cols w:equalWidth="0" w:num="1">
            <w:col w:w="10100"/>
          </w:cols>
          <w:pgMar w:left="660" w:top="874" w:right="1140" w:bottom="1440" w:gutter="0" w:footer="0" w:header="0"/>
        </w:sectPr>
      </w:pPr>
    </w:p>
    <w:bookmarkStart w:id="7" w:name="page8"/>
    <w:bookmarkEnd w:id="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5"/>
          <w:szCs w:val="15"/>
          <w:color w:val="auto"/>
        </w:rPr>
        <w:t>rights constituting the public units will begin separate trading on the 52nd day following the date of this prospectus, unless the underwriters determine that an earlier date is acceptable, and subject to our filing a Current Report on Form 8-K with the SEC containing an audited balance sheet of ours reflecting our receipt of the gross proceeds of this offering and issuing a press release announcing when such separate trading will begin. Once the securities comprising the public units begin separate trading, we expect that our public shares and public rights will be listed on Nasdaq under the symbols “GIW” and “GIWWR,” respectively.</w:t>
      </w:r>
    </w:p>
    <w:p>
      <w:pPr>
        <w:spacing w:after="0" w:line="154" w:lineRule="exact"/>
        <w:rPr>
          <w:sz w:val="20"/>
          <w:szCs w:val="20"/>
          <w:color w:val="auto"/>
        </w:rPr>
      </w:pPr>
    </w:p>
    <w:p>
      <w:pPr>
        <w:ind w:left="460" w:right="140" w:firstLine="379"/>
        <w:spacing w:after="0" w:line="26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We are an “emerging growth company” and a “smaller reporting company” under applicable federal securities laws and will be subject to reduced public company reporting requirements. Investing in our securities involves a high degree of risk. See “</w:t>
      </w:r>
      <w:hyperlink w:anchor="page71">
        <w:r>
          <w:rPr>
            <w:rFonts w:ascii="Times New Roman" w:cs="Times New Roman" w:eastAsia="Times New Roman" w:hAnsi="Times New Roman"/>
            <w:sz w:val="15"/>
            <w:szCs w:val="15"/>
            <w:b w:val="1"/>
            <w:bCs w:val="1"/>
            <w:u w:val="single" w:color="auto"/>
            <w:color w:val="0000EE"/>
          </w:rPr>
          <w:t>Risk Factors</w:t>
        </w:r>
      </w:hyperlink>
      <w:r>
        <w:rPr>
          <w:rFonts w:ascii="Times New Roman" w:cs="Times New Roman" w:eastAsia="Times New Roman" w:hAnsi="Times New Roman"/>
          <w:sz w:val="15"/>
          <w:szCs w:val="15"/>
          <w:b w:val="1"/>
          <w:bCs w:val="1"/>
          <w:color w:val="auto"/>
        </w:rPr>
        <w:t>” beginning on page 60 for a discussion of information that should be considered in connection with an investment in our securities. Investors will not be entitled to protections normally afforded to investors in Rule 419 blank check offerings.</w:t>
      </w:r>
    </w:p>
    <w:p>
      <w:pPr>
        <w:spacing w:after="0" w:line="150" w:lineRule="exact"/>
        <w:rPr>
          <w:sz w:val="20"/>
          <w:szCs w:val="20"/>
          <w:color w:val="auto"/>
        </w:rPr>
      </w:pPr>
    </w:p>
    <w:p>
      <w:pPr>
        <w:ind w:left="460" w:firstLine="379"/>
        <w:spacing w:after="0" w:line="289" w:lineRule="auto"/>
        <w:rPr>
          <w:sz w:val="20"/>
          <w:szCs w:val="20"/>
          <w:color w:val="auto"/>
        </w:rPr>
      </w:pPr>
      <w:r>
        <w:rPr>
          <w:rFonts w:ascii="Times New Roman" w:cs="Times New Roman" w:eastAsia="Times New Roman" w:hAnsi="Times New Roman"/>
          <w:sz w:val="15"/>
          <w:szCs w:val="15"/>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33" w:lineRule="exact"/>
        <w:rPr>
          <w:sz w:val="20"/>
          <w:szCs w:val="20"/>
          <w:color w:val="auto"/>
        </w:rPr>
      </w:pPr>
    </w:p>
    <w:p>
      <w:pPr>
        <w:ind w:left="460" w:right="560" w:firstLine="379"/>
        <w:spacing w:after="0" w:line="284" w:lineRule="auto"/>
        <w:rPr>
          <w:sz w:val="20"/>
          <w:szCs w:val="20"/>
          <w:color w:val="auto"/>
        </w:rPr>
      </w:pPr>
      <w:r>
        <w:rPr>
          <w:rFonts w:ascii="Times New Roman" w:cs="Times New Roman" w:eastAsia="Times New Roman" w:hAnsi="Times New Roman"/>
          <w:sz w:val="15"/>
          <w:szCs w:val="15"/>
          <w:color w:val="auto"/>
        </w:rPr>
        <w:t>No offer or invitation, whether directly or indirectly, is being or may be made to the public in the Cayman Islands to subscribe for any of our securities.</w:t>
      </w:r>
    </w:p>
    <w:p>
      <w:pPr>
        <w:spacing w:after="0" w:line="168" w:lineRule="exact"/>
        <w:rPr>
          <w:sz w:val="20"/>
          <w:szCs w:val="20"/>
          <w:color w:val="auto"/>
        </w:rPr>
      </w:pPr>
    </w:p>
    <w:tbl>
      <w:tblPr>
        <w:tblLayout w:type="fixed"/>
        <w:tblInd w:w="1220" w:type="dxa"/>
        <w:tblCellMar>
          <w:top w:w="0" w:type="dxa"/>
          <w:left w:w="0" w:type="dxa"/>
          <w:bottom w:w="0" w:type="dxa"/>
          <w:right w:w="0" w:type="dxa"/>
        </w:tblCellMar>
      </w:tblPr>
      <w:tr>
        <w:trPr>
          <w:trHeight w:val="154"/>
        </w:trPr>
        <w:tc>
          <w:tcPr>
            <w:tcW w:w="25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i w:val="1"/>
                <w:iCs w:val="1"/>
                <w:color w:val="auto"/>
                <w:w w:val="96"/>
              </w:rPr>
              <w:t>Proceeds,</w:t>
            </w:r>
          </w:p>
        </w:tc>
      </w:tr>
      <w:tr>
        <w:trPr>
          <w:trHeight w:val="154"/>
        </w:trPr>
        <w:tc>
          <w:tcPr>
            <w:tcW w:w="25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i w:val="1"/>
                <w:iCs w:val="1"/>
                <w:color w:val="auto"/>
              </w:rPr>
              <w:t>Price to</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Underwriting</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i w:val="1"/>
                <w:iCs w:val="1"/>
                <w:color w:val="auto"/>
                <w:w w:val="99"/>
              </w:rPr>
              <w:t>Before</w:t>
            </w:r>
          </w:p>
        </w:tc>
      </w:tr>
      <w:tr>
        <w:trPr>
          <w:trHeight w:val="170"/>
        </w:trPr>
        <w:tc>
          <w:tcPr>
            <w:tcW w:w="2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i w:val="1"/>
                <w:iCs w:val="1"/>
                <w:color w:val="auto"/>
                <w:w w:val="97"/>
              </w:rPr>
              <w:t>Public</w:t>
            </w:r>
          </w:p>
        </w:tc>
        <w:tc>
          <w:tcPr>
            <w:tcW w:w="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i w:val="1"/>
                <w:iCs w:val="1"/>
                <w:color w:val="auto"/>
              </w:rPr>
              <w:t>Discount(1)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i w:val="1"/>
                <w:iCs w:val="1"/>
                <w:color w:val="auto"/>
                <w:w w:val="99"/>
              </w:rPr>
              <w:t>Expenses, to us</w:t>
            </w:r>
          </w:p>
        </w:tc>
      </w:tr>
      <w:tr>
        <w:trPr>
          <w:trHeight w:val="170"/>
        </w:trPr>
        <w:tc>
          <w:tcPr>
            <w:tcW w:w="25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Per Unit</w:t>
            </w:r>
          </w:p>
        </w:tc>
        <w:tc>
          <w:tcPr>
            <w:tcW w:w="19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10.00</w:t>
            </w: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0.0455</w:t>
            </w: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9.9545</w:t>
            </w:r>
          </w:p>
        </w:tc>
        <w:tc>
          <w:tcPr>
            <w:tcW w:w="40" w:type="dxa"/>
            <w:vAlign w:val="bottom"/>
            <w:tcBorders>
              <w:top w:val="single" w:sz="8" w:color="CCEEFF"/>
            </w:tcBorders>
            <w:shd w:val="clear" w:color="auto" w:fill="CCEEFF"/>
          </w:tcPr>
          <w:p>
            <w:pPr>
              <w:spacing w:after="0"/>
              <w:rPr>
                <w:sz w:val="14"/>
                <w:szCs w:val="14"/>
                <w:color w:val="auto"/>
              </w:rPr>
            </w:pPr>
          </w:p>
        </w:tc>
      </w:tr>
      <w:tr>
        <w:trPr>
          <w:trHeight w:val="203"/>
        </w:trPr>
        <w:tc>
          <w:tcPr>
            <w:tcW w:w="2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220,000,000</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1,000,000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219,000,000</w:t>
            </w:r>
          </w:p>
        </w:tc>
        <w:tc>
          <w:tcPr>
            <w:tcW w:w="40" w:type="dxa"/>
            <w:vAlign w:val="bottom"/>
          </w:tcPr>
          <w:p>
            <w:pPr>
              <w:spacing w:after="0"/>
              <w:rPr>
                <w:sz w:val="17"/>
                <w:szCs w:val="17"/>
                <w:color w:val="auto"/>
              </w:rPr>
            </w:pPr>
          </w:p>
        </w:tc>
      </w:tr>
    </w:tbl>
    <w:p>
      <w:pPr>
        <w:spacing w:after="0" w:line="188" w:lineRule="exact"/>
        <w:rPr>
          <w:sz w:val="20"/>
          <w:szCs w:val="20"/>
          <w:color w:val="auto"/>
        </w:rPr>
      </w:pPr>
    </w:p>
    <w:p>
      <w:pPr>
        <w:ind w:left="840" w:right="120" w:hanging="385"/>
        <w:spacing w:after="0" w:line="259" w:lineRule="auto"/>
        <w:tabs>
          <w:tab w:leader="none" w:pos="8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$0.0455 per unit or $1,000,000 in the aggregate (including a $250,000 referral fee to be paid by the underwriters to United First Partners LLC) (or $0.0405 per unit or $1,025,000 in the aggregate if the underwriters’ over-allotment option to purchase additional public units is exercised in full), is payable upon the closing of this offering. There is no deferred underwriting commission payable to the underwriters. See the section titled “</w:t>
      </w:r>
      <w:r>
        <w:rPr>
          <w:rFonts w:ascii="Times New Roman" w:cs="Times New Roman" w:eastAsia="Times New Roman" w:hAnsi="Times New Roman"/>
          <w:sz w:val="15"/>
          <w:szCs w:val="15"/>
          <w:i w:val="1"/>
          <w:iCs w:val="1"/>
          <w:color w:val="auto"/>
        </w:rPr>
        <w:t>Underwriting</w:t>
      </w:r>
      <w:r>
        <w:rPr>
          <w:rFonts w:ascii="Times New Roman" w:cs="Times New Roman" w:eastAsia="Times New Roman" w:hAnsi="Times New Roman"/>
          <w:sz w:val="15"/>
          <w:szCs w:val="15"/>
          <w:color w:val="auto"/>
        </w:rPr>
        <w:t>” for a description of compensation payable to the underwriters.</w:t>
      </w:r>
    </w:p>
    <w:p>
      <w:pPr>
        <w:spacing w:after="0" w:line="156" w:lineRule="exact"/>
        <w:rPr>
          <w:sz w:val="20"/>
          <w:szCs w:val="20"/>
          <w:color w:val="auto"/>
        </w:rPr>
      </w:pPr>
    </w:p>
    <w:p>
      <w:pPr>
        <w:ind w:left="460" w:right="40" w:firstLine="379"/>
        <w:spacing w:after="0" w:line="251" w:lineRule="auto"/>
        <w:rPr>
          <w:sz w:val="20"/>
          <w:szCs w:val="20"/>
          <w:color w:val="auto"/>
        </w:rPr>
      </w:pPr>
      <w:r>
        <w:rPr>
          <w:rFonts w:ascii="Times New Roman" w:cs="Times New Roman" w:eastAsia="Times New Roman" w:hAnsi="Times New Roman"/>
          <w:sz w:val="15"/>
          <w:szCs w:val="15"/>
          <w:color w:val="auto"/>
        </w:rPr>
        <w:t>Upon consummation of the offering, $10.00 per public unit sold in this offering (whether or not the over-allotment option has been exercised, and whether exercised in full or in part) will be deposited into a segregated trust account located in the United States managed by Continental Stock Transfer &amp; Trust Company acting as trustee. Except as described in this prospectus, these funds will not be released to us until the earlier of (1) the completion of our initial business combination within the required time period or (2) our redemption of 100% of the outstanding public shares if we have not completed an initial business combination in the required time period. We are exempt from rules promulgated by the U.S. Securities and Exchange Commission</w:t>
      </w:r>
    </w:p>
    <w:p>
      <w:pPr>
        <w:spacing w:after="0" w:line="2" w:lineRule="exact"/>
        <w:rPr>
          <w:sz w:val="20"/>
          <w:szCs w:val="20"/>
          <w:color w:val="auto"/>
        </w:rPr>
      </w:pPr>
    </w:p>
    <w:p>
      <w:pPr>
        <w:ind w:left="460" w:right="80"/>
        <w:spacing w:after="0" w:line="262" w:lineRule="auto"/>
        <w:rPr>
          <w:sz w:val="20"/>
          <w:szCs w:val="20"/>
          <w:color w:val="auto"/>
        </w:rPr>
      </w:pPr>
      <w:r>
        <w:rPr>
          <w:rFonts w:ascii="Times New Roman" w:cs="Times New Roman" w:eastAsia="Times New Roman" w:hAnsi="Times New Roman"/>
          <w:sz w:val="15"/>
          <w:szCs w:val="15"/>
          <w:color w:val="auto"/>
        </w:rPr>
        <w:t xml:space="preserve">(the “SEC”) to protect investors in blank check companies, such as Rule 419. </w:t>
      </w:r>
      <w:r>
        <w:rPr>
          <w:rFonts w:ascii="Times New Roman" w:cs="Times New Roman" w:eastAsia="Times New Roman" w:hAnsi="Times New Roman"/>
          <w:sz w:val="15"/>
          <w:szCs w:val="15"/>
          <w:b w:val="1"/>
          <w:bCs w:val="1"/>
          <w:color w:val="auto"/>
        </w:rPr>
        <w:t>See the risk factor titled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You will not be entitled to protections normally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afforded to investors of many other blank check companies.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and</w:t>
      </w:r>
      <w:r>
        <w:rPr>
          <w:rFonts w:ascii="Times New Roman" w:cs="Times New Roman" w:eastAsia="Times New Roman" w:hAnsi="Times New Roman"/>
          <w:sz w:val="15"/>
          <w:szCs w:val="15"/>
          <w:b w:val="1"/>
          <w:bCs w:val="1"/>
          <w:i w:val="1"/>
          <w:iCs w:val="1"/>
          <w:color w:val="auto"/>
        </w:rPr>
        <w:t xml:space="preserve"> “Proposed Business — Comparison of This Offering to Those of Blank Check Companies Subject to Rule 419” </w:t>
      </w:r>
      <w:r>
        <w:rPr>
          <w:rFonts w:ascii="Times New Roman" w:cs="Times New Roman" w:eastAsia="Times New Roman" w:hAnsi="Times New Roman"/>
          <w:sz w:val="15"/>
          <w:szCs w:val="15"/>
          <w:b w:val="1"/>
          <w:bCs w:val="1"/>
          <w:color w:val="auto"/>
        </w:rPr>
        <w:t>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for further information.</w:t>
      </w:r>
    </w:p>
    <w:p>
      <w:pPr>
        <w:sectPr>
          <w:pgSz w:w="11900" w:h="16840" w:orient="portrait"/>
          <w:cols w:equalWidth="0" w:num="1">
            <w:col w:w="10060"/>
          </w:cols>
          <w:pgMar w:left="660" w:top="874" w:right="1180"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firstLine="379"/>
        <w:spacing w:after="0" w:line="260" w:lineRule="auto"/>
        <w:rPr>
          <w:sz w:val="20"/>
          <w:szCs w:val="20"/>
          <w:color w:val="auto"/>
        </w:rPr>
      </w:pPr>
      <w:r>
        <w:rPr>
          <w:rFonts w:ascii="Times New Roman" w:cs="Times New Roman" w:eastAsia="Times New Roman" w:hAnsi="Times New Roman"/>
          <w:sz w:val="15"/>
          <w:szCs w:val="15"/>
          <w:color w:val="auto"/>
        </w:rPr>
        <w:t xml:space="preserve">The following table illustrates the difference between the public offering price per unit and our net tangible book value per share, as adjusted to reflect various potential redemption levels that may occur in connection with the closing of our initial business combination, which we refer to as “Adjusted NTBVPS,” on a pro forma basis to give effect to this offering and the issuance of the private placement units, assuming the exercise in full and no exercise of the over-allotment option. Adjusted NTBVPS excludes the effect of the consummation of our initial business combination or any related transactions or expenses. </w:t>
      </w:r>
      <w:r>
        <w:rPr>
          <w:rFonts w:ascii="Times New Roman" w:cs="Times New Roman" w:eastAsia="Times New Roman" w:hAnsi="Times New Roman"/>
          <w:sz w:val="15"/>
          <w:szCs w:val="15"/>
          <w:b w:val="1"/>
          <w:bCs w:val="1"/>
          <w:color w:val="auto"/>
        </w:rPr>
        <w:t>See the section titled “</w:t>
      </w:r>
      <w:r>
        <w:rPr>
          <w:rFonts w:ascii="Times New Roman" w:cs="Times New Roman" w:eastAsia="Times New Roman" w:hAnsi="Times New Roman"/>
          <w:sz w:val="15"/>
          <w:szCs w:val="15"/>
          <w:b w:val="1"/>
          <w:bCs w:val="1"/>
          <w:i w:val="1"/>
          <w:iCs w:val="1"/>
          <w:color w:val="auto"/>
        </w:rPr>
        <w:t>Dilution</w:t>
      </w:r>
      <w:r>
        <w:rPr>
          <w:rFonts w:ascii="Times New Roman" w:cs="Times New Roman" w:eastAsia="Times New Roman" w:hAnsi="Times New Roman"/>
          <w:sz w:val="15"/>
          <w:szCs w:val="15"/>
          <w:b w:val="1"/>
          <w:bCs w:val="1"/>
          <w:color w:val="auto"/>
        </w:rPr>
        <w:t>” on page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for more information.</w:t>
      </w:r>
    </w:p>
    <w:p>
      <w:pPr>
        <w:spacing w:after="0" w:line="17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3"/>
          <w:szCs w:val="13"/>
          <w:b w:val="1"/>
          <w:bCs w:val="1"/>
          <w:color w:val="auto"/>
        </w:rPr>
        <w:t>As of July 21, 2025</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32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Offering Price of</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109"/>
              <w:spacing w:after="0" w:line="142" w:lineRule="exact"/>
              <w:rPr>
                <w:sz w:val="20"/>
                <w:szCs w:val="20"/>
                <w:color w:val="auto"/>
              </w:rPr>
            </w:pPr>
            <w:r>
              <w:rPr>
                <w:rFonts w:ascii="Times New Roman" w:cs="Times New Roman" w:eastAsia="Times New Roman" w:hAnsi="Times New Roman"/>
                <w:sz w:val="13"/>
                <w:szCs w:val="13"/>
                <w:b w:val="1"/>
                <w:bCs w:val="1"/>
                <w:color w:val="auto"/>
              </w:rPr>
              <w:t>25% of Maximum</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right"/>
              <w:ind w:right="109"/>
              <w:spacing w:after="0" w:line="142" w:lineRule="exact"/>
              <w:rPr>
                <w:sz w:val="20"/>
                <w:szCs w:val="20"/>
                <w:color w:val="auto"/>
              </w:rPr>
            </w:pPr>
            <w:r>
              <w:rPr>
                <w:rFonts w:ascii="Times New Roman" w:cs="Times New Roman" w:eastAsia="Times New Roman" w:hAnsi="Times New Roman"/>
                <w:sz w:val="13"/>
                <w:szCs w:val="13"/>
                <w:b w:val="1"/>
                <w:bCs w:val="1"/>
                <w:color w:val="auto"/>
              </w:rPr>
              <w:t>50% of Maximum</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75% of Maximum</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right="89"/>
              <w:spacing w:after="0" w:line="142" w:lineRule="exact"/>
              <w:rPr>
                <w:sz w:val="20"/>
                <w:szCs w:val="20"/>
                <w:color w:val="auto"/>
              </w:rPr>
            </w:pPr>
            <w:r>
              <w:rPr>
                <w:rFonts w:ascii="Times New Roman" w:cs="Times New Roman" w:eastAsia="Times New Roman" w:hAnsi="Times New Roman"/>
                <w:sz w:val="13"/>
                <w:szCs w:val="13"/>
                <w:b w:val="1"/>
                <w:bCs w:val="1"/>
                <w:color w:val="auto"/>
              </w:rPr>
              <w:t>Maximum</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$10.00 per Unit</w:t>
            </w:r>
          </w:p>
        </w:tc>
        <w:tc>
          <w:tcPr>
            <w:tcW w:w="140" w:type="dxa"/>
            <w:vAlign w:val="bottom"/>
          </w:tcPr>
          <w:p>
            <w:pPr>
              <w:spacing w:after="0"/>
              <w:rPr>
                <w:sz w:val="14"/>
                <w:szCs w:val="14"/>
                <w:color w:val="auto"/>
              </w:rPr>
            </w:pPr>
          </w:p>
        </w:tc>
        <w:tc>
          <w:tcPr>
            <w:tcW w:w="1240" w:type="dxa"/>
            <w:vAlign w:val="bottom"/>
            <w:gridSpan w:val="3"/>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Redemption</w:t>
            </w:r>
          </w:p>
        </w:tc>
        <w:tc>
          <w:tcPr>
            <w:tcW w:w="160" w:type="dxa"/>
            <w:vAlign w:val="bottom"/>
          </w:tcPr>
          <w:p>
            <w:pPr>
              <w:spacing w:after="0"/>
              <w:rPr>
                <w:sz w:val="14"/>
                <w:szCs w:val="14"/>
                <w:color w:val="auto"/>
              </w:rPr>
            </w:pPr>
          </w:p>
        </w:tc>
        <w:tc>
          <w:tcPr>
            <w:tcW w:w="126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0" w:type="dxa"/>
            <w:vAlign w:val="bottom"/>
          </w:tcPr>
          <w:p>
            <w:pPr>
              <w:spacing w:after="0"/>
              <w:rPr>
                <w:sz w:val="1"/>
                <w:szCs w:val="1"/>
                <w:color w:val="auto"/>
              </w:rPr>
            </w:pPr>
          </w:p>
        </w:tc>
      </w:tr>
      <w:tr>
        <w:trPr>
          <w:trHeight w:val="140"/>
        </w:trPr>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71"/>
              <w:spacing w:after="0" w:line="141"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71"/>
              <w:spacing w:after="0" w:line="141"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71"/>
              <w:spacing w:after="0" w:line="141"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71"/>
              <w:spacing w:after="0" w:line="141"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between</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2"/>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between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between</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3"/>
          </w:tcPr>
          <w:p>
            <w:pPr>
              <w:jc w:val="center"/>
              <w:ind w:left="31"/>
              <w:spacing w:after="0"/>
              <w:rPr>
                <w:sz w:val="20"/>
                <w:szCs w:val="20"/>
                <w:color w:val="auto"/>
              </w:rPr>
            </w:pPr>
            <w:r>
              <w:rPr>
                <w:rFonts w:ascii="Times New Roman" w:cs="Times New Roman" w:eastAsia="Times New Roman" w:hAnsi="Times New Roman"/>
                <w:sz w:val="13"/>
                <w:szCs w:val="13"/>
                <w:b w:val="1"/>
                <w:bCs w:val="1"/>
                <w:color w:val="auto"/>
              </w:rPr>
              <w:t>between</w:t>
            </w:r>
          </w:p>
        </w:tc>
        <w:tc>
          <w:tcPr>
            <w:tcW w:w="0" w:type="dxa"/>
            <w:vAlign w:val="bottom"/>
          </w:tcPr>
          <w:p>
            <w:pPr>
              <w:spacing w:after="0"/>
              <w:rPr>
                <w:sz w:val="1"/>
                <w:szCs w:val="1"/>
                <w:color w:val="auto"/>
              </w:rPr>
            </w:pPr>
          </w:p>
        </w:tc>
      </w:tr>
      <w:tr>
        <w:trPr>
          <w:trHeight w:val="154"/>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w w:val="98"/>
              </w:rPr>
              <w:t>Adjusted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2"/>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w w:val="98"/>
              </w:rPr>
              <w:t>Adjusted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3"/>
          </w:tcPr>
          <w:p>
            <w:pPr>
              <w:jc w:val="center"/>
              <w:ind w:left="31"/>
              <w:spacing w:after="0"/>
              <w:rPr>
                <w:sz w:val="20"/>
                <w:szCs w:val="20"/>
                <w:color w:val="auto"/>
              </w:rPr>
            </w:pPr>
            <w:r>
              <w:rPr>
                <w:rFonts w:ascii="Times New Roman" w:cs="Times New Roman" w:eastAsia="Times New Roman" w:hAnsi="Times New Roman"/>
                <w:sz w:val="13"/>
                <w:szCs w:val="13"/>
                <w:b w:val="1"/>
                <w:bCs w:val="1"/>
                <w:color w:val="auto"/>
                <w:w w:val="98"/>
              </w:rPr>
              <w:t>Adjusted</w:t>
            </w:r>
          </w:p>
        </w:tc>
        <w:tc>
          <w:tcPr>
            <w:tcW w:w="0" w:type="dxa"/>
            <w:vAlign w:val="bottom"/>
          </w:tcPr>
          <w:p>
            <w:pPr>
              <w:spacing w:after="0"/>
              <w:rPr>
                <w:sz w:val="1"/>
                <w:szCs w:val="1"/>
                <w:color w:val="auto"/>
              </w:rPr>
            </w:pPr>
          </w:p>
        </w:tc>
      </w:tr>
      <w:tr>
        <w:trPr>
          <w:trHeight w:val="154"/>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w w:val="97"/>
              </w:rPr>
              <w:t>NTBVPS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2"/>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w w:val="97"/>
              </w:rPr>
              <w:t>NTBVPS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NTBVPS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3"/>
          </w:tcPr>
          <w:p>
            <w:pPr>
              <w:jc w:val="center"/>
              <w:ind w:left="51"/>
              <w:spacing w:after="0"/>
              <w:rPr>
                <w:sz w:val="20"/>
                <w:szCs w:val="20"/>
                <w:color w:val="auto"/>
              </w:rPr>
            </w:pPr>
            <w:r>
              <w:rPr>
                <w:rFonts w:ascii="Times New Roman" w:cs="Times New Roman" w:eastAsia="Times New Roman" w:hAnsi="Times New Roman"/>
                <w:sz w:val="13"/>
                <w:szCs w:val="13"/>
                <w:b w:val="1"/>
                <w:bCs w:val="1"/>
                <w:color w:val="auto"/>
              </w:rPr>
              <w:t>NTBVPS</w:t>
            </w:r>
          </w:p>
        </w:tc>
        <w:tc>
          <w:tcPr>
            <w:tcW w:w="0" w:type="dxa"/>
            <w:vAlign w:val="bottom"/>
          </w:tcPr>
          <w:p>
            <w:pPr>
              <w:spacing w:after="0"/>
              <w:rPr>
                <w:sz w:val="1"/>
                <w:szCs w:val="1"/>
                <w:color w:val="auto"/>
              </w:rPr>
            </w:pPr>
          </w:p>
        </w:tc>
      </w:tr>
      <w:tr>
        <w:trPr>
          <w:trHeight w:val="154"/>
        </w:trPr>
        <w:tc>
          <w:tcPr>
            <w:tcW w:w="32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and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rPr>
                <w:sz w:val="1"/>
                <w:szCs w:val="1"/>
                <w:color w:val="auto"/>
              </w:rPr>
            </w:pPr>
          </w:p>
        </w:tc>
      </w:tr>
      <w:tr>
        <w:trPr>
          <w:trHeight w:val="142"/>
        </w:trPr>
        <w:tc>
          <w:tcPr>
            <w:tcW w:w="3260" w:type="dxa"/>
            <w:vAlign w:val="bottom"/>
            <w:gridSpan w:val="3"/>
            <w:vMerge w:val="continue"/>
          </w:tcPr>
          <w:p>
            <w:pPr>
              <w:spacing w:after="0"/>
              <w:rPr>
                <w:sz w:val="12"/>
                <w:szCs w:val="12"/>
                <w:color w:val="auto"/>
              </w:rPr>
            </w:pPr>
          </w:p>
        </w:tc>
        <w:tc>
          <w:tcPr>
            <w:tcW w:w="6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720" w:type="dxa"/>
            <w:vAlign w:val="bottom"/>
            <w:gridSpan w:val="2"/>
          </w:tcPr>
          <w:p>
            <w:pPr>
              <w:jc w:val="center"/>
              <w:ind w:left="71"/>
              <w:spacing w:after="0" w:line="143"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40" w:type="dxa"/>
            <w:vAlign w:val="bottom"/>
            <w:gridSpan w:val="3"/>
          </w:tcPr>
          <w:p>
            <w:pPr>
              <w:ind w:left="280"/>
              <w:spacing w:after="0" w:line="143"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720" w:type="dxa"/>
            <w:vAlign w:val="bottom"/>
            <w:gridSpan w:val="2"/>
          </w:tcPr>
          <w:p>
            <w:pPr>
              <w:jc w:val="center"/>
              <w:ind w:left="51"/>
              <w:spacing w:after="0" w:line="143"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280" w:type="dxa"/>
            <w:vAlign w:val="bottom"/>
          </w:tcPr>
          <w:p>
            <w:pPr>
              <w:spacing w:after="0"/>
              <w:rPr>
                <w:sz w:val="12"/>
                <w:szCs w:val="12"/>
                <w:color w:val="auto"/>
              </w:rPr>
            </w:pPr>
          </w:p>
        </w:tc>
        <w:tc>
          <w:tcPr>
            <w:tcW w:w="6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100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6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760" w:type="dxa"/>
            <w:vAlign w:val="bottom"/>
            <w:gridSpan w:val="3"/>
          </w:tcPr>
          <w:p>
            <w:pPr>
              <w:jc w:val="center"/>
              <w:ind w:left="51"/>
              <w:spacing w:after="0" w:line="143"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0" w:type="dxa"/>
            <w:vAlign w:val="bottom"/>
          </w:tcPr>
          <w:p>
            <w:pPr>
              <w:spacing w:after="0"/>
              <w:rPr>
                <w:sz w:val="1"/>
                <w:szCs w:val="1"/>
                <w:color w:val="auto"/>
              </w:rPr>
            </w:pPr>
          </w:p>
        </w:tc>
      </w:tr>
      <w:tr>
        <w:trPr>
          <w:trHeight w:val="171"/>
        </w:trPr>
        <w:tc>
          <w:tcPr>
            <w:tcW w:w="3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NTBVPS</w:t>
            </w: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NTBVPS</w:t>
            </w:r>
          </w:p>
        </w:tc>
        <w:tc>
          <w:tcPr>
            <w:tcW w:w="240" w:type="dxa"/>
            <w:vAlign w:val="bottom"/>
          </w:tcPr>
          <w:p>
            <w:pPr>
              <w:spacing w:after="0"/>
              <w:rPr>
                <w:sz w:val="14"/>
                <w:szCs w:val="14"/>
                <w:color w:val="auto"/>
              </w:rPr>
            </w:pPr>
          </w:p>
        </w:tc>
        <w:tc>
          <w:tcPr>
            <w:tcW w:w="4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Price</w:t>
            </w: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NTBVPS</w:t>
            </w:r>
          </w:p>
        </w:tc>
        <w:tc>
          <w:tcPr>
            <w:tcW w:w="240" w:type="dxa"/>
            <w:vAlign w:val="bottom"/>
          </w:tcPr>
          <w:p>
            <w:pPr>
              <w:spacing w:after="0"/>
              <w:rPr>
                <w:sz w:val="14"/>
                <w:szCs w:val="14"/>
                <w:color w:val="auto"/>
              </w:rPr>
            </w:pPr>
          </w:p>
        </w:tc>
        <w:tc>
          <w:tcPr>
            <w:tcW w:w="4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NTBVPS</w:t>
            </w:r>
          </w:p>
        </w:tc>
        <w:tc>
          <w:tcPr>
            <w:tcW w:w="24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NTBVPS</w:t>
            </w:r>
          </w:p>
        </w:tc>
        <w:tc>
          <w:tcPr>
            <w:tcW w:w="26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0" w:type="dxa"/>
            <w:vAlign w:val="bottom"/>
          </w:tcPr>
          <w:p>
            <w:pPr>
              <w:spacing w:after="0"/>
              <w:rPr>
                <w:sz w:val="1"/>
                <w:szCs w:val="1"/>
                <w:color w:val="auto"/>
              </w:rPr>
            </w:pPr>
          </w:p>
        </w:tc>
      </w:tr>
      <w:tr>
        <w:trPr>
          <w:trHeight w:val="178"/>
        </w:trPr>
        <w:tc>
          <w:tcPr>
            <w:tcW w:w="5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40" w:type="dxa"/>
            <w:vAlign w:val="bottom"/>
            <w:tcBorders>
              <w:top w:val="single" w:sz="8" w:color="auto"/>
            </w:tcBorders>
            <w:gridSpan w:val="9"/>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i w:val="1"/>
                <w:iCs w:val="1"/>
                <w:color w:val="auto"/>
              </w:rPr>
              <w:t>Assuming No Exercise of Over-Allotment Option</w:t>
            </w: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$6.96</w:t>
            </w:r>
          </w:p>
        </w:tc>
        <w:tc>
          <w:tcPr>
            <w:tcW w:w="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5"/>
                <w:szCs w:val="15"/>
                <w:color w:val="auto"/>
              </w:rPr>
              <w:t>6.33</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5.35</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5"/>
                <w:szCs w:val="15"/>
                <w:color w:val="auto"/>
              </w:rPr>
              <w:t>3.68</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w:t>
            </w:r>
          </w:p>
        </w:tc>
        <w:tc>
          <w:tcPr>
            <w:tcW w:w="28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5"/>
                <w:szCs w:val="15"/>
                <w:color w:val="auto"/>
              </w:rPr>
              <w:t>0.11</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320" w:type="dxa"/>
            <w:vAlign w:val="bottom"/>
            <w:gridSpan w:val="10"/>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i w:val="1"/>
                <w:iCs w:val="1"/>
                <w:color w:val="auto"/>
              </w:rPr>
              <w:t>Assuming Full Exercise of Over-Allotment Option</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$6.98</w:t>
            </w:r>
          </w:p>
        </w:tc>
        <w:tc>
          <w:tcPr>
            <w:tcW w:w="4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5"/>
                <w:szCs w:val="15"/>
                <w:color w:val="auto"/>
              </w:rPr>
              <w:t>6.34</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5"/>
                <w:szCs w:val="15"/>
                <w:color w:val="auto"/>
              </w:rPr>
              <w:t>5.37</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5"/>
                <w:szCs w:val="15"/>
                <w:color w:val="auto"/>
              </w:rPr>
              <w:t>3.70</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2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5"/>
                <w:szCs w:val="15"/>
                <w:color w:val="auto"/>
              </w:rPr>
              <w:t>0.14</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right="320" w:firstLine="379"/>
        <w:spacing w:after="0" w:line="284" w:lineRule="auto"/>
        <w:rPr>
          <w:sz w:val="20"/>
          <w:szCs w:val="20"/>
          <w:color w:val="auto"/>
        </w:rPr>
      </w:pPr>
      <w:r>
        <w:rPr>
          <w:rFonts w:ascii="Times New Roman" w:cs="Times New Roman" w:eastAsia="Times New Roman" w:hAnsi="Times New Roman"/>
          <w:sz w:val="15"/>
          <w:szCs w:val="15"/>
          <w:color w:val="auto"/>
        </w:rPr>
        <w:t>The underwriters are offering the public units on a firm commitment basis. The underwriters expect to deliver the public units to purchasers on or about, [X], 2025,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176530</wp:posOffset>
            </wp:positionV>
            <wp:extent cx="128587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i w:val="1"/>
          <w:iCs w:val="1"/>
          <w:u w:val="single" w:color="auto"/>
          <w:color w:val="auto"/>
        </w:rPr>
        <w:t>Sole Book-Running Manager</w:t>
      </w:r>
    </w:p>
    <w:p>
      <w:pPr>
        <w:spacing w:after="0" w:line="1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D. Boral Capital</w:t>
      </w:r>
    </w:p>
    <w:p>
      <w:pPr>
        <w:spacing w:after="0" w:line="1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 xml:space="preserve">The date of this prospectus is </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 2025</w:t>
      </w:r>
    </w:p>
    <w:p>
      <w:pPr>
        <w:sectPr>
          <w:pgSz w:w="11900" w:h="16840" w:orient="portrait"/>
          <w:cols w:equalWidth="0" w:num="1">
            <w:col w:w="10120"/>
          </w:cols>
          <w:pgMar w:left="660" w:top="874" w:right="1120" w:bottom="1440" w:gutter="0" w:footer="0" w:header="0"/>
        </w:sectPr>
      </w:pPr>
    </w:p>
    <w:bookmarkStart w:id="9" w:name="page10"/>
    <w:bookmarkEnd w:id="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100"/>
        <w:spacing w:after="0" w:line="257" w:lineRule="auto"/>
        <w:rPr>
          <w:sz w:val="20"/>
          <w:szCs w:val="20"/>
          <w:color w:val="auto"/>
        </w:rPr>
      </w:pPr>
      <w:r>
        <w:rPr>
          <w:rFonts w:ascii="Times New Roman" w:cs="Times New Roman" w:eastAsia="Times New Roman" w:hAnsi="Times New Roman"/>
          <w:sz w:val="15"/>
          <w:szCs w:val="15"/>
          <w:b w:val="1"/>
          <w:bCs w:val="1"/>
          <w:color w:val="auto"/>
        </w:rPr>
        <w:t>We are responsible for the information contained in this prospectus. We have not, and the underwriters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The information contained in this prospectus is current only as of its date.</w:t>
      </w:r>
    </w:p>
    <w:p>
      <w:pPr>
        <w:spacing w:after="0" w:line="3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65"/>
        </w:trPr>
        <w:tc>
          <w:tcPr>
            <w:tcW w:w="600" w:type="dxa"/>
            <w:vAlign w:val="bottom"/>
            <w:tcBorders>
              <w:bottom w:val="single" w:sz="8" w:color="0000EE"/>
            </w:tcBorders>
            <w:gridSpan w:val="3"/>
          </w:tcPr>
          <w:p>
            <w:pPr>
              <w:spacing w:after="0" w:line="165" w:lineRule="exact"/>
              <w:rPr>
                <w:rFonts w:ascii="Times New Roman" w:cs="Times New Roman" w:eastAsia="Times New Roman" w:hAnsi="Times New Roman"/>
                <w:sz w:val="15"/>
                <w:szCs w:val="15"/>
                <w:color w:val="0000EE"/>
                <w:w w:val="99"/>
              </w:rPr>
            </w:pPr>
            <w:hyperlink w:anchor="page11">
              <w:r>
                <w:rPr>
                  <w:rFonts w:ascii="Times New Roman" w:cs="Times New Roman" w:eastAsia="Times New Roman" w:hAnsi="Times New Roman"/>
                  <w:sz w:val="15"/>
                  <w:szCs w:val="15"/>
                  <w:color w:val="0000EE"/>
                  <w:w w:val="99"/>
                </w:rPr>
                <w:t>Summary</w:t>
              </w:r>
            </w:hyperlink>
          </w:p>
        </w:tc>
        <w:tc>
          <w:tcPr>
            <w:tcW w:w="6900" w:type="dxa"/>
            <w:vAlign w:val="bottom"/>
            <w:gridSpan w:val="18"/>
          </w:tcPr>
          <w:p>
            <w:pPr>
              <w:spacing w:after="0"/>
              <w:rPr>
                <w:sz w:val="14"/>
                <w:szCs w:val="14"/>
                <w:color w:val="auto"/>
              </w:rPr>
            </w:pPr>
          </w:p>
        </w:tc>
        <w:tc>
          <w:tcPr>
            <w:tcW w:w="21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58"/>
        </w:trPr>
        <w:tc>
          <w:tcPr>
            <w:tcW w:w="1540" w:type="dxa"/>
            <w:vAlign w:val="bottom"/>
            <w:tcBorders>
              <w:bottom w:val="single" w:sz="8" w:color="0000EE"/>
            </w:tcBorders>
            <w:gridSpan w:val="13"/>
          </w:tcPr>
          <w:p>
            <w:pPr>
              <w:spacing w:after="0" w:line="158" w:lineRule="exact"/>
              <w:rPr>
                <w:rFonts w:ascii="Times New Roman" w:cs="Times New Roman" w:eastAsia="Times New Roman" w:hAnsi="Times New Roman"/>
                <w:sz w:val="15"/>
                <w:szCs w:val="15"/>
                <w:color w:val="0000EE"/>
              </w:rPr>
            </w:pPr>
            <w:hyperlink w:anchor="page66">
              <w:r>
                <w:rPr>
                  <w:rFonts w:ascii="Times New Roman" w:cs="Times New Roman" w:eastAsia="Times New Roman" w:hAnsi="Times New Roman"/>
                  <w:sz w:val="15"/>
                  <w:szCs w:val="15"/>
                  <w:color w:val="0000EE"/>
                </w:rPr>
                <w:t>Summary Financial Data</w:t>
              </w:r>
            </w:hyperlink>
          </w:p>
        </w:tc>
        <w:tc>
          <w:tcPr>
            <w:tcW w:w="5960" w:type="dxa"/>
            <w:vAlign w:val="bottom"/>
            <w:gridSpan w:val="8"/>
          </w:tcPr>
          <w:p>
            <w:pPr>
              <w:spacing w:after="0"/>
              <w:rPr>
                <w:sz w:val="13"/>
                <w:szCs w:val="13"/>
                <w:color w:val="auto"/>
              </w:rPr>
            </w:pP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58"/>
        </w:trPr>
        <w:tc>
          <w:tcPr>
            <w:tcW w:w="7500" w:type="dxa"/>
            <w:vAlign w:val="bottom"/>
            <w:gridSpan w:val="21"/>
          </w:tcPr>
          <w:p>
            <w:pPr>
              <w:spacing w:after="0" w:line="158" w:lineRule="exact"/>
              <w:rPr>
                <w:rFonts w:ascii="Times New Roman" w:cs="Times New Roman" w:eastAsia="Times New Roman" w:hAnsi="Times New Roman"/>
                <w:sz w:val="15"/>
                <w:szCs w:val="15"/>
                <w:color w:val="0000EE"/>
              </w:rPr>
            </w:pPr>
            <w:hyperlink w:anchor="page67">
              <w:r>
                <w:rPr>
                  <w:rFonts w:ascii="Times New Roman" w:cs="Times New Roman" w:eastAsia="Times New Roman" w:hAnsi="Times New Roman"/>
                  <w:sz w:val="15"/>
                  <w:szCs w:val="15"/>
                  <w:color w:val="0000EE"/>
                </w:rPr>
                <w:t>Cautionary Note Regarding Forward-Looking Statements</w:t>
              </w:r>
            </w:hyperlink>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58"/>
        </w:trPr>
        <w:tc>
          <w:tcPr>
            <w:tcW w:w="340" w:type="dxa"/>
            <w:vAlign w:val="bottom"/>
            <w:tcBorders>
              <w:top w:val="single" w:sz="8" w:color="0000EE"/>
              <w:bottom w:val="single" w:sz="8" w:color="0000EE"/>
            </w:tcBorders>
          </w:tcPr>
          <w:p>
            <w:pPr>
              <w:spacing w:after="0" w:line="158" w:lineRule="exact"/>
              <w:rPr>
                <w:rFonts w:ascii="Times New Roman" w:cs="Times New Roman" w:eastAsia="Times New Roman" w:hAnsi="Times New Roman"/>
                <w:sz w:val="15"/>
                <w:szCs w:val="15"/>
                <w:color w:val="0000EE"/>
                <w:w w:val="95"/>
              </w:rPr>
            </w:pPr>
            <w:hyperlink w:anchor="page68">
              <w:r>
                <w:rPr>
                  <w:rFonts w:ascii="Times New Roman" w:cs="Times New Roman" w:eastAsia="Times New Roman" w:hAnsi="Times New Roman"/>
                  <w:sz w:val="15"/>
                  <w:szCs w:val="15"/>
                  <w:color w:val="0000EE"/>
                  <w:w w:val="95"/>
                </w:rPr>
                <w:t>Risks</w:t>
              </w:r>
            </w:hyperlink>
          </w:p>
        </w:tc>
        <w:tc>
          <w:tcPr>
            <w:tcW w:w="3180" w:type="dxa"/>
            <w:vAlign w:val="bottom"/>
            <w:tcBorders>
              <w:top w:val="single" w:sz="8" w:color="0000EE"/>
            </w:tcBorders>
            <w:gridSpan w:val="17"/>
          </w:tcPr>
          <w:p>
            <w:pPr>
              <w:spacing w:after="0"/>
              <w:rPr>
                <w:sz w:val="13"/>
                <w:szCs w:val="13"/>
                <w:color w:val="auto"/>
              </w:rPr>
            </w:pPr>
          </w:p>
        </w:tc>
        <w:tc>
          <w:tcPr>
            <w:tcW w:w="3980" w:type="dxa"/>
            <w:vAlign w:val="bottom"/>
            <w:gridSpan w:val="3"/>
          </w:tcPr>
          <w:p>
            <w:pPr>
              <w:spacing w:after="0"/>
              <w:rPr>
                <w:sz w:val="13"/>
                <w:szCs w:val="13"/>
                <w:color w:val="auto"/>
              </w:rPr>
            </w:pP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58"/>
        </w:trPr>
        <w:tc>
          <w:tcPr>
            <w:tcW w:w="7500" w:type="dxa"/>
            <w:vAlign w:val="bottom"/>
            <w:gridSpan w:val="21"/>
          </w:tcPr>
          <w:p>
            <w:pPr>
              <w:spacing w:after="0" w:line="158" w:lineRule="exact"/>
              <w:rPr>
                <w:rFonts w:ascii="Times New Roman" w:cs="Times New Roman" w:eastAsia="Times New Roman" w:hAnsi="Times New Roman"/>
                <w:sz w:val="15"/>
                <w:szCs w:val="15"/>
                <w:color w:val="0000EE"/>
              </w:rPr>
            </w:pPr>
            <w:hyperlink w:anchor="page71">
              <w:r>
                <w:rPr>
                  <w:rFonts w:ascii="Times New Roman" w:cs="Times New Roman" w:eastAsia="Times New Roman" w:hAnsi="Times New Roman"/>
                  <w:sz w:val="15"/>
                  <w:szCs w:val="15"/>
                  <w:color w:val="0000EE"/>
                </w:rPr>
                <w:t>Risk Factors</w:t>
              </w:r>
            </w:hyperlink>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line="20" w:lineRule="exact"/>
              <w:rPr>
                <w:sz w:val="1"/>
                <w:szCs w:val="1"/>
                <w:color w:val="auto"/>
              </w:rPr>
            </w:pPr>
          </w:p>
        </w:tc>
      </w:tr>
      <w:tr>
        <w:trPr>
          <w:trHeight w:val="158"/>
        </w:trPr>
        <w:tc>
          <w:tcPr>
            <w:tcW w:w="1000" w:type="dxa"/>
            <w:vAlign w:val="bottom"/>
            <w:tcBorders>
              <w:bottom w:val="single" w:sz="8" w:color="0000EE"/>
            </w:tcBorders>
            <w:gridSpan w:val="9"/>
          </w:tcPr>
          <w:p>
            <w:pPr>
              <w:spacing w:after="0" w:line="158" w:lineRule="exact"/>
              <w:rPr>
                <w:rFonts w:ascii="Times New Roman" w:cs="Times New Roman" w:eastAsia="Times New Roman" w:hAnsi="Times New Roman"/>
                <w:sz w:val="15"/>
                <w:szCs w:val="15"/>
                <w:color w:val="0000EE"/>
              </w:rPr>
            </w:pPr>
            <w:hyperlink w:anchor="page129">
              <w:r>
                <w:rPr>
                  <w:rFonts w:ascii="Times New Roman" w:cs="Times New Roman" w:eastAsia="Times New Roman" w:hAnsi="Times New Roman"/>
                  <w:sz w:val="15"/>
                  <w:szCs w:val="15"/>
                  <w:color w:val="0000EE"/>
                </w:rPr>
                <w:t>Use of Proceeds</w:t>
              </w:r>
            </w:hyperlink>
          </w:p>
        </w:tc>
        <w:tc>
          <w:tcPr>
            <w:tcW w:w="6500" w:type="dxa"/>
            <w:vAlign w:val="bottom"/>
            <w:gridSpan w:val="12"/>
          </w:tcPr>
          <w:p>
            <w:pPr>
              <w:spacing w:after="0"/>
              <w:rPr>
                <w:sz w:val="13"/>
                <w:szCs w:val="13"/>
                <w:color w:val="auto"/>
              </w:rPr>
            </w:pP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00" w:type="dxa"/>
            <w:vAlign w:val="bottom"/>
            <w:gridSpan w:val="21"/>
          </w:tcPr>
          <w:p>
            <w:pPr>
              <w:spacing w:after="0" w:line="158" w:lineRule="exact"/>
              <w:rPr>
                <w:rFonts w:ascii="Times New Roman" w:cs="Times New Roman" w:eastAsia="Times New Roman" w:hAnsi="Times New Roman"/>
                <w:sz w:val="15"/>
                <w:szCs w:val="15"/>
                <w:color w:val="0000EE"/>
              </w:rPr>
            </w:pPr>
            <w:hyperlink w:anchor="page133">
              <w:r>
                <w:rPr>
                  <w:rFonts w:ascii="Times New Roman" w:cs="Times New Roman" w:eastAsia="Times New Roman" w:hAnsi="Times New Roman"/>
                  <w:sz w:val="15"/>
                  <w:szCs w:val="15"/>
                  <w:color w:val="0000EE"/>
                </w:rPr>
                <w:t>Dividend Policy</w:t>
              </w:r>
            </w:hyperlink>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158"/>
        </w:trPr>
        <w:tc>
          <w:tcPr>
            <w:tcW w:w="980" w:type="dxa"/>
            <w:vAlign w:val="bottom"/>
            <w:tcBorders>
              <w:top w:val="single" w:sz="8" w:color="0000EE"/>
            </w:tcBorders>
            <w:gridSpan w:val="8"/>
          </w:tcPr>
          <w:p>
            <w:pPr>
              <w:spacing w:after="0" w:line="158" w:lineRule="exact"/>
              <w:rPr>
                <w:rFonts w:ascii="Times New Roman" w:cs="Times New Roman" w:eastAsia="Times New Roman" w:hAnsi="Times New Roman"/>
                <w:sz w:val="15"/>
                <w:szCs w:val="15"/>
                <w:color w:val="0000EE"/>
              </w:rPr>
            </w:pPr>
            <w:hyperlink w:anchor="page134">
              <w:r>
                <w:rPr>
                  <w:rFonts w:ascii="Times New Roman" w:cs="Times New Roman" w:eastAsia="Times New Roman" w:hAnsi="Times New Roman"/>
                  <w:sz w:val="15"/>
                  <w:szCs w:val="15"/>
                  <w:color w:val="0000EE"/>
                </w:rPr>
                <w:t>Dilution</w:t>
              </w:r>
            </w:hyperlink>
          </w:p>
        </w:tc>
        <w:tc>
          <w:tcPr>
            <w:tcW w:w="6520" w:type="dxa"/>
            <w:vAlign w:val="bottom"/>
            <w:gridSpan w:val="13"/>
          </w:tcPr>
          <w:p>
            <w:pPr>
              <w:spacing w:after="0"/>
              <w:rPr>
                <w:sz w:val="13"/>
                <w:szCs w:val="13"/>
                <w:color w:val="auto"/>
              </w:rPr>
            </w:pP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line="20" w:lineRule="exact"/>
              <w:rPr>
                <w:sz w:val="1"/>
                <w:szCs w:val="1"/>
                <w:color w:val="auto"/>
              </w:rPr>
            </w:pPr>
          </w:p>
        </w:tc>
      </w:tr>
      <w:tr>
        <w:trPr>
          <w:trHeight w:val="158"/>
        </w:trPr>
        <w:tc>
          <w:tcPr>
            <w:tcW w:w="860" w:type="dxa"/>
            <w:vAlign w:val="bottom"/>
            <w:tcBorders>
              <w:bottom w:val="single" w:sz="8" w:color="0000EE"/>
            </w:tcBorders>
            <w:gridSpan w:val="7"/>
          </w:tcPr>
          <w:p>
            <w:pPr>
              <w:spacing w:after="0" w:line="158" w:lineRule="exact"/>
              <w:rPr>
                <w:rFonts w:ascii="Times New Roman" w:cs="Times New Roman" w:eastAsia="Times New Roman" w:hAnsi="Times New Roman"/>
                <w:sz w:val="15"/>
                <w:szCs w:val="15"/>
                <w:color w:val="0000EE"/>
                <w:w w:val="99"/>
              </w:rPr>
            </w:pPr>
            <w:hyperlink w:anchor="page138">
              <w:r>
                <w:rPr>
                  <w:rFonts w:ascii="Times New Roman" w:cs="Times New Roman" w:eastAsia="Times New Roman" w:hAnsi="Times New Roman"/>
                  <w:sz w:val="15"/>
                  <w:szCs w:val="15"/>
                  <w:color w:val="0000EE"/>
                  <w:w w:val="99"/>
                </w:rPr>
                <w:t>Capitalization</w:t>
              </w:r>
            </w:hyperlink>
          </w:p>
        </w:tc>
        <w:tc>
          <w:tcPr>
            <w:tcW w:w="6640" w:type="dxa"/>
            <w:vAlign w:val="bottom"/>
            <w:gridSpan w:val="14"/>
          </w:tcPr>
          <w:p>
            <w:pPr>
              <w:spacing w:after="0"/>
              <w:rPr>
                <w:sz w:val="13"/>
                <w:szCs w:val="13"/>
                <w:color w:val="auto"/>
              </w:rPr>
            </w:pP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00" w:type="dxa"/>
            <w:vAlign w:val="bottom"/>
            <w:gridSpan w:val="21"/>
          </w:tcPr>
          <w:p>
            <w:pPr>
              <w:spacing w:after="0" w:line="158" w:lineRule="exact"/>
              <w:rPr>
                <w:rFonts w:ascii="Times New Roman" w:cs="Times New Roman" w:eastAsia="Times New Roman" w:hAnsi="Times New Roman"/>
                <w:sz w:val="15"/>
                <w:szCs w:val="15"/>
                <w:color w:val="0000EE"/>
              </w:rPr>
            </w:pPr>
            <w:hyperlink w:anchor="page140">
              <w:r>
                <w:rPr>
                  <w:rFonts w:ascii="Times New Roman" w:cs="Times New Roman" w:eastAsia="Times New Roman" w:hAnsi="Times New Roman"/>
                  <w:sz w:val="15"/>
                  <w:szCs w:val="15"/>
                  <w:color w:val="0000EE"/>
                </w:rPr>
                <w:t>Management’s Discussion and Analysis of Financial Condition and Results of Operation</w:t>
              </w:r>
            </w:hyperlink>
            <w:r>
              <w:rPr>
                <w:rFonts w:ascii="Times New Roman" w:cs="Times New Roman" w:eastAsia="Times New Roman" w:hAnsi="Times New Roman"/>
                <w:sz w:val="15"/>
                <w:szCs w:val="15"/>
                <w:color w:val="0000EE"/>
              </w:rPr>
              <w:t>s</w:t>
            </w: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158"/>
        </w:trPr>
        <w:tc>
          <w:tcPr>
            <w:tcW w:w="5500" w:type="dxa"/>
            <w:vAlign w:val="bottom"/>
            <w:tcBorders>
              <w:top w:val="single" w:sz="8" w:color="0000EE"/>
            </w:tcBorders>
            <w:gridSpan w:val="20"/>
          </w:tcPr>
          <w:p>
            <w:pPr>
              <w:spacing w:after="0" w:line="158" w:lineRule="exact"/>
              <w:rPr>
                <w:rFonts w:ascii="Times New Roman" w:cs="Times New Roman" w:eastAsia="Times New Roman" w:hAnsi="Times New Roman"/>
                <w:sz w:val="15"/>
                <w:szCs w:val="15"/>
                <w:color w:val="0000EE"/>
              </w:rPr>
            </w:pPr>
            <w:hyperlink w:anchor="page147">
              <w:r>
                <w:rPr>
                  <w:rFonts w:ascii="Times New Roman" w:cs="Times New Roman" w:eastAsia="Times New Roman" w:hAnsi="Times New Roman"/>
                  <w:sz w:val="15"/>
                  <w:szCs w:val="15"/>
                  <w:color w:val="0000EE"/>
                </w:rPr>
                <w:t>Proposed Business</w:t>
              </w:r>
            </w:hyperlink>
          </w:p>
        </w:tc>
        <w:tc>
          <w:tcPr>
            <w:tcW w:w="2000" w:type="dxa"/>
            <w:vAlign w:val="bottom"/>
          </w:tcPr>
          <w:p>
            <w:pPr>
              <w:spacing w:after="0"/>
              <w:rPr>
                <w:sz w:val="13"/>
                <w:szCs w:val="13"/>
                <w:color w:val="auto"/>
              </w:rPr>
            </w:pP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134</w:t>
            </w:r>
          </w:p>
        </w:tc>
        <w:tc>
          <w:tcPr>
            <w:tcW w:w="0" w:type="dxa"/>
            <w:vAlign w:val="bottom"/>
          </w:tcPr>
          <w:p>
            <w:pPr>
              <w:spacing w:after="0"/>
              <w:rPr>
                <w:sz w:val="1"/>
                <w:szCs w:val="1"/>
                <w:color w:val="auto"/>
              </w:rPr>
            </w:pPr>
          </w:p>
        </w:tc>
      </w:tr>
      <w:tr>
        <w:trPr>
          <w:trHeight w:val="158"/>
        </w:trPr>
        <w:tc>
          <w:tcPr>
            <w:tcW w:w="800" w:type="dxa"/>
            <w:vAlign w:val="bottom"/>
            <w:tcBorders>
              <w:top w:val="single" w:sz="8" w:color="0000EE"/>
              <w:bottom w:val="single" w:sz="8" w:color="0000EE"/>
            </w:tcBorders>
            <w:gridSpan w:val="5"/>
          </w:tcPr>
          <w:p>
            <w:pPr>
              <w:spacing w:after="0" w:line="158" w:lineRule="exact"/>
              <w:rPr>
                <w:rFonts w:ascii="Times New Roman" w:cs="Times New Roman" w:eastAsia="Times New Roman" w:hAnsi="Times New Roman"/>
                <w:sz w:val="15"/>
                <w:szCs w:val="15"/>
                <w:color w:val="0000EE"/>
                <w:w w:val="99"/>
              </w:rPr>
            </w:pPr>
            <w:hyperlink w:anchor="page182">
              <w:r>
                <w:rPr>
                  <w:rFonts w:ascii="Times New Roman" w:cs="Times New Roman" w:eastAsia="Times New Roman" w:hAnsi="Times New Roman"/>
                  <w:sz w:val="15"/>
                  <w:szCs w:val="15"/>
                  <w:color w:val="0000EE"/>
                  <w:w w:val="99"/>
                </w:rPr>
                <w:t>Management</w:t>
              </w:r>
            </w:hyperlink>
          </w:p>
        </w:tc>
        <w:tc>
          <w:tcPr>
            <w:tcW w:w="340" w:type="dxa"/>
            <w:vAlign w:val="bottom"/>
            <w:tcBorders>
              <w:top w:val="single" w:sz="8" w:color="0000EE"/>
            </w:tcBorders>
            <w:gridSpan w:val="5"/>
          </w:tcPr>
          <w:p>
            <w:pPr>
              <w:spacing w:after="0"/>
              <w:rPr>
                <w:sz w:val="13"/>
                <w:szCs w:val="13"/>
                <w:color w:val="auto"/>
              </w:rPr>
            </w:pPr>
          </w:p>
        </w:tc>
        <w:tc>
          <w:tcPr>
            <w:tcW w:w="6360" w:type="dxa"/>
            <w:vAlign w:val="bottom"/>
            <w:gridSpan w:val="11"/>
          </w:tcPr>
          <w:p>
            <w:pPr>
              <w:spacing w:after="0"/>
              <w:rPr>
                <w:sz w:val="13"/>
                <w:szCs w:val="13"/>
                <w:color w:val="auto"/>
              </w:rPr>
            </w:pP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169</w:t>
            </w:r>
          </w:p>
        </w:tc>
        <w:tc>
          <w:tcPr>
            <w:tcW w:w="0" w:type="dxa"/>
            <w:vAlign w:val="bottom"/>
          </w:tcPr>
          <w:p>
            <w:pPr>
              <w:spacing w:after="0"/>
              <w:rPr>
                <w:sz w:val="1"/>
                <w:szCs w:val="1"/>
                <w:color w:val="auto"/>
              </w:rPr>
            </w:pPr>
          </w:p>
        </w:tc>
      </w:tr>
      <w:tr>
        <w:trPr>
          <w:trHeight w:val="158"/>
        </w:trPr>
        <w:tc>
          <w:tcPr>
            <w:tcW w:w="1400" w:type="dxa"/>
            <w:vAlign w:val="bottom"/>
            <w:tcBorders>
              <w:bottom w:val="single" w:sz="8" w:color="0000EE"/>
            </w:tcBorders>
            <w:gridSpan w:val="11"/>
          </w:tcPr>
          <w:p>
            <w:pPr>
              <w:spacing w:after="0" w:line="158" w:lineRule="exact"/>
              <w:rPr>
                <w:rFonts w:ascii="Times New Roman" w:cs="Times New Roman" w:eastAsia="Times New Roman" w:hAnsi="Times New Roman"/>
                <w:sz w:val="15"/>
                <w:szCs w:val="15"/>
                <w:color w:val="0000EE"/>
              </w:rPr>
            </w:pPr>
            <w:hyperlink w:anchor="page199">
              <w:r>
                <w:rPr>
                  <w:rFonts w:ascii="Times New Roman" w:cs="Times New Roman" w:eastAsia="Times New Roman" w:hAnsi="Times New Roman"/>
                  <w:sz w:val="15"/>
                  <w:szCs w:val="15"/>
                  <w:color w:val="0000EE"/>
                </w:rPr>
                <w:t>Principal Shareholders</w:t>
              </w:r>
            </w:hyperlink>
          </w:p>
        </w:tc>
        <w:tc>
          <w:tcPr>
            <w:tcW w:w="6100" w:type="dxa"/>
            <w:vAlign w:val="bottom"/>
            <w:gridSpan w:val="10"/>
          </w:tcPr>
          <w:p>
            <w:pPr>
              <w:spacing w:after="0"/>
              <w:rPr>
                <w:sz w:val="13"/>
                <w:szCs w:val="13"/>
                <w:color w:val="auto"/>
              </w:rPr>
            </w:pP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186</w:t>
            </w:r>
          </w:p>
        </w:tc>
        <w:tc>
          <w:tcPr>
            <w:tcW w:w="0" w:type="dxa"/>
            <w:vAlign w:val="bottom"/>
          </w:tcPr>
          <w:p>
            <w:pPr>
              <w:spacing w:after="0"/>
              <w:rPr>
                <w:sz w:val="1"/>
                <w:szCs w:val="1"/>
                <w:color w:val="auto"/>
              </w:rPr>
            </w:pPr>
          </w:p>
        </w:tc>
      </w:tr>
      <w:tr>
        <w:trPr>
          <w:trHeight w:val="158"/>
        </w:trPr>
        <w:tc>
          <w:tcPr>
            <w:tcW w:w="7500" w:type="dxa"/>
            <w:vAlign w:val="bottom"/>
            <w:gridSpan w:val="21"/>
          </w:tcPr>
          <w:p>
            <w:pPr>
              <w:spacing w:after="0" w:line="158" w:lineRule="exact"/>
              <w:rPr>
                <w:rFonts w:ascii="Times New Roman" w:cs="Times New Roman" w:eastAsia="Times New Roman" w:hAnsi="Times New Roman"/>
                <w:sz w:val="15"/>
                <w:szCs w:val="15"/>
                <w:color w:val="0000EE"/>
              </w:rPr>
            </w:pPr>
            <w:hyperlink w:anchor="page203">
              <w:r>
                <w:rPr>
                  <w:rFonts w:ascii="Times New Roman" w:cs="Times New Roman" w:eastAsia="Times New Roman" w:hAnsi="Times New Roman"/>
                  <w:sz w:val="15"/>
                  <w:szCs w:val="15"/>
                  <w:color w:val="0000EE"/>
                </w:rPr>
                <w:t>Certain Relationships and Related Party Transactions</w:t>
              </w:r>
            </w:hyperlink>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190</w:t>
            </w:r>
          </w:p>
        </w:tc>
        <w:tc>
          <w:tcPr>
            <w:tcW w:w="0" w:type="dxa"/>
            <w:vAlign w:val="bottom"/>
          </w:tcPr>
          <w:p>
            <w:pPr>
              <w:spacing w:after="0"/>
              <w:rPr>
                <w:sz w:val="1"/>
                <w:szCs w:val="1"/>
                <w:color w:val="auto"/>
              </w:rPr>
            </w:pPr>
          </w:p>
        </w:tc>
      </w:tr>
      <w:tr>
        <w:trPr>
          <w:trHeight w:val="158"/>
        </w:trPr>
        <w:tc>
          <w:tcPr>
            <w:tcW w:w="3260" w:type="dxa"/>
            <w:vAlign w:val="bottom"/>
            <w:tcBorders>
              <w:top w:val="single" w:sz="8" w:color="0000EE"/>
            </w:tcBorders>
            <w:gridSpan w:val="17"/>
          </w:tcPr>
          <w:p>
            <w:pPr>
              <w:spacing w:after="0" w:line="158" w:lineRule="exact"/>
              <w:rPr>
                <w:rFonts w:ascii="Times New Roman" w:cs="Times New Roman" w:eastAsia="Times New Roman" w:hAnsi="Times New Roman"/>
                <w:sz w:val="15"/>
                <w:szCs w:val="15"/>
                <w:color w:val="0000EE"/>
              </w:rPr>
            </w:pPr>
            <w:hyperlink w:anchor="page206">
              <w:r>
                <w:rPr>
                  <w:rFonts w:ascii="Times New Roman" w:cs="Times New Roman" w:eastAsia="Times New Roman" w:hAnsi="Times New Roman"/>
                  <w:sz w:val="15"/>
                  <w:szCs w:val="15"/>
                  <w:color w:val="0000EE"/>
                </w:rPr>
                <w:t>Description of Securities</w:t>
              </w:r>
            </w:hyperlink>
          </w:p>
        </w:tc>
        <w:tc>
          <w:tcPr>
            <w:tcW w:w="4240" w:type="dxa"/>
            <w:vAlign w:val="bottom"/>
            <w:gridSpan w:val="4"/>
          </w:tcPr>
          <w:p>
            <w:pPr>
              <w:spacing w:after="0"/>
              <w:rPr>
                <w:sz w:val="13"/>
                <w:szCs w:val="13"/>
                <w:color w:val="auto"/>
              </w:rPr>
            </w:pP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line="20" w:lineRule="exact"/>
              <w:rPr>
                <w:sz w:val="1"/>
                <w:szCs w:val="1"/>
                <w:color w:val="auto"/>
              </w:rPr>
            </w:pPr>
          </w:p>
        </w:tc>
      </w:tr>
      <w:tr>
        <w:trPr>
          <w:trHeight w:val="158"/>
        </w:trPr>
        <w:tc>
          <w:tcPr>
            <w:tcW w:w="7500" w:type="dxa"/>
            <w:vAlign w:val="bottom"/>
            <w:gridSpan w:val="21"/>
          </w:tcPr>
          <w:p>
            <w:pPr>
              <w:spacing w:after="0" w:line="158" w:lineRule="exact"/>
              <w:rPr>
                <w:rFonts w:ascii="Times New Roman" w:cs="Times New Roman" w:eastAsia="Times New Roman" w:hAnsi="Times New Roman"/>
                <w:sz w:val="15"/>
                <w:szCs w:val="15"/>
                <w:color w:val="0000EE"/>
              </w:rPr>
            </w:pPr>
            <w:hyperlink w:anchor="page223">
              <w:r>
                <w:rPr>
                  <w:rFonts w:ascii="Times New Roman" w:cs="Times New Roman" w:eastAsia="Times New Roman" w:hAnsi="Times New Roman"/>
                  <w:sz w:val="15"/>
                  <w:szCs w:val="15"/>
                  <w:color w:val="0000EE"/>
                </w:rPr>
                <w:t>Securities Eligible For Future Sale</w:t>
              </w:r>
            </w:hyperlink>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line="20" w:lineRule="exact"/>
              <w:rPr>
                <w:sz w:val="1"/>
                <w:szCs w:val="1"/>
                <w:color w:val="auto"/>
              </w:rPr>
            </w:pPr>
          </w:p>
        </w:tc>
      </w:tr>
      <w:tr>
        <w:trPr>
          <w:trHeight w:val="158"/>
        </w:trPr>
        <w:tc>
          <w:tcPr>
            <w:tcW w:w="7500" w:type="dxa"/>
            <w:vAlign w:val="bottom"/>
            <w:gridSpan w:val="21"/>
          </w:tcPr>
          <w:p>
            <w:pPr>
              <w:spacing w:after="0" w:line="158" w:lineRule="exact"/>
              <w:rPr>
                <w:rFonts w:ascii="Times New Roman" w:cs="Times New Roman" w:eastAsia="Times New Roman" w:hAnsi="Times New Roman"/>
                <w:sz w:val="15"/>
                <w:szCs w:val="15"/>
                <w:color w:val="0000EE"/>
              </w:rPr>
            </w:pPr>
            <w:hyperlink w:anchor="page228">
              <w:r>
                <w:rPr>
                  <w:rFonts w:ascii="Times New Roman" w:cs="Times New Roman" w:eastAsia="Times New Roman" w:hAnsi="Times New Roman"/>
                  <w:sz w:val="15"/>
                  <w:szCs w:val="15"/>
                  <w:color w:val="0000EE"/>
                </w:rPr>
                <w:t>Material United States Federal Income Tax Considerations</w:t>
              </w:r>
            </w:hyperlink>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00" w:type="dxa"/>
            <w:vAlign w:val="bottom"/>
            <w:tcBorders>
              <w:top w:val="single" w:sz="8" w:color="0000EE"/>
            </w:tcBorders>
            <w:gridSpan w:val="19"/>
          </w:tcPr>
          <w:p>
            <w:pPr>
              <w:spacing w:after="0" w:line="158" w:lineRule="exact"/>
              <w:rPr>
                <w:rFonts w:ascii="Times New Roman" w:cs="Times New Roman" w:eastAsia="Times New Roman" w:hAnsi="Times New Roman"/>
                <w:sz w:val="15"/>
                <w:szCs w:val="15"/>
                <w:color w:val="0000EE"/>
              </w:rPr>
            </w:pPr>
            <w:hyperlink w:anchor="page238">
              <w:r>
                <w:rPr>
                  <w:rFonts w:ascii="Times New Roman" w:cs="Times New Roman" w:eastAsia="Times New Roman" w:hAnsi="Times New Roman"/>
                  <w:sz w:val="15"/>
                  <w:szCs w:val="15"/>
                  <w:color w:val="0000EE"/>
                </w:rPr>
                <w:t>Underwriting</w:t>
              </w:r>
            </w:hyperlink>
          </w:p>
        </w:tc>
        <w:tc>
          <w:tcPr>
            <w:tcW w:w="3900" w:type="dxa"/>
            <w:vAlign w:val="bottom"/>
            <w:gridSpan w:val="2"/>
          </w:tcPr>
          <w:p>
            <w:pPr>
              <w:spacing w:after="0"/>
              <w:rPr>
                <w:sz w:val="13"/>
                <w:szCs w:val="13"/>
                <w:color w:val="auto"/>
              </w:rPr>
            </w:pP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225</w:t>
            </w: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0" w:type="dxa"/>
            <w:vAlign w:val="bottom"/>
          </w:tcPr>
          <w:p>
            <w:pPr>
              <w:spacing w:after="0" w:line="20" w:lineRule="exact"/>
              <w:rPr>
                <w:sz w:val="1"/>
                <w:szCs w:val="1"/>
                <w:color w:val="auto"/>
              </w:rPr>
            </w:pPr>
          </w:p>
        </w:tc>
      </w:tr>
      <w:tr>
        <w:trPr>
          <w:trHeight w:val="158"/>
        </w:trPr>
        <w:tc>
          <w:tcPr>
            <w:tcW w:w="860" w:type="dxa"/>
            <w:vAlign w:val="bottom"/>
            <w:tcBorders>
              <w:bottom w:val="single" w:sz="8" w:color="0000EE"/>
            </w:tcBorders>
            <w:gridSpan w:val="7"/>
          </w:tcPr>
          <w:p>
            <w:pPr>
              <w:spacing w:after="0" w:line="158" w:lineRule="exact"/>
              <w:rPr>
                <w:rFonts w:ascii="Times New Roman" w:cs="Times New Roman" w:eastAsia="Times New Roman" w:hAnsi="Times New Roman"/>
                <w:sz w:val="15"/>
                <w:szCs w:val="15"/>
                <w:color w:val="0000EE"/>
              </w:rPr>
            </w:pPr>
            <w:hyperlink w:anchor="page246">
              <w:r>
                <w:rPr>
                  <w:rFonts w:ascii="Times New Roman" w:cs="Times New Roman" w:eastAsia="Times New Roman" w:hAnsi="Times New Roman"/>
                  <w:sz w:val="15"/>
                  <w:szCs w:val="15"/>
                  <w:color w:val="0000EE"/>
                </w:rPr>
                <w:t>Legal Matters</w:t>
              </w:r>
            </w:hyperlink>
          </w:p>
        </w:tc>
        <w:tc>
          <w:tcPr>
            <w:tcW w:w="6640" w:type="dxa"/>
            <w:vAlign w:val="bottom"/>
            <w:gridSpan w:val="14"/>
          </w:tcPr>
          <w:p>
            <w:pPr>
              <w:spacing w:after="0"/>
              <w:rPr>
                <w:sz w:val="13"/>
                <w:szCs w:val="13"/>
                <w:color w:val="auto"/>
              </w:rPr>
            </w:pP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00" w:type="dxa"/>
            <w:vAlign w:val="bottom"/>
            <w:gridSpan w:val="21"/>
          </w:tcPr>
          <w:p>
            <w:pPr>
              <w:spacing w:after="0" w:line="158" w:lineRule="exact"/>
              <w:rPr>
                <w:rFonts w:ascii="Times New Roman" w:cs="Times New Roman" w:eastAsia="Times New Roman" w:hAnsi="Times New Roman"/>
                <w:sz w:val="15"/>
                <w:szCs w:val="15"/>
                <w:color w:val="0000EE"/>
              </w:rPr>
            </w:pPr>
            <w:hyperlink w:anchor="page247">
              <w:r>
                <w:rPr>
                  <w:rFonts w:ascii="Times New Roman" w:cs="Times New Roman" w:eastAsia="Times New Roman" w:hAnsi="Times New Roman"/>
                  <w:sz w:val="15"/>
                  <w:szCs w:val="15"/>
                  <w:color w:val="0000EE"/>
                </w:rPr>
                <w:t>Experts</w:t>
              </w:r>
            </w:hyperlink>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1360" w:type="dxa"/>
            <w:vAlign w:val="bottom"/>
            <w:gridSpan w:val="1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0" w:type="dxa"/>
            <w:vAlign w:val="bottom"/>
          </w:tcPr>
          <w:p>
            <w:pPr>
              <w:spacing w:after="0" w:line="20" w:lineRule="exact"/>
              <w:rPr>
                <w:sz w:val="1"/>
                <w:szCs w:val="1"/>
                <w:color w:val="auto"/>
              </w:rPr>
            </w:pPr>
          </w:p>
        </w:tc>
      </w:tr>
      <w:tr>
        <w:trPr>
          <w:trHeight w:val="158"/>
        </w:trPr>
        <w:tc>
          <w:tcPr>
            <w:tcW w:w="7500" w:type="dxa"/>
            <w:vAlign w:val="bottom"/>
            <w:gridSpan w:val="21"/>
          </w:tcPr>
          <w:p>
            <w:pPr>
              <w:spacing w:after="0" w:line="158" w:lineRule="exact"/>
              <w:rPr>
                <w:rFonts w:ascii="Times New Roman" w:cs="Times New Roman" w:eastAsia="Times New Roman" w:hAnsi="Times New Roman"/>
                <w:sz w:val="15"/>
                <w:szCs w:val="15"/>
                <w:color w:val="0000EE"/>
              </w:rPr>
            </w:pPr>
            <w:hyperlink w:anchor="page248">
              <w:r>
                <w:rPr>
                  <w:rFonts w:ascii="Times New Roman" w:cs="Times New Roman" w:eastAsia="Times New Roman" w:hAnsi="Times New Roman"/>
                  <w:sz w:val="15"/>
                  <w:szCs w:val="15"/>
                  <w:color w:val="0000EE"/>
                </w:rPr>
                <w:t>Where You Can Find Additional Information</w:t>
              </w:r>
            </w:hyperlink>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80" w:type="dxa"/>
            <w:vAlign w:val="bottom"/>
            <w:tcBorders>
              <w:top w:val="single" w:sz="8" w:color="0000EE"/>
            </w:tcBorders>
            <w:gridSpan w:val="16"/>
          </w:tcPr>
          <w:p>
            <w:pPr>
              <w:spacing w:after="0" w:line="158" w:lineRule="exact"/>
              <w:rPr>
                <w:rFonts w:ascii="Times New Roman" w:cs="Times New Roman" w:eastAsia="Times New Roman" w:hAnsi="Times New Roman"/>
                <w:sz w:val="15"/>
                <w:szCs w:val="15"/>
                <w:color w:val="0000EE"/>
              </w:rPr>
            </w:pPr>
            <w:hyperlink w:anchor="page249">
              <w:r>
                <w:rPr>
                  <w:rFonts w:ascii="Times New Roman" w:cs="Times New Roman" w:eastAsia="Times New Roman" w:hAnsi="Times New Roman"/>
                  <w:sz w:val="15"/>
                  <w:szCs w:val="15"/>
                  <w:color w:val="0000EE"/>
                </w:rPr>
                <w:t>Index to Financial Statements</w:t>
              </w:r>
            </w:hyperlink>
          </w:p>
        </w:tc>
        <w:tc>
          <w:tcPr>
            <w:tcW w:w="4720" w:type="dxa"/>
            <w:vAlign w:val="bottom"/>
            <w:gridSpan w:val="5"/>
          </w:tcPr>
          <w:p>
            <w:pPr>
              <w:spacing w:after="0"/>
              <w:rPr>
                <w:sz w:val="13"/>
                <w:szCs w:val="13"/>
                <w:color w:val="auto"/>
              </w:rPr>
            </w:pPr>
          </w:p>
        </w:tc>
        <w:tc>
          <w:tcPr>
            <w:tcW w:w="212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F-1</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Trademarks</w:t>
      </w:r>
    </w:p>
    <w:p>
      <w:pPr>
        <w:spacing w:after="0" w:line="199" w:lineRule="exact"/>
        <w:rPr>
          <w:sz w:val="20"/>
          <w:szCs w:val="20"/>
          <w:color w:val="auto"/>
        </w:rPr>
      </w:pPr>
    </w:p>
    <w:p>
      <w:pPr>
        <w:ind w:left="460"/>
        <w:spacing w:after="0" w:line="224" w:lineRule="auto"/>
        <w:rPr>
          <w:sz w:val="20"/>
          <w:szCs w:val="20"/>
          <w:color w:val="auto"/>
        </w:rPr>
      </w:pPr>
      <w:r>
        <w:rPr>
          <w:rFonts w:ascii="Times New Roman" w:cs="Times New Roman" w:eastAsia="Times New Roman" w:hAnsi="Times New Roman"/>
          <w:sz w:val="15"/>
          <w:szCs w:val="15"/>
          <w:color w:val="auto"/>
        </w:rPr>
        <w:t xml:space="preserve">This prospectus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i</w:t>
      </w:r>
    </w:p>
    <w:p>
      <w:pPr>
        <w:sectPr>
          <w:pgSz w:w="11900" w:h="16840" w:orient="portrait"/>
          <w:cols w:equalWidth="0" w:num="1">
            <w:col w:w="10140"/>
          </w:cols>
          <w:pgMar w:left="660" w:top="874" w:right="1100"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5212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7275" cy="5212080"/>
                    </a:xfrm>
                    <a:prstGeom prst="rect">
                      <a:avLst/>
                    </a:prstGeom>
                    <a:noFill/>
                  </pic:spPr>
                </pic:pic>
              </a:graphicData>
            </a:graphic>
          </wp:anchor>
        </w:drawing>
      </w:r>
    </w:p>
    <w:p>
      <w:pPr>
        <w:spacing w:after="0" w:line="40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5"/>
          <w:szCs w:val="15"/>
          <w:b w:val="1"/>
          <w:bCs w:val="1"/>
          <w:color w:val="auto"/>
        </w:rPr>
        <w:t>SUMMARY</w:t>
      </w:r>
    </w:p>
    <w:p>
      <w:pPr>
        <w:spacing w:after="0" w:line="195" w:lineRule="exact"/>
        <w:rPr>
          <w:sz w:val="20"/>
          <w:szCs w:val="20"/>
          <w:color w:val="auto"/>
        </w:rPr>
      </w:pPr>
    </w:p>
    <w:p>
      <w:pPr>
        <w:ind w:left="600" w:right="20" w:firstLine="367"/>
        <w:spacing w:after="0" w:line="268" w:lineRule="auto"/>
        <w:rPr>
          <w:sz w:val="20"/>
          <w:szCs w:val="20"/>
          <w:color w:val="auto"/>
        </w:rPr>
      </w:pPr>
      <w:r>
        <w:rPr>
          <w:rFonts w:ascii="Times New Roman" w:cs="Times New Roman" w:eastAsia="Times New Roman" w:hAnsi="Times New Roman"/>
          <w:sz w:val="15"/>
          <w:szCs w:val="15"/>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i w:val="1"/>
          <w:iCs w:val="1"/>
          <w:color w:val="auto"/>
        </w:rPr>
        <w:t>Unless otherwise stated in this prospectus or the context otherwise requires, references to:</w:t>
      </w:r>
    </w:p>
    <w:p>
      <w:pPr>
        <w:spacing w:after="0" w:line="124" w:lineRule="exact"/>
        <w:rPr>
          <w:sz w:val="20"/>
          <w:szCs w:val="20"/>
          <w:color w:val="auto"/>
        </w:rPr>
      </w:pPr>
    </w:p>
    <w:p>
      <w:pPr>
        <w:ind w:left="1420" w:right="480" w:hanging="349"/>
        <w:spacing w:after="0" w:line="289" w:lineRule="auto"/>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“amended and restated memorandum and articles of association” refer to the amended and restated memorandum and articles of association of the company which will be adopted prior to the consummation of this offering;</w:t>
      </w:r>
    </w:p>
    <w:p>
      <w:pPr>
        <w:spacing w:after="0" w:line="58"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“combined team” refer to our management team and our other advisors, collectively;</w:t>
      </w:r>
    </w:p>
    <w:p>
      <w:pPr>
        <w:spacing w:after="0" w:line="123"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“Companies Act” are to the Companies Act (As Revised) of the Cayman Islands as the same may be amended from time to time;</w:t>
      </w:r>
    </w:p>
    <w:p>
      <w:pPr>
        <w:spacing w:after="0" w:line="123" w:lineRule="exact"/>
        <w:rPr>
          <w:rFonts w:ascii="Times New Roman" w:cs="Times New Roman" w:eastAsia="Times New Roman" w:hAnsi="Times New Roman"/>
          <w:sz w:val="15"/>
          <w:szCs w:val="15"/>
          <w:color w:val="auto"/>
        </w:rPr>
      </w:pPr>
    </w:p>
    <w:p>
      <w:pPr>
        <w:ind w:left="1420" w:hanging="349"/>
        <w:spacing w:after="0" w:line="255" w:lineRule="auto"/>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“completion window” are to (i) 24 months from the closing of this offering; or (ii) or such earlier liquidation date as our board of directors may approve, in which we must complete an initial business combination; or (iii) such other time period in which we must complete an initial business combination pursuant to an amendment to our amended and restated memorandum and articles of association. Our shareholders can also vote at any time to amend our amended and restated memorandum and articles of association to modify the amount of time we will have to complete an initial business combination, in which case our public shareholders will be offered an opportunity to redeem their public shares;</w:t>
      </w:r>
    </w:p>
    <w:p>
      <w:pPr>
        <w:spacing w:after="0" w:line="84"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“directors” are to our directors (including our director nominees named in this prospectus);</w:t>
      </w:r>
    </w:p>
    <w:p>
      <w:pPr>
        <w:spacing w:after="0" w:line="123" w:lineRule="exact"/>
        <w:rPr>
          <w:rFonts w:ascii="Times New Roman" w:cs="Times New Roman" w:eastAsia="Times New Roman" w:hAnsi="Times New Roman"/>
          <w:sz w:val="15"/>
          <w:szCs w:val="15"/>
          <w:color w:val="auto"/>
        </w:rPr>
      </w:pPr>
    </w:p>
    <w:p>
      <w:pPr>
        <w:ind w:left="1420" w:right="40" w:hanging="349"/>
        <w:spacing w:after="0" w:line="261" w:lineRule="auto"/>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“founder shares” are to Class B ordinary shares initially purchased by our sponsor in a private placement prior to this offering and then partially sold to four of our directors and the Class A ordinary shares that will be issued upon the automatic conversion of the ClassB ordinary shares at the time of our initial business combination or earlier at the option of the holders thereof as described herein (such Class A ordinary shares will not be “public shares”);</w:t>
      </w:r>
    </w:p>
    <w:p>
      <w:pPr>
        <w:spacing w:after="0" w:line="78" w:lineRule="exact"/>
        <w:rPr>
          <w:rFonts w:ascii="Times New Roman" w:cs="Times New Roman" w:eastAsia="Times New Roman" w:hAnsi="Times New Roman"/>
          <w:sz w:val="15"/>
          <w:szCs w:val="15"/>
          <w:color w:val="auto"/>
        </w:rPr>
      </w:pPr>
    </w:p>
    <w:p>
      <w:pPr>
        <w:ind w:left="1420" w:right="200" w:hanging="349"/>
        <w:spacing w:after="0" w:line="268" w:lineRule="auto"/>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“initial shareholders” refer to our sponsor (or non-affiliated investors to which our sponsor assigns this subscription for the private placement units and as a result, transfers any founder shares), the non-managing investors and our directors and officers to the extent they hold the founder shares immediately prior to the consummation of this offering;</w:t>
      </w:r>
    </w:p>
    <w:p>
      <w:pPr>
        <w:spacing w:after="0" w:line="73" w:lineRule="exact"/>
        <w:rPr>
          <w:rFonts w:ascii="Times New Roman" w:cs="Times New Roman" w:eastAsia="Times New Roman" w:hAnsi="Times New Roman"/>
          <w:sz w:val="15"/>
          <w:szCs w:val="15"/>
          <w:color w:val="auto"/>
        </w:rPr>
      </w:pPr>
    </w:p>
    <w:p>
      <w:pPr>
        <w:ind w:left="1420" w:right="300" w:hanging="349"/>
        <w:spacing w:after="0" w:line="289" w:lineRule="auto"/>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“insiders” are to our sponsor and all of our officers and directors to the extent they hold the founder shares immediately prior to the consummation of this offering and / or purchase private placement units concurrently with this offering;</w:t>
      </w:r>
    </w:p>
    <w:p>
      <w:pPr>
        <w:spacing w:after="0" w:line="58"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“Investment Company Act” are to the Investment Company Act of 1940, as amended;</w:t>
      </w:r>
    </w:p>
    <w:p>
      <w:pPr>
        <w:spacing w:after="0" w:line="123"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“management” or our “management team” refer to our directors and executive officers;</w:t>
      </w:r>
    </w:p>
    <w:p>
      <w:pPr>
        <w:spacing w:after="0" w:line="123" w:lineRule="exact"/>
        <w:rPr>
          <w:rFonts w:ascii="Times New Roman" w:cs="Times New Roman" w:eastAsia="Times New Roman" w:hAnsi="Times New Roman"/>
          <w:sz w:val="15"/>
          <w:szCs w:val="15"/>
          <w:color w:val="auto"/>
        </w:rPr>
      </w:pPr>
    </w:p>
    <w:p>
      <w:pPr>
        <w:ind w:left="1420" w:right="80" w:hanging="349"/>
        <w:spacing w:after="0" w:line="253" w:lineRule="auto"/>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non-managing investors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refer to eight groups of institutional accredited investors (none of which are affiliated with our sponsor, 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member of our management, other members of our sponsor or any other investor) that have committed to purchase an aggregate of (a) 2,964,203 Class B ordinary shares (of which up to 386,681 ClassB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 allotment option is exercised in full) from the company in a private placement that will close simultaneously with this offering;</w:t>
      </w: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1</w:t>
      </w:r>
    </w:p>
    <w:p>
      <w:pPr>
        <w:sectPr>
          <w:pgSz w:w="11900" w:h="16840" w:orient="portrait"/>
          <w:cols w:equalWidth="0" w:num="1">
            <w:col w:w="9920"/>
          </w:cols>
          <w:pgMar w:left="660" w:top="874" w:right="1320"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859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7275" cy="4859020"/>
                    </a:xfrm>
                    <a:prstGeom prst="rect">
                      <a:avLst/>
                    </a:prstGeom>
                    <a:noFill/>
                  </pic:spPr>
                </pic:pic>
              </a:graphicData>
            </a:graphic>
          </wp:anchor>
        </w:drawing>
      </w:r>
    </w:p>
    <w:p>
      <w:pPr>
        <w:spacing w:after="0" w:line="400" w:lineRule="exact"/>
        <w:rPr>
          <w:sz w:val="20"/>
          <w:szCs w:val="20"/>
          <w:color w:val="auto"/>
        </w:rPr>
      </w:pPr>
    </w:p>
    <w:p>
      <w:pPr>
        <w:ind w:left="1420" w:hanging="349"/>
        <w:spacing w:after="0" w:line="261"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“ordinary resolution” are to a resolution of the company passed by a simple majority of the votes cast by such shareholders as, being entitled to do so, vote in person or, where proxies are allowed, by proxy at a general meeting of the company, or a resolution approved in writing by all of the holders of the issued shares entitled to vote on such matter (or such lower threshold as may be allowed under the Companies Act from time to time);;</w:t>
      </w:r>
    </w:p>
    <w:p>
      <w:pPr>
        <w:spacing w:after="0" w:line="78"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“ordinary shares” are to our Class A ordinary shares and our Class B ordinary shares;</w:t>
      </w:r>
    </w:p>
    <w:p>
      <w:pPr>
        <w:spacing w:after="0" w:line="123" w:lineRule="exact"/>
        <w:rPr>
          <w:rFonts w:ascii="Times New Roman" w:cs="Times New Roman" w:eastAsia="Times New Roman" w:hAnsi="Times New Roman"/>
          <w:sz w:val="15"/>
          <w:szCs w:val="15"/>
          <w:color w:val="auto"/>
        </w:rPr>
      </w:pPr>
    </w:p>
    <w:p>
      <w:pPr>
        <w:ind w:left="1420" w:right="20" w:hanging="349"/>
        <w:spacing w:after="0" w:line="289" w:lineRule="auto"/>
        <w:tabs>
          <w:tab w:leader="none" w:pos="1420" w:val="left"/>
        </w:tabs>
        <w:numPr>
          <w:ilvl w:val="0"/>
          <w:numId w:val="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“permitted withdrawals” refer to amounts withdrawn to fund our working capital requirements, subject to an annual limit of $1,000,000, and to pay our taxes, if any, and such withdrawals can only be made from interest and not from the principal held in the trust account;</w:t>
      </w:r>
    </w:p>
    <w:p>
      <w:pPr>
        <w:spacing w:after="0" w:line="58" w:lineRule="exact"/>
        <w:rPr>
          <w:rFonts w:ascii="Times New Roman" w:cs="Times New Roman" w:eastAsia="Times New Roman" w:hAnsi="Times New Roman"/>
          <w:sz w:val="15"/>
          <w:szCs w:val="15"/>
          <w:i w:val="1"/>
          <w:iCs w:val="1"/>
          <w:color w:val="auto"/>
        </w:rPr>
      </w:pPr>
    </w:p>
    <w:p>
      <w:pPr>
        <w:ind w:left="1420" w:right="580" w:hanging="349"/>
        <w:spacing w:after="0" w:line="289"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“private investor shares” refer to 2,964,203 Class B ordinary shares to be purchased by the non-managing investors in a private placement, of which 386,681 Class B ordinary shares remain subject to forfeiture;</w:t>
      </w:r>
    </w:p>
    <w:p>
      <w:pPr>
        <w:spacing w:after="0" w:line="58" w:lineRule="exact"/>
        <w:rPr>
          <w:rFonts w:ascii="Times New Roman" w:cs="Times New Roman" w:eastAsia="Times New Roman" w:hAnsi="Times New Roman"/>
          <w:sz w:val="15"/>
          <w:szCs w:val="15"/>
          <w:color w:val="auto"/>
        </w:rPr>
      </w:pPr>
    </w:p>
    <w:p>
      <w:pPr>
        <w:ind w:left="1420" w:hanging="349"/>
        <w:spacing w:after="0" w:line="289"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“private placement rights” refer to the rights to receive 1/10</w:t>
      </w:r>
      <w:r>
        <w:rPr>
          <w:rFonts w:ascii="Times New Roman" w:cs="Times New Roman" w:eastAsia="Times New Roman" w:hAnsi="Times New Roman"/>
          <w:sz w:val="9"/>
          <w:szCs w:val="9"/>
          <w:i w:val="1"/>
          <w:iCs w:val="1"/>
          <w:color w:val="auto"/>
        </w:rPr>
        <w:t>th</w:t>
      </w:r>
      <w:r>
        <w:rPr>
          <w:rFonts w:ascii="Times New Roman" w:cs="Times New Roman" w:eastAsia="Times New Roman" w:hAnsi="Times New Roman"/>
          <w:sz w:val="15"/>
          <w:szCs w:val="15"/>
          <w:i w:val="1"/>
          <w:iCs w:val="1"/>
          <w:color w:val="auto"/>
        </w:rPr>
        <w:t xml:space="preserve"> of one Class A ordinary share upon the consummation of an initial business combination included in the private placement units;</w:t>
      </w:r>
    </w:p>
    <w:p>
      <w:pPr>
        <w:spacing w:after="0" w:line="58" w:lineRule="exact"/>
        <w:rPr>
          <w:rFonts w:ascii="Times New Roman" w:cs="Times New Roman" w:eastAsia="Times New Roman" w:hAnsi="Times New Roman"/>
          <w:sz w:val="15"/>
          <w:szCs w:val="15"/>
          <w:color w:val="auto"/>
        </w:rPr>
      </w:pPr>
    </w:p>
    <w:p>
      <w:pPr>
        <w:ind w:left="1420" w:right="120" w:hanging="349"/>
        <w:spacing w:after="0" w:line="261"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“private placement shares” refer to (i) 95,200 Class A ordinary shares included in private placement units to be purchased by the insiders and Lynrock in a private placement pursuant to the Unit Purchase Agreement concurrently with this offering, and (ii) 242,475 Class A ordinary shares (or 262,457 Class A ordinary shares if the underwriters exercise their over-allotment option in full) included in private placement units to be purchased by the non-managing investors in a private placement concurrently with this offering;</w:t>
      </w:r>
    </w:p>
    <w:p>
      <w:pPr>
        <w:spacing w:after="0" w:line="78" w:lineRule="exact"/>
        <w:rPr>
          <w:rFonts w:ascii="Times New Roman" w:cs="Times New Roman" w:eastAsia="Times New Roman" w:hAnsi="Times New Roman"/>
          <w:sz w:val="15"/>
          <w:szCs w:val="15"/>
          <w:color w:val="auto"/>
        </w:rPr>
      </w:pPr>
    </w:p>
    <w:p>
      <w:pPr>
        <w:ind w:left="1420" w:right="100" w:hanging="349"/>
        <w:spacing w:after="0" w:line="257"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“private placement units” refer to the units issued in private placements pursuant to the Unit Purchase Agreement with the insiders and Lynrock for 95,200 private placement units, and the non-managing investors for 242,475 private placement units (or 262,457 private placement units if the underwriters exercise their over-allotment option in full) that will occur concurrently with the closing of this offering, which private placement units are identical to the public units sold in this offering, subject to certain limited exceptions as described in this prospectus;</w:t>
      </w:r>
    </w:p>
    <w:p>
      <w:pPr>
        <w:spacing w:after="0" w:line="83" w:lineRule="exact"/>
        <w:rPr>
          <w:rFonts w:ascii="Times New Roman" w:cs="Times New Roman" w:eastAsia="Times New Roman" w:hAnsi="Times New Roman"/>
          <w:sz w:val="15"/>
          <w:szCs w:val="15"/>
          <w:color w:val="auto"/>
        </w:rPr>
      </w:pPr>
    </w:p>
    <w:p>
      <w:pPr>
        <w:ind w:left="1420" w:hanging="349"/>
        <w:spacing w:after="0" w:line="289"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“public rights” are to the rights to receive 1/10</w:t>
      </w:r>
      <w:r>
        <w:rPr>
          <w:rFonts w:ascii="Times New Roman" w:cs="Times New Roman" w:eastAsia="Times New Roman" w:hAnsi="Times New Roman"/>
          <w:sz w:val="9"/>
          <w:szCs w:val="9"/>
          <w:i w:val="1"/>
          <w:iCs w:val="1"/>
          <w:color w:val="auto"/>
        </w:rPr>
        <w:t>th</w:t>
      </w:r>
      <w:r>
        <w:rPr>
          <w:rFonts w:ascii="Times New Roman" w:cs="Times New Roman" w:eastAsia="Times New Roman" w:hAnsi="Times New Roman"/>
          <w:sz w:val="15"/>
          <w:szCs w:val="15"/>
          <w:i w:val="1"/>
          <w:iCs w:val="1"/>
          <w:color w:val="auto"/>
        </w:rPr>
        <w:t xml:space="preserve"> of one Class A ordinary share upon the consummation of an initial business combination that are being sold as part of the public units in this offering;</w:t>
      </w:r>
    </w:p>
    <w:p>
      <w:pPr>
        <w:spacing w:after="0" w:line="58" w:lineRule="exact"/>
        <w:rPr>
          <w:rFonts w:ascii="Times New Roman" w:cs="Times New Roman" w:eastAsia="Times New Roman" w:hAnsi="Times New Roman"/>
          <w:sz w:val="15"/>
          <w:szCs w:val="15"/>
          <w:color w:val="auto"/>
        </w:rPr>
      </w:pPr>
    </w:p>
    <w:p>
      <w:pPr>
        <w:ind w:left="1420" w:right="260" w:hanging="349"/>
        <w:spacing w:after="0" w:line="268"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“public shares” are to our Class A ordinary shares sold as part of the public units in this offering (whether they are purchased in this offering or thereafter on the open market; such Class A ordinary shares exclude private placement shares and any Class A ordinary shares that are issued upon conversion of our Class B ordinary shares);</w:t>
      </w:r>
    </w:p>
    <w:p>
      <w:pPr>
        <w:spacing w:after="0" w:line="73" w:lineRule="exact"/>
        <w:rPr>
          <w:rFonts w:ascii="Times New Roman" w:cs="Times New Roman" w:eastAsia="Times New Roman" w:hAnsi="Times New Roman"/>
          <w:sz w:val="15"/>
          <w:szCs w:val="15"/>
          <w:color w:val="auto"/>
        </w:rPr>
      </w:pPr>
    </w:p>
    <w:p>
      <w:pPr>
        <w:jc w:val="both"/>
        <w:ind w:left="1420" w:right="120" w:hanging="349"/>
        <w:spacing w:after="0" w:line="268"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“public shareholders” refer to the holders of our public shares, including our sponsor (as defined below), anynon-managing investors, executive officers and directors to the extent they purchase public shares, provided that their status as “public shareholders” shall only exist with respect to such public shares;</w:t>
      </w:r>
    </w:p>
    <w:p>
      <w:pPr>
        <w:spacing w:after="0" w:line="73"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“rights” refer to the public rights and the private placement rights;</w:t>
      </w:r>
    </w:p>
    <w:p>
      <w:pPr>
        <w:spacing w:after="0" w:line="123" w:lineRule="exact"/>
        <w:rPr>
          <w:rFonts w:ascii="Times New Roman" w:cs="Times New Roman" w:eastAsia="Times New Roman" w:hAnsi="Times New Roman"/>
          <w:sz w:val="15"/>
          <w:szCs w:val="15"/>
          <w:color w:val="auto"/>
        </w:rPr>
      </w:pPr>
    </w:p>
    <w:p>
      <w:pPr>
        <w:ind w:left="1420" w:hanging="349"/>
        <w:spacing w:after="0" w:line="257"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“special resolution” are to a resolution of our company passed by at least a two-thirds (2/3) majority (or such higher approval threshold as specified in our company’s amended and restated memorandum and articles of association) of the votes cast by such shareholders as, being entitled to do so, vote in person or, where proxies are allowed, by proxy at a general meeting of our company of which notice specifying the intention to propose the resolution as a special resolution has been duly given, or a resolution approved in writing by all of the holders of the issued shares entitled to vote on such matter.</w:t>
      </w: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2</w:t>
      </w:r>
    </w:p>
    <w:p>
      <w:pPr>
        <w:sectPr>
          <w:pgSz w:w="11900" w:h="16840" w:orient="portrait"/>
          <w:cols w:equalWidth="0" w:num="1">
            <w:col w:w="9920"/>
          </w:cols>
          <w:pgMar w:left="660" w:top="874" w:right="1320" w:bottom="1440" w:gutter="0" w:footer="0" w:header="0"/>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625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7275" cy="4625340"/>
                    </a:xfrm>
                    <a:prstGeom prst="rect">
                      <a:avLst/>
                    </a:prstGeom>
                    <a:noFill/>
                  </pic:spPr>
                </pic:pic>
              </a:graphicData>
            </a:graphic>
          </wp:anchor>
        </w:drawing>
      </w:r>
    </w:p>
    <w:p>
      <w:pPr>
        <w:spacing w:after="0" w:line="400" w:lineRule="exact"/>
        <w:rPr>
          <w:sz w:val="20"/>
          <w:szCs w:val="20"/>
          <w:color w:val="auto"/>
        </w:rPr>
      </w:pPr>
    </w:p>
    <w:p>
      <w:pPr>
        <w:ind w:left="1440" w:right="40"/>
        <w:spacing w:after="0" w:line="252" w:lineRule="auto"/>
        <w:rPr>
          <w:sz w:val="20"/>
          <w:szCs w:val="20"/>
          <w:color w:val="auto"/>
        </w:rPr>
      </w:pPr>
      <w:r>
        <w:rPr>
          <w:rFonts w:ascii="Times New Roman" w:cs="Times New Roman" w:eastAsia="Times New Roman" w:hAnsi="Times New Roman"/>
          <w:sz w:val="15"/>
          <w:szCs w:val="15"/>
          <w:i w:val="1"/>
          <w:iCs w:val="1"/>
          <w:color w:val="auto"/>
        </w:rPr>
        <w:t>For example, assuming that only the holders of one-third of our issued and outstanding ordinary shares, representing a quorum under our amended and restated memorandum and articles of association, vote their shares at such shareholders meeting, a special resolution can be passed by holders of at least 7,053,664 ordinary shares of our company (assuming no exercise of the over-allotment option by the underwriters), which means that the insiders along with non-managing investors holding 9,403,808 ordinary shares in the aggregate may adopt such special resolution without any additional vote by public shareholders. If all the issued and outstanding ordinary shares of our company are present and entitled to vote at such shareholders meeting, a special resolution will require vote of holders of at least 21,160,989 ordinary shares of our company (assuming no exercise of the over-allotment option by the underwriters), which in addition to the founder shares, private investor shares and private placement units that our insiders and non-managing investors have committed to purchase, will require approximately 11,419,506 public shares, or approximately 51.91% of the 22,000,000;</w:t>
      </w:r>
    </w:p>
    <w:p>
      <w:pPr>
        <w:spacing w:after="0" w:line="87" w:lineRule="exact"/>
        <w:rPr>
          <w:sz w:val="20"/>
          <w:szCs w:val="20"/>
          <w:color w:val="auto"/>
        </w:rPr>
      </w:pPr>
    </w:p>
    <w:p>
      <w:pPr>
        <w:ind w:left="1420" w:right="180" w:hanging="349"/>
        <w:spacing w:after="0" w:line="289" w:lineRule="auto"/>
        <w:tabs>
          <w:tab w:leader="none" w:pos="14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“sponsor” refer to GigAcquisitions8 Corp., a company owned by Dr. Avi Katz, our Chief Executive Officer and Chairman of the Board, and Dr. Raluca Dinu, who is one of our directors; Drs. Katz and Dinu are husband and wife;</w:t>
      </w:r>
    </w:p>
    <w:p>
      <w:pPr>
        <w:spacing w:after="0" w:line="58" w:lineRule="exact"/>
        <w:rPr>
          <w:rFonts w:ascii="Times New Roman" w:cs="Times New Roman" w:eastAsia="Times New Roman" w:hAnsi="Times New Roman"/>
          <w:sz w:val="15"/>
          <w:szCs w:val="15"/>
          <w:color w:val="auto"/>
        </w:rPr>
      </w:pPr>
    </w:p>
    <w:p>
      <w:pPr>
        <w:ind w:left="1420" w:right="280" w:hanging="349"/>
        <w:spacing w:after="0" w:line="289" w:lineRule="auto"/>
        <w:tabs>
          <w:tab w:leader="none" w:pos="1420" w:val="left"/>
        </w:tabs>
        <w:numPr>
          <w:ilvl w:val="0"/>
          <w:numId w:val="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“underwriters’ over-allotment option” are to the underwriters’ 45-day option to purchase up to an additional 3,300,000 units to cover over-allotments, if any; and</w:t>
      </w:r>
    </w:p>
    <w:p>
      <w:pPr>
        <w:spacing w:after="0" w:line="58" w:lineRule="exact"/>
        <w:rPr>
          <w:rFonts w:ascii="Times New Roman" w:cs="Times New Roman" w:eastAsia="Times New Roman" w:hAnsi="Times New Roman"/>
          <w:sz w:val="15"/>
          <w:szCs w:val="15"/>
          <w:i w:val="1"/>
          <w:iCs w:val="1"/>
          <w:color w:val="auto"/>
        </w:rPr>
      </w:pPr>
    </w:p>
    <w:p>
      <w:pPr>
        <w:ind w:left="1420" w:hanging="349"/>
        <w:spacing w:after="0"/>
        <w:tabs>
          <w:tab w:leader="none" w:pos="1420" w:val="left"/>
        </w:tabs>
        <w:numPr>
          <w:ilvl w:val="0"/>
          <w:numId w:val="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“we,” “us” or “our company” refer to GigCapital8 Corp.</w:t>
      </w:r>
    </w:p>
    <w:p>
      <w:pPr>
        <w:spacing w:after="0" w:line="195" w:lineRule="exact"/>
        <w:rPr>
          <w:sz w:val="20"/>
          <w:szCs w:val="20"/>
          <w:color w:val="auto"/>
        </w:rPr>
      </w:pPr>
    </w:p>
    <w:p>
      <w:pPr>
        <w:ind w:left="600" w:right="80" w:firstLine="367"/>
        <w:spacing w:after="0" w:line="257" w:lineRule="auto"/>
        <w:rPr>
          <w:sz w:val="20"/>
          <w:szCs w:val="20"/>
          <w:color w:val="auto"/>
        </w:rPr>
      </w:pPr>
      <w:r>
        <w:rPr>
          <w:rFonts w:ascii="Times New Roman" w:cs="Times New Roman" w:eastAsia="Times New Roman" w:hAnsi="Times New Roman"/>
          <w:sz w:val="15"/>
          <w:szCs w:val="15"/>
          <w:i w:val="1"/>
          <w:iCs w:val="1"/>
          <w:color w:val="auto"/>
        </w:rPr>
        <w:t>All references in this prospectus to shares of the company being forfeited shall take effect as surrenders for no consideration of such shares as a matter of Cayman Islands law. Any conversion of the Class B ordinary shares described in this prospectus will take effect as a compulsory redemption of Class B ordinary shares and an issuance of Class A ordinary shares, or as otherwise permitted by our amended and restated memorandum and articles of association, as a matter of Cayman Islands law. Any share dividends described in this prospectus will take effect as share capitalizations as a matter of Cayman Islands law (that is, an issuance of shares from share premium).</w:t>
      </w:r>
    </w:p>
    <w:p>
      <w:pPr>
        <w:spacing w:after="0" w:line="154" w:lineRule="exact"/>
        <w:rPr>
          <w:sz w:val="20"/>
          <w:szCs w:val="20"/>
          <w:color w:val="auto"/>
        </w:rPr>
      </w:pPr>
    </w:p>
    <w:p>
      <w:pPr>
        <w:ind w:left="600" w:right="120" w:firstLine="367"/>
        <w:spacing w:after="0" w:line="261" w:lineRule="auto"/>
        <w:rPr>
          <w:sz w:val="20"/>
          <w:szCs w:val="20"/>
          <w:color w:val="auto"/>
        </w:rPr>
      </w:pPr>
      <w:r>
        <w:rPr>
          <w:rFonts w:ascii="Times New Roman" w:cs="Times New Roman" w:eastAsia="Times New Roman" w:hAnsi="Times New Roman"/>
          <w:sz w:val="15"/>
          <w:szCs w:val="15"/>
          <w:i w:val="1"/>
          <w:iCs w:val="1"/>
          <w:color w:val="auto"/>
        </w:rPr>
        <w:t>Unless we tell you otherwise, the information in this prospectus assumes that the underwriters will not exercise their over -allotment option. You should rely only on the information contained in this prospectus. We have not, and the Underwriter has not, authorized anyone to provide you with different information. We are not, and the underwriters are not, making an offer of these securities in any jurisdiction where the offer is not permitted. “Private-to-Public Equity (PPE)TM” is a trademark of GigFounders, LLC, an affiliate of our sponsor, and all are used pursuant to an agreement.</w:t>
      </w:r>
    </w:p>
    <w:p>
      <w:pPr>
        <w:spacing w:after="0" w:line="2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4" w:lineRule="exact"/>
        <w:rPr>
          <w:sz w:val="20"/>
          <w:szCs w:val="20"/>
          <w:color w:val="auto"/>
        </w:rPr>
      </w:pPr>
    </w:p>
    <w:p>
      <w:pPr>
        <w:ind w:left="600" w:firstLine="367"/>
        <w:spacing w:after="0" w:line="251" w:lineRule="auto"/>
        <w:rPr>
          <w:sz w:val="20"/>
          <w:szCs w:val="20"/>
          <w:color w:val="auto"/>
        </w:rPr>
      </w:pPr>
      <w:r>
        <w:rPr>
          <w:rFonts w:ascii="Times New Roman" w:cs="Times New Roman" w:eastAsia="Times New Roman" w:hAnsi="Times New Roman"/>
          <w:sz w:val="15"/>
          <w:szCs w:val="15"/>
          <w:color w:val="auto"/>
        </w:rPr>
        <w:t>We are a newly organized Private-to- Public Equity (PPE) company, also known as a blank check company or SPAC,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w:t>
      </w: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3</w:t>
      </w:r>
    </w:p>
    <w:p>
      <w:pPr>
        <w:sectPr>
          <w:pgSz w:w="11900" w:h="16840" w:orient="portrait"/>
          <w:cols w:equalWidth="0" w:num="1">
            <w:col w:w="9980"/>
          </w:cols>
          <w:pgMar w:left="660" w:top="874" w:right="1260" w:bottom="1440" w:gutter="0" w:footer="0" w:header="0"/>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708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7275" cy="470852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0" w:right="60"/>
        <w:spacing w:after="0" w:line="284" w:lineRule="auto"/>
        <w:rPr>
          <w:sz w:val="20"/>
          <w:szCs w:val="20"/>
          <w:color w:val="auto"/>
        </w:rPr>
      </w:pPr>
      <w:r>
        <w:rPr>
          <w:rFonts w:ascii="Times New Roman" w:cs="Times New Roman" w:eastAsia="Times New Roman" w:hAnsi="Times New Roman"/>
          <w:sz w:val="15"/>
          <w:szCs w:val="15"/>
          <w:color w:val="auto"/>
        </w:rPr>
        <w:t>contacts or relationships regarding a potential initial business combination with our company. Additionally, we have not engaged or retained any agent or other representative to identify or locate any suitable acquisition candidate for us.</w:t>
      </w:r>
    </w:p>
    <w:p>
      <w:pPr>
        <w:spacing w:after="0" w:line="137" w:lineRule="exact"/>
        <w:rPr>
          <w:sz w:val="20"/>
          <w:szCs w:val="20"/>
          <w:color w:val="auto"/>
        </w:rPr>
      </w:pPr>
    </w:p>
    <w:p>
      <w:pPr>
        <w:ind w:left="600" w:right="100" w:firstLine="367"/>
        <w:spacing w:after="0" w:line="259" w:lineRule="auto"/>
        <w:rPr>
          <w:sz w:val="20"/>
          <w:szCs w:val="20"/>
          <w:color w:val="auto"/>
        </w:rPr>
      </w:pPr>
      <w:r>
        <w:rPr>
          <w:rFonts w:ascii="Times New Roman" w:cs="Times New Roman" w:eastAsia="Times New Roman" w:hAnsi="Times New Roman"/>
          <w:sz w:val="15"/>
          <w:szCs w:val="15"/>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aerospace and defense (“A&amp;D”) services, cybersecurity and secured communications and quantum-based command and control systems, and artificial intelligence (“AI”) and machine-learning (“ML”) industries.</w:t>
      </w:r>
    </w:p>
    <w:p>
      <w:pPr>
        <w:spacing w:after="0" w:line="144" w:lineRule="exact"/>
        <w:rPr>
          <w:sz w:val="20"/>
          <w:szCs w:val="20"/>
          <w:color w:val="auto"/>
        </w:rPr>
      </w:pPr>
    </w:p>
    <w:p>
      <w:pPr>
        <w:ind w:left="600" w:firstLine="367"/>
        <w:spacing w:after="0" w:line="259" w:lineRule="auto"/>
        <w:rPr>
          <w:sz w:val="20"/>
          <w:szCs w:val="20"/>
          <w:color w:val="auto"/>
        </w:rPr>
      </w:pPr>
      <w:r>
        <w:rPr>
          <w:rFonts w:ascii="Times New Roman" w:cs="Times New Roman" w:eastAsia="Times New Roman" w:hAnsi="Times New Roman"/>
          <w:sz w:val="15"/>
          <w:szCs w:val="15"/>
          <w:color w:val="auto"/>
        </w:rPr>
        <w:t>Our management team believes there is a backlog of companies that are interested in becoming public companies. We believe that because this backlog is substantial, there may be a number of attractive companies that will not be able to list via a traditional initial public offering (an “IPO”) in the near- term, and therefore may opt to pursue a listing via a SPAC instead. Moreover, we believe current market conditions are causing middle-market financial sponsors and venture capital firms to consider alternative methods for providing liquidity to their limited partners.</w:t>
      </w:r>
    </w:p>
    <w:p>
      <w:pPr>
        <w:spacing w:after="0" w:line="2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Business Strategy</w:t>
      </w:r>
    </w:p>
    <w:p>
      <w:pPr>
        <w:spacing w:after="0" w:line="104" w:lineRule="exact"/>
        <w:rPr>
          <w:sz w:val="20"/>
          <w:szCs w:val="20"/>
          <w:color w:val="auto"/>
        </w:rPr>
      </w:pPr>
    </w:p>
    <w:p>
      <w:pPr>
        <w:ind w:left="600" w:right="40" w:firstLine="367"/>
        <w:spacing w:after="0" w:line="250" w:lineRule="auto"/>
        <w:rPr>
          <w:sz w:val="20"/>
          <w:szCs w:val="20"/>
          <w:color w:val="auto"/>
        </w:rPr>
      </w:pPr>
      <w:r>
        <w:rPr>
          <w:rFonts w:ascii="Times New Roman" w:cs="Times New Roman" w:eastAsia="Times New Roman" w:hAnsi="Times New Roman"/>
          <w:sz w:val="15"/>
          <w:szCs w:val="15"/>
          <w:color w:val="auto"/>
        </w:rPr>
        <w:t>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 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w:t>
      </w:r>
    </w:p>
    <w:p>
      <w:pPr>
        <w:spacing w:after="0" w:line="167" w:lineRule="exact"/>
        <w:rPr>
          <w:sz w:val="20"/>
          <w:szCs w:val="20"/>
          <w:color w:val="auto"/>
        </w:rPr>
      </w:pPr>
    </w:p>
    <w:p>
      <w:pPr>
        <w:ind w:left="600" w:right="20" w:firstLine="367"/>
        <w:spacing w:after="0" w:line="253" w:lineRule="auto"/>
        <w:rPr>
          <w:sz w:val="20"/>
          <w:szCs w:val="20"/>
          <w:color w:val="auto"/>
        </w:rPr>
      </w:pPr>
      <w:r>
        <w:rPr>
          <w:rFonts w:ascii="Times New Roman" w:cs="Times New Roman" w:eastAsia="Times New Roman" w:hAnsi="Times New Roman"/>
          <w:sz w:val="15"/>
          <w:szCs w:val="15"/>
          <w:color w:val="auto"/>
        </w:rPr>
        <w:t>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 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spacing w:after="0" w:line="3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We expect to distinguish ourselves with our ability to:</w:t>
      </w:r>
    </w:p>
    <w:p>
      <w:pPr>
        <w:spacing w:after="0" w:line="120" w:lineRule="exact"/>
        <w:rPr>
          <w:sz w:val="20"/>
          <w:szCs w:val="20"/>
          <w:color w:val="auto"/>
        </w:rPr>
      </w:pPr>
    </w:p>
    <w:p>
      <w:pPr>
        <w:ind w:left="1420" w:right="200" w:hanging="349"/>
        <w:spacing w:after="0" w:line="268" w:lineRule="auto"/>
        <w:tabs>
          <w:tab w:leader="none" w:pos="14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Tap into our vast international network of relationships to develop a distinctive pipeline of acquisition opportunities.</w:t>
      </w:r>
      <w:r>
        <w:rPr>
          <w:rFonts w:ascii="Times New Roman" w:cs="Times New Roman" w:eastAsia="Times New Roman" w:hAnsi="Times New Roman"/>
          <w:sz w:val="15"/>
          <w:szCs w:val="15"/>
          <w:color w:val="auto"/>
        </w:rPr>
        <w:t>We believe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combination of our Chief Executive Officer’s industry experience and our directors’ and management’s ability and network of relationships with CEOs, founders, family offices, private equity, hedge-funds, venture capitalists, sponsors and investment</w:t>
      </w: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4</w:t>
      </w:r>
    </w:p>
    <w:p>
      <w:pPr>
        <w:sectPr>
          <w:pgSz w:w="11900" w:h="16840" w:orient="portrait"/>
          <w:cols w:equalWidth="0" w:num="1">
            <w:col w:w="9960"/>
          </w:cols>
          <w:pgMar w:left="660" w:top="874" w:right="1280"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632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37275" cy="46329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40" w:right="220"/>
        <w:spacing w:after="0" w:line="284" w:lineRule="auto"/>
        <w:rPr>
          <w:sz w:val="20"/>
          <w:szCs w:val="20"/>
          <w:color w:val="auto"/>
        </w:rPr>
      </w:pPr>
      <w:r>
        <w:rPr>
          <w:rFonts w:ascii="Times New Roman" w:cs="Times New Roman" w:eastAsia="Times New Roman" w:hAnsi="Times New Roman"/>
          <w:sz w:val="15"/>
          <w:szCs w:val="15"/>
          <w:color w:val="auto"/>
        </w:rPr>
        <w:t>banks will help us to identify and evaluate suitable target businesses that could benefit from our operational and strategic expertise and from management’s experience in structuring complex transactions and accessing capital for growth.</w:t>
      </w:r>
    </w:p>
    <w:p>
      <w:pPr>
        <w:spacing w:after="0" w:line="62" w:lineRule="exact"/>
        <w:rPr>
          <w:sz w:val="20"/>
          <w:szCs w:val="20"/>
          <w:color w:val="auto"/>
        </w:rPr>
      </w:pPr>
    </w:p>
    <w:p>
      <w:pPr>
        <w:ind w:left="1420" w:right="140" w:hanging="349"/>
        <w:spacing w:after="0" w:line="261" w:lineRule="auto"/>
        <w:tabs>
          <w:tab w:leader="none" w:pos="14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Revitalize the acquisition target and generate value for shareholders after the business combination. </w:t>
      </w:r>
      <w:r>
        <w:rPr>
          <w:rFonts w:ascii="Times New Roman" w:cs="Times New Roman" w:eastAsia="Times New Roman" w:hAnsi="Times New Roman"/>
          <w:sz w:val="15"/>
          <w:szCs w:val="15"/>
          <w:color w:val="auto"/>
        </w:rPr>
        <w:t>Given our management’s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w:t>
      </w:r>
    </w:p>
    <w:p>
      <w:pPr>
        <w:spacing w:after="0" w:line="78" w:lineRule="exact"/>
        <w:rPr>
          <w:rFonts w:ascii="Times New Roman" w:cs="Times New Roman" w:eastAsia="Times New Roman" w:hAnsi="Times New Roman"/>
          <w:sz w:val="15"/>
          <w:szCs w:val="15"/>
          <w:color w:val="auto"/>
        </w:rPr>
      </w:pPr>
    </w:p>
    <w:p>
      <w:pPr>
        <w:ind w:left="1420" w:right="100" w:hanging="349"/>
        <w:spacing w:after="0" w:line="261" w:lineRule="auto"/>
        <w:tabs>
          <w:tab w:leader="none" w:pos="14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Show a proven record of successful completions of business combinations</w:t>
      </w:r>
      <w:r>
        <w:rPr>
          <w:rFonts w:ascii="Times New Roman" w:cs="Times New Roman" w:eastAsia="Times New Roman" w:hAnsi="Times New Roman"/>
          <w:sz w:val="15"/>
          <w:szCs w:val="15"/>
          <w:color w:val="auto"/>
        </w:rPr>
        <w:t>. We believe that our management team’s track record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w:t>
      </w:r>
    </w:p>
    <w:p>
      <w:pPr>
        <w:spacing w:after="0" w:line="82" w:lineRule="exact"/>
        <w:rPr>
          <w:rFonts w:ascii="Times New Roman" w:cs="Times New Roman" w:eastAsia="Times New Roman" w:hAnsi="Times New Roman"/>
          <w:sz w:val="15"/>
          <w:szCs w:val="15"/>
          <w:color w:val="auto"/>
        </w:rPr>
      </w:pPr>
    </w:p>
    <w:p>
      <w:pPr>
        <w:ind w:left="1800" w:right="100" w:hanging="267"/>
        <w:spacing w:after="0" w:line="251" w:lineRule="auto"/>
        <w:tabs>
          <w:tab w:leader="none" w:pos="180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GigCapital, Inc. (“GIG1”),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spacing w:after="0" w:line="91" w:lineRule="exact"/>
        <w:rPr>
          <w:rFonts w:ascii="Times New Roman" w:cs="Times New Roman" w:eastAsia="Times New Roman" w:hAnsi="Times New Roman"/>
          <w:sz w:val="15"/>
          <w:szCs w:val="15"/>
          <w:color w:val="auto"/>
        </w:rPr>
      </w:pPr>
    </w:p>
    <w:p>
      <w:pPr>
        <w:ind w:left="1800" w:hanging="267"/>
        <w:spacing w:after="0" w:line="250" w:lineRule="auto"/>
        <w:tabs>
          <w:tab w:leader="none" w:pos="180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GigCapital2, Inc. (“GIG2”),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UpHealth, Inc. closed down certain of its subsidiaries and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w:t>
      </w:r>
      <w:r>
        <w:rPr>
          <w:rFonts w:ascii="Times New Roman" w:cs="Times New Roman" w:eastAsia="Times New Roman" w:hAnsi="Times New Roman"/>
          <w:sz w:val="15"/>
          <w:szCs w:val="15"/>
          <w:u w:val="single" w:color="auto"/>
          <w:color w:val="auto"/>
        </w:rPr>
        <w:t>UpHealth</w:t>
      </w:r>
      <w:r>
        <w:rPr>
          <w:rFonts w:ascii="Times New Roman" w:cs="Times New Roman" w:eastAsia="Times New Roman" w:hAnsi="Times New Roman"/>
          <w:sz w:val="15"/>
          <w:szCs w:val="15"/>
          <w:color w:val="auto"/>
        </w:rPr>
        <w:t xml:space="preserve"> Holdings’ wholly-owned subsidiaries, Thrasys, Inc. and Behavioral Health Services, LLC, and each of their subsidiaries filed voluntary petitions for relief under Chapter 11 of the U.S. Bankruptcy Code.</w:t>
      </w:r>
    </w:p>
    <w:p>
      <w:pPr>
        <w:spacing w:after="0" w:line="92" w:lineRule="exact"/>
        <w:rPr>
          <w:rFonts w:ascii="Times New Roman" w:cs="Times New Roman" w:eastAsia="Times New Roman" w:hAnsi="Times New Roman"/>
          <w:sz w:val="15"/>
          <w:szCs w:val="15"/>
          <w:color w:val="auto"/>
        </w:rPr>
      </w:pPr>
    </w:p>
    <w:p>
      <w:pPr>
        <w:jc w:val="both"/>
        <w:ind w:left="1800" w:right="60" w:hanging="267"/>
        <w:spacing w:after="0" w:line="265" w:lineRule="auto"/>
        <w:tabs>
          <w:tab w:leader="none" w:pos="180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GigCapital3, Inc. (“GIG3”),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w:t>
      </w:r>
    </w:p>
    <w:p>
      <w:pPr>
        <w:spacing w:after="0" w:line="2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5</w:t>
      </w:r>
    </w:p>
    <w:p>
      <w:pPr>
        <w:sectPr>
          <w:pgSz w:w="11900" w:h="16840" w:orient="portrait"/>
          <w:cols w:equalWidth="0" w:num="1">
            <w:col w:w="9960"/>
          </w:cols>
          <w:pgMar w:left="660" w:top="874" w:right="1280"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904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37275" cy="49041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820" w:right="40"/>
        <w:spacing w:after="0" w:line="254" w:lineRule="auto"/>
        <w:rPr>
          <w:sz w:val="20"/>
          <w:szCs w:val="20"/>
          <w:color w:val="auto"/>
        </w:rPr>
      </w:pPr>
      <w:r>
        <w:rPr>
          <w:rFonts w:ascii="Times New Roman" w:cs="Times New Roman" w:eastAsia="Times New Roman" w:hAnsi="Times New Roman"/>
          <w:sz w:val="15"/>
          <w:szCs w:val="15"/>
          <w:color w:val="auto"/>
        </w:rPr>
        <w:t>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w:t>
      </w:r>
    </w:p>
    <w:p>
      <w:pPr>
        <w:spacing w:after="0" w:line="89" w:lineRule="exact"/>
        <w:rPr>
          <w:sz w:val="20"/>
          <w:szCs w:val="20"/>
          <w:color w:val="auto"/>
        </w:rPr>
      </w:pPr>
    </w:p>
    <w:p>
      <w:pPr>
        <w:ind w:left="1800" w:right="40" w:hanging="267"/>
        <w:spacing w:after="0" w:line="254" w:lineRule="auto"/>
        <w:tabs>
          <w:tab w:leader="none" w:pos="1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GigCapital4, Inc. (“GIG4”),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w:t>
      </w:r>
    </w:p>
    <w:p>
      <w:pPr>
        <w:spacing w:after="0" w:line="89" w:lineRule="exact"/>
        <w:rPr>
          <w:rFonts w:ascii="Times New Roman" w:cs="Times New Roman" w:eastAsia="Times New Roman" w:hAnsi="Times New Roman"/>
          <w:sz w:val="15"/>
          <w:szCs w:val="15"/>
          <w:color w:val="auto"/>
        </w:rPr>
      </w:pPr>
    </w:p>
    <w:p>
      <w:pPr>
        <w:ind w:left="1800" w:right="20" w:hanging="267"/>
        <w:spacing w:after="0" w:line="253" w:lineRule="auto"/>
        <w:tabs>
          <w:tab w:leader="none" w:pos="1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GigCapital5, Inc. (“GIG5”),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w:t>
      </w:r>
    </w:p>
    <w:p>
      <w:pPr>
        <w:spacing w:after="0" w:line="89" w:lineRule="exact"/>
        <w:rPr>
          <w:rFonts w:ascii="Times New Roman" w:cs="Times New Roman" w:eastAsia="Times New Roman" w:hAnsi="Times New Roman"/>
          <w:sz w:val="15"/>
          <w:szCs w:val="15"/>
          <w:color w:val="auto"/>
        </w:rPr>
      </w:pPr>
    </w:p>
    <w:p>
      <w:pPr>
        <w:ind w:left="1800" w:right="180" w:hanging="267"/>
        <w:spacing w:after="0" w:line="253" w:lineRule="auto"/>
        <w:tabs>
          <w:tab w:leader="none" w:pos="1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GigInternational1, Inc. (“GIW”),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spacing w:after="0" w:line="89" w:lineRule="exact"/>
        <w:rPr>
          <w:rFonts w:ascii="Times New Roman" w:cs="Times New Roman" w:eastAsia="Times New Roman" w:hAnsi="Times New Roman"/>
          <w:sz w:val="15"/>
          <w:szCs w:val="15"/>
          <w:color w:val="auto"/>
        </w:rPr>
      </w:pPr>
    </w:p>
    <w:p>
      <w:pPr>
        <w:ind w:left="1800" w:hanging="267"/>
        <w:spacing w:after="0" w:line="255" w:lineRule="auto"/>
        <w:tabs>
          <w:tab w:leader="none" w:pos="1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GigCapital7 Corp. (“GIG7”),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 purchase one Class A ordinary share of GIG7, generating $200 million. GIG7 listed on Nasdaq under the symbol “GIG” and is currently looking for a suitable acquisition target.</w:t>
      </w:r>
    </w:p>
    <w:p>
      <w:pPr>
        <w:spacing w:after="0" w:line="339" w:lineRule="exact"/>
        <w:rPr>
          <w:sz w:val="20"/>
          <w:szCs w:val="20"/>
          <w:color w:val="auto"/>
        </w:rPr>
      </w:pPr>
    </w:p>
    <w:p>
      <w:pPr>
        <w:ind w:left="600" w:right="20" w:firstLine="367"/>
        <w:spacing w:after="0" w:line="255" w:lineRule="auto"/>
        <w:rPr>
          <w:sz w:val="20"/>
          <w:szCs w:val="20"/>
          <w:color w:val="auto"/>
        </w:rPr>
      </w:pPr>
      <w:r>
        <w:rPr>
          <w:rFonts w:ascii="Times New Roman" w:cs="Times New Roman" w:eastAsia="Times New Roman" w:hAnsi="Times New Roman"/>
          <w:sz w:val="15"/>
          <w:szCs w:val="15"/>
          <w:color w:val="auto"/>
        </w:rPr>
        <w:t>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w:t>
      </w: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6</w:t>
      </w:r>
    </w:p>
    <w:p>
      <w:pPr>
        <w:sectPr>
          <w:pgSz w:w="11900" w:h="16840" w:orient="portrait"/>
          <w:cols w:equalWidth="0" w:num="1">
            <w:col w:w="9980"/>
          </w:cols>
          <w:pgMar w:left="660" w:top="554" w:right="1260" w:bottom="1440" w:gutter="0" w:footer="0" w:header="0"/>
        </w:sectPr>
      </w:pPr>
    </w:p>
    <w:bookmarkStart w:id="17" w:name="page18"/>
    <w:bookmarkEnd w:id="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979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37275" cy="49790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0" w:right="100"/>
        <w:spacing w:after="0" w:line="256" w:lineRule="auto"/>
        <w:rPr>
          <w:sz w:val="20"/>
          <w:szCs w:val="20"/>
          <w:color w:val="auto"/>
        </w:rPr>
      </w:pPr>
      <w:r>
        <w:rPr>
          <w:rFonts w:ascii="Times New Roman" w:cs="Times New Roman" w:eastAsia="Times New Roman" w:hAnsi="Times New Roman"/>
          <w:sz w:val="15"/>
          <w:szCs w:val="15"/>
          <w:color w:val="auto"/>
        </w:rPr>
        <w:t>interested U.S. and foreign acquisition targets from extensive screening with previous GigCapital PPE platforms. Our management team’s expertise in data-driven identification, evaluation and engagement with potential targets 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w:t>
      </w:r>
    </w:p>
    <w:p>
      <w:pPr>
        <w:spacing w:after="0" w:line="24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Management Team</w:t>
      </w:r>
    </w:p>
    <w:p>
      <w:pPr>
        <w:spacing w:after="0" w:line="104" w:lineRule="exact"/>
        <w:rPr>
          <w:sz w:val="20"/>
          <w:szCs w:val="20"/>
          <w:color w:val="auto"/>
        </w:rPr>
      </w:pPr>
    </w:p>
    <w:p>
      <w:pPr>
        <w:ind w:left="600" w:right="260" w:firstLine="367"/>
        <w:spacing w:after="0" w:line="256" w:lineRule="auto"/>
        <w:rPr>
          <w:sz w:val="20"/>
          <w:szCs w:val="20"/>
          <w:color w:val="auto"/>
        </w:rPr>
      </w:pPr>
      <w:r>
        <w:rPr>
          <w:rFonts w:ascii="Times New Roman" w:cs="Times New Roman" w:eastAsia="Times New Roman" w:hAnsi="Times New Roman"/>
          <w:sz w:val="15"/>
          <w:szCs w:val="15"/>
          <w:color w:val="auto"/>
        </w:rPr>
        <w:t>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 quantum -based command and control systems, and AI and ML. Our team is well positioned to originate attractive investment opportunities and has a history of executing various business transactions in multiple geographies and under varying economic and financial market conditions.</w:t>
      </w:r>
    </w:p>
    <w:p>
      <w:pPr>
        <w:spacing w:after="0" w:line="158" w:lineRule="exact"/>
        <w:rPr>
          <w:sz w:val="20"/>
          <w:szCs w:val="20"/>
          <w:color w:val="auto"/>
        </w:rPr>
      </w:pPr>
    </w:p>
    <w:p>
      <w:pPr>
        <w:ind w:left="600" w:right="160" w:firstLine="367"/>
        <w:spacing w:after="0" w:line="256" w:lineRule="auto"/>
        <w:rPr>
          <w:sz w:val="20"/>
          <w:szCs w:val="20"/>
          <w:color w:val="auto"/>
        </w:rPr>
      </w:pPr>
      <w:r>
        <w:rPr>
          <w:rFonts w:ascii="Times New Roman" w:cs="Times New Roman" w:eastAsia="Times New Roman" w:hAnsi="Times New Roman"/>
          <w:sz w:val="15"/>
          <w:szCs w:val="15"/>
          <w:color w:val="auto"/>
        </w:rPr>
        <w:t>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 -encompassing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w:t>
      </w:r>
    </w:p>
    <w:p>
      <w:pPr>
        <w:spacing w:after="0" w:line="158" w:lineRule="exact"/>
        <w:rPr>
          <w:sz w:val="20"/>
          <w:szCs w:val="20"/>
          <w:color w:val="auto"/>
        </w:rPr>
      </w:pPr>
    </w:p>
    <w:p>
      <w:pPr>
        <w:ind w:left="600" w:firstLine="367"/>
        <w:spacing w:after="0" w:line="253" w:lineRule="auto"/>
        <w:rPr>
          <w:sz w:val="20"/>
          <w:szCs w:val="20"/>
          <w:color w:val="auto"/>
        </w:rPr>
      </w:pPr>
      <w:r>
        <w:rPr>
          <w:rFonts w:ascii="Times New Roman" w:cs="Times New Roman" w:eastAsia="Times New Roman" w:hAnsi="Times New Roman"/>
          <w:sz w:val="15"/>
          <w:szCs w:val="15"/>
          <w:color w:val="auto"/>
        </w:rPr>
        <w:t xml:space="preserve">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 </w:t>
      </w:r>
      <w:r>
        <w:rPr>
          <w:rFonts w:ascii="Times New Roman" w:cs="Times New Roman" w:eastAsia="Times New Roman" w:hAnsi="Times New Roman"/>
          <w:sz w:val="15"/>
          <w:szCs w:val="15"/>
          <w:b w:val="1"/>
          <w:bCs w:val="1"/>
          <w:color w:val="auto"/>
        </w:rPr>
        <w:t>For more information, please refer to “</w:t>
      </w:r>
      <w:r>
        <w:rPr>
          <w:rFonts w:ascii="Times New Roman" w:cs="Times New Roman" w:eastAsia="Times New Roman" w:hAnsi="Times New Roman"/>
          <w:sz w:val="15"/>
          <w:szCs w:val="15"/>
          <w:b w:val="1"/>
          <w:bCs w:val="1"/>
          <w:i w:val="1"/>
          <w:iCs w:val="1"/>
          <w:color w:val="auto"/>
        </w:rPr>
        <w:t>Risk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Factors — Risks Related to Management Team</w:t>
      </w:r>
      <w:r>
        <w:rPr>
          <w:rFonts w:ascii="Times New Roman" w:cs="Times New Roman" w:eastAsia="Times New Roman" w:hAnsi="Times New Roman"/>
          <w:sz w:val="15"/>
          <w:szCs w:val="15"/>
          <w:b w:val="1"/>
          <w:bCs w:val="1"/>
          <w:color w:val="auto"/>
        </w:rPr>
        <w:t>.”</w:t>
      </w:r>
    </w:p>
    <w:p>
      <w:pPr>
        <w:spacing w:after="0" w:line="2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Executive Officers and Directors</w:t>
      </w:r>
    </w:p>
    <w:p>
      <w:pPr>
        <w:spacing w:after="0" w:line="100" w:lineRule="exact"/>
        <w:rPr>
          <w:sz w:val="20"/>
          <w:szCs w:val="20"/>
          <w:color w:val="auto"/>
        </w:rPr>
      </w:pPr>
    </w:p>
    <w:p>
      <w:pPr>
        <w:ind w:left="600" w:right="100" w:firstLine="367"/>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Dr. Avi S. Katz </w:t>
      </w:r>
      <w:r>
        <w:rPr>
          <w:rFonts w:ascii="Times New Roman" w:cs="Times New Roman" w:eastAsia="Times New Roman" w:hAnsi="Times New Roman"/>
          <w:sz w:val="15"/>
          <w:szCs w:val="15"/>
          <w:color w:val="auto"/>
        </w:rPr>
        <w:t>serves as our Chief Executive Officer and Chairman of the Board. Dr. Katz has served as the Chairman of the Board of QT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 -acquisition-company (SPAC). Dr. Katz co-founded GIG7 with Dr. Dinu, and Dr. Katz has served as the Chief Executive Officer and the Chairman of the Board since the inception of GIG7 in May 2024. GIG7 completed its initial public offering in August 2024, raising $ 200 million. It is listed on Nasdaq and trades under the ticker symbol “GIG.” In September 2017, Dr. Katz founded GIG1, a company formed for the purpose of acquiring a</w:t>
      </w: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7</w:t>
      </w:r>
    </w:p>
    <w:p>
      <w:pPr>
        <w:sectPr>
          <w:pgSz w:w="11900" w:h="16840" w:orient="portrait"/>
          <w:cols w:equalWidth="0" w:num="1">
            <w:col w:w="9980"/>
          </w:cols>
          <w:pgMar w:left="660" w:top="874" w:right="1260"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370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37275" cy="43700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0" w:firstLine="367"/>
        <w:spacing w:after="0" w:line="248" w:lineRule="auto"/>
        <w:rPr>
          <w:sz w:val="20"/>
          <w:szCs w:val="20"/>
          <w:color w:val="auto"/>
        </w:rPr>
      </w:pPr>
      <w:r>
        <w:rPr>
          <w:rFonts w:ascii="Times New Roman" w:cs="Times New Roman" w:eastAsia="Times New Roman" w:hAnsi="Times New Roman"/>
          <w:sz w:val="15"/>
          <w:szCs w:val="15"/>
          <w:color w:val="auto"/>
        </w:rPr>
        <w:t>company in the TMT industry. GIG1 completed its initial public offering in December 2017, in which it sold 14,375,000 units at price of $10.00 per unit, with each unit consisting of one share of GIG1 common stock, three- fourths (3/4) of one warrant to purchase one share of GIG1 common stock and one right to receive one -tenth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 founded GIG3, a Private -to-Public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 -to-Public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w:t>
      </w:r>
    </w:p>
    <w:p>
      <w:pPr>
        <w:spacing w:after="0" w:line="2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8</w:t>
      </w:r>
    </w:p>
    <w:p>
      <w:pPr>
        <w:sectPr>
          <w:pgSz w:w="11900" w:h="16840" w:orient="portrait"/>
          <w:cols w:equalWidth="0" w:num="1">
            <w:col w:w="9920"/>
          </w:cols>
          <w:pgMar w:left="660" w:top="874" w:right="1320" w:bottom="1440" w:gutter="0" w:footer="0" w:header="0"/>
        </w:sectPr>
      </w:pPr>
    </w:p>
    <w:bookmarkStart w:id="19" w:name="page20"/>
    <w:bookmarkEnd w:id="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6137275" cy="4490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37275" cy="449008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0"/>
        <w:spacing w:after="0" w:line="248" w:lineRule="auto"/>
        <w:rPr>
          <w:sz w:val="20"/>
          <w:szCs w:val="20"/>
          <w:color w:val="auto"/>
        </w:rPr>
      </w:pPr>
      <w:r>
        <w:rPr>
          <w:rFonts w:ascii="Times New Roman" w:cs="Times New Roman" w:eastAsia="Times New Roman" w:hAnsi="Times New Roman"/>
          <w:sz w:val="15"/>
          <w:szCs w:val="15"/>
          <w:color w:val="auto"/>
        </w:rPr>
        <w:t>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 Public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 -authored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73" w:lineRule="exact"/>
        <w:rPr>
          <w:sz w:val="20"/>
          <w:szCs w:val="20"/>
          <w:color w:val="auto"/>
        </w:rPr>
      </w:pPr>
    </w:p>
    <w:p>
      <w:pPr>
        <w:ind w:left="140" w:right="60" w:firstLine="367"/>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Dr. Raluca Dinu </w:t>
      </w:r>
      <w:r>
        <w:rPr>
          <w:rFonts w:ascii="Times New Roman" w:cs="Times New Roman" w:eastAsia="Times New Roman" w:hAnsi="Times New Roman"/>
          <w:sz w:val="15"/>
          <w:szCs w:val="15"/>
          <w:color w:val="auto"/>
        </w:rPr>
        <w:t>is our director. Dr. Dinu is the Chief Executive Officer, President, Secretary, serving in those roles since March 2024 and as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 of QT Imaging Holdings, Inc. (OTCQB: QTIH), since its inception by her and Dr. Katz as GIG5 in February 2021. Dr. Dinu has spent approximately 21 years in international executive positions within the TMT industry working for privately held start-ups, middle- 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w:t>
      </w: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9</w:t>
      </w:r>
    </w:p>
    <w:p>
      <w:pPr>
        <w:sectPr>
          <w:pgSz w:w="11900" w:h="16840" w:orient="portrait"/>
          <w:cols w:equalWidth="0" w:num="1">
            <w:col w:w="9500"/>
          </w:cols>
          <w:pgMar w:left="1120" w:top="874" w:right="1280" w:bottom="1440" w:gutter="0" w:footer="0" w:header="0"/>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6137275" cy="4505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37275" cy="450532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0" w:right="60"/>
        <w:spacing w:after="0" w:line="249" w:lineRule="auto"/>
        <w:rPr>
          <w:sz w:val="20"/>
          <w:szCs w:val="20"/>
          <w:color w:val="auto"/>
        </w:rPr>
      </w:pPr>
      <w:r>
        <w:rPr>
          <w:rFonts w:ascii="Times New Roman" w:cs="Times New Roman" w:eastAsia="Times New Roman" w:hAnsi="Times New Roman"/>
          <w:sz w:val="15"/>
          <w:szCs w:val="15"/>
          <w:color w:val="auto"/>
        </w:rPr>
        <w:t>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Integrated Device Technology, Inc.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66" w:lineRule="exact"/>
        <w:rPr>
          <w:sz w:val="20"/>
          <w:szCs w:val="20"/>
          <w:color w:val="auto"/>
        </w:rPr>
      </w:pPr>
    </w:p>
    <w:p>
      <w:pPr>
        <w:ind w:left="140" w:firstLine="367"/>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Christine M. Marshall </w:t>
      </w:r>
      <w:r>
        <w:rPr>
          <w:rFonts w:ascii="Times New Roman" w:cs="Times New Roman" w:eastAsia="Times New Roman" w:hAnsi="Times New Roman"/>
          <w:sz w:val="15"/>
          <w:szCs w:val="15"/>
          <w:color w:val="auto"/>
        </w:rPr>
        <w:t>joined our company as Chief Financial Officer on June 30, 2025. Ms. Marshall is an accomplished finance leader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w:t>
      </w:r>
    </w:p>
    <w:p>
      <w:pPr>
        <w:spacing w:after="0" w:line="4" w:lineRule="exact"/>
        <w:rPr>
          <w:sz w:val="20"/>
          <w:szCs w:val="20"/>
          <w:color w:val="auto"/>
        </w:rPr>
      </w:pPr>
    </w:p>
    <w:p>
      <w:pPr>
        <w:ind w:left="140"/>
        <w:spacing w:after="0" w:line="252" w:lineRule="auto"/>
        <w:rPr>
          <w:sz w:val="20"/>
          <w:szCs w:val="20"/>
          <w:color w:val="auto"/>
        </w:rPr>
      </w:pPr>
      <w:r>
        <w:rPr>
          <w:rFonts w:ascii="Times New Roman" w:cs="Times New Roman" w:eastAsia="Times New Roman" w:hAnsi="Times New Roman"/>
          <w:sz w:val="15"/>
          <w:szCs w:val="15"/>
          <w:color w:val="auto"/>
        </w:rPr>
        <w:t>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2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Nominees for our Board of Directors</w:t>
      </w:r>
    </w:p>
    <w:p>
      <w:pPr>
        <w:spacing w:after="0" w:line="100" w:lineRule="exact"/>
        <w:rPr>
          <w:sz w:val="20"/>
          <w:szCs w:val="20"/>
          <w:color w:val="auto"/>
        </w:rPr>
      </w:pPr>
    </w:p>
    <w:p>
      <w:pPr>
        <w:ind w:left="140" w:right="20" w:firstLine="367"/>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Admiral (Ret.) David Ben-Bashat </w:t>
      </w:r>
      <w:r>
        <w:rPr>
          <w:rFonts w:ascii="Times New Roman" w:cs="Times New Roman" w:eastAsia="Times New Roman" w:hAnsi="Times New Roman"/>
          <w:sz w:val="15"/>
          <w:szCs w:val="15"/>
          <w:color w:val="auto"/>
        </w:rPr>
        <w:t>will serve as our independent director upon the completion of this offering. V. Admiral (Ret.)Ben-Bashat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was 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w:t>
      </w:r>
    </w:p>
    <w:p>
      <w:pPr>
        <w:spacing w:after="0" w:line="2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10</w:t>
      </w:r>
    </w:p>
    <w:p>
      <w:pPr>
        <w:sectPr>
          <w:pgSz w:w="11900" w:h="16840" w:orient="portrait"/>
          <w:cols w:equalWidth="0" w:num="1">
            <w:col w:w="9500"/>
          </w:cols>
          <w:pgMar w:left="1120" w:top="874" w:right="1280" w:bottom="1440" w:gutter="0" w:footer="0" w:header="0"/>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6137275" cy="4610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37275" cy="4610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0"/>
        <w:spacing w:after="0" w:line="250" w:lineRule="auto"/>
        <w:rPr>
          <w:sz w:val="20"/>
          <w:szCs w:val="20"/>
          <w:color w:val="auto"/>
        </w:rPr>
      </w:pPr>
      <w:r>
        <w:rPr>
          <w:rFonts w:ascii="Times New Roman" w:cs="Times New Roman" w:eastAsia="Times New Roman" w:hAnsi="Times New Roman"/>
          <w:sz w:val="15"/>
          <w:szCs w:val="15"/>
          <w:color w:val="auto"/>
        </w:rPr>
        <w:t>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 Bashat holds a B.A. in Economics and an MBA from Haifa University and is a graduate of the USA Naval War College for senior officers in Newport, Rhode Island.</w:t>
      </w:r>
    </w:p>
    <w:p>
      <w:pPr>
        <w:spacing w:after="0" w:line="341" w:lineRule="exact"/>
        <w:rPr>
          <w:sz w:val="20"/>
          <w:szCs w:val="20"/>
          <w:color w:val="auto"/>
        </w:rPr>
      </w:pPr>
    </w:p>
    <w:p>
      <w:pPr>
        <w:ind w:left="140" w:right="60" w:firstLine="367"/>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Rear Admiral (Ret.) Omri Dagul </w:t>
      </w:r>
      <w:r>
        <w:rPr>
          <w:rFonts w:ascii="Times New Roman" w:cs="Times New Roman" w:eastAsia="Times New Roman" w:hAnsi="Times New Roman"/>
          <w:sz w:val="15"/>
          <w:szCs w:val="15"/>
          <w:color w:val="auto"/>
        </w:rPr>
        <w:t>will serve as our independent director upon the completion of this offering. Over several decades, R. Admiral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w:t>
      </w:r>
    </w:p>
    <w:p>
      <w:pPr>
        <w:spacing w:after="0" w:line="162" w:lineRule="exact"/>
        <w:rPr>
          <w:sz w:val="20"/>
          <w:szCs w:val="20"/>
          <w:color w:val="auto"/>
        </w:rPr>
      </w:pPr>
    </w:p>
    <w:p>
      <w:pPr>
        <w:ind w:left="140" w:right="20" w:firstLine="367"/>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Raanan I. Horowitz </w:t>
      </w:r>
      <w:r>
        <w:rPr>
          <w:rFonts w:ascii="Times New Roman" w:cs="Times New Roman" w:eastAsia="Times New Roman" w:hAnsi="Times New Roman"/>
          <w:sz w:val="15"/>
          <w:szCs w:val="15"/>
          <w:color w:val="auto"/>
        </w:rPr>
        <w:t>will serve as our independent director upon the completion of this offering. Mr. Horowitz currently serves on the Board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 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w:t>
      </w:r>
    </w:p>
    <w:p>
      <w:pPr>
        <w:spacing w:after="0" w:line="2" w:lineRule="exact"/>
        <w:rPr>
          <w:sz w:val="20"/>
          <w:szCs w:val="20"/>
          <w:color w:val="auto"/>
        </w:rPr>
      </w:pPr>
    </w:p>
    <w:p>
      <w:pPr>
        <w:ind w:left="140" w:right="20"/>
        <w:spacing w:after="0" w:line="250" w:lineRule="auto"/>
        <w:rPr>
          <w:sz w:val="20"/>
          <w:szCs w:val="20"/>
          <w:color w:val="auto"/>
        </w:rPr>
      </w:pPr>
      <w:r>
        <w:rPr>
          <w:rFonts w:ascii="Times New Roman" w:cs="Times New Roman" w:eastAsia="Times New Roman" w:hAnsi="Times New Roman"/>
          <w:sz w:val="15"/>
          <w:szCs w:val="15"/>
          <w:color w:val="auto"/>
        </w:rPr>
        <w:t>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w:t>
      </w: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11</w:t>
      </w:r>
    </w:p>
    <w:p>
      <w:pPr>
        <w:sectPr>
          <w:pgSz w:w="11900" w:h="16840" w:orient="portrait"/>
          <w:cols w:equalWidth="0" w:num="1">
            <w:col w:w="9480"/>
          </w:cols>
          <w:pgMar w:left="1120" w:top="874" w:right="1300"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497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37275" cy="44977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0"/>
        <w:spacing w:after="0" w:line="252" w:lineRule="auto"/>
        <w:rPr>
          <w:sz w:val="20"/>
          <w:szCs w:val="20"/>
          <w:color w:val="auto"/>
        </w:rPr>
      </w:pPr>
      <w:r>
        <w:rPr>
          <w:rFonts w:ascii="Times New Roman" w:cs="Times New Roman" w:eastAsia="Times New Roman" w:hAnsi="Times New Roman"/>
          <w:sz w:val="15"/>
          <w:szCs w:val="15"/>
          <w:color w:val="auto"/>
        </w:rPr>
        <w:t>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58" w:lineRule="exact"/>
        <w:rPr>
          <w:sz w:val="20"/>
          <w:szCs w:val="20"/>
          <w:color w:val="auto"/>
        </w:rPr>
      </w:pPr>
    </w:p>
    <w:p>
      <w:pPr>
        <w:ind w:left="600" w:firstLine="367"/>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Ambassador Adrian Zuckerman </w:t>
      </w:r>
      <w:r>
        <w:rPr>
          <w:rFonts w:ascii="Times New Roman" w:cs="Times New Roman" w:eastAsia="Times New Roman" w:hAnsi="Times New Roman"/>
          <w:sz w:val="15"/>
          <w:szCs w:val="15"/>
          <w:color w:val="auto"/>
        </w:rPr>
        <w:t>will serve as our independent director upon the completion of this offering. Ambassador Zuckerman was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United States Ambassador to Romania from 2019 to 2021. Under his leadership Romania signed a ten- 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 Import Bank of the United States (EXIM). The Cernavoda project was the largest -ever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57" w:lineRule="exact"/>
        <w:rPr>
          <w:sz w:val="20"/>
          <w:szCs w:val="20"/>
          <w:color w:val="auto"/>
        </w:rPr>
      </w:pPr>
    </w:p>
    <w:p>
      <w:pPr>
        <w:ind w:left="600" w:firstLine="367"/>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Luis Machuca </w:t>
      </w:r>
      <w:r>
        <w:rPr>
          <w:rFonts w:ascii="Times New Roman" w:cs="Times New Roman" w:eastAsia="Times New Roman" w:hAnsi="Times New Roman"/>
          <w:sz w:val="15"/>
          <w:szCs w:val="15"/>
          <w:color w:val="auto"/>
        </w:rPr>
        <w:t>will serve as our independent director upon the completion of this offering. He also serves as a director of UpHealth, Inc. (OTC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w:t>
      </w:r>
    </w:p>
    <w:p>
      <w:pPr>
        <w:spacing w:after="0" w:line="3" w:lineRule="exact"/>
        <w:rPr>
          <w:sz w:val="20"/>
          <w:szCs w:val="20"/>
          <w:color w:val="auto"/>
        </w:rPr>
      </w:pPr>
    </w:p>
    <w:p>
      <w:pPr>
        <w:ind w:left="600"/>
        <w:spacing w:after="0" w:line="248" w:lineRule="auto"/>
        <w:rPr>
          <w:sz w:val="20"/>
          <w:szCs w:val="20"/>
          <w:color w:val="auto"/>
        </w:rPr>
      </w:pPr>
      <w:r>
        <w:rPr>
          <w:rFonts w:ascii="Times New Roman" w:cs="Times New Roman" w:eastAsia="Times New Roman" w:hAnsi="Times New Roman"/>
          <w:sz w:val="15"/>
          <w:szCs w:val="15"/>
          <w:color w:val="auto"/>
        </w:rPr>
        <w:t>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2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12</w:t>
      </w:r>
    </w:p>
    <w:p>
      <w:pPr>
        <w:sectPr>
          <w:pgSz w:w="11900" w:h="16840" w:orient="portrait"/>
          <w:cols w:equalWidth="0" w:num="1">
            <w:col w:w="9940"/>
          </w:cols>
          <w:pgMar w:left="660" w:top="874" w:right="1300" w:bottom="1440" w:gutter="0" w:footer="0" w:header="0"/>
        </w:sectPr>
      </w:pPr>
    </w:p>
    <w:bookmarkStart w:id="23" w:name="page24"/>
    <w:bookmarkEnd w:id="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768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37275" cy="4768850"/>
                    </a:xfrm>
                    <a:prstGeom prst="rect">
                      <a:avLst/>
                    </a:prstGeom>
                    <a:noFill/>
                  </pic:spPr>
                </pic:pic>
              </a:graphicData>
            </a:graphic>
          </wp:anchor>
        </w:drawing>
      </w:r>
    </w:p>
    <w:p>
      <w:pPr>
        <w:spacing w:after="0" w:line="400" w:lineRule="exact"/>
        <w:rPr>
          <w:sz w:val="20"/>
          <w:szCs w:val="20"/>
          <w:color w:val="auto"/>
        </w:rPr>
      </w:pPr>
    </w:p>
    <w:p>
      <w:pPr>
        <w:ind w:left="600" w:right="40" w:firstLine="367"/>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Bryan Timm </w:t>
      </w:r>
      <w:r>
        <w:rPr>
          <w:rFonts w:ascii="Times New Roman" w:cs="Times New Roman" w:eastAsia="Times New Roman" w:hAnsi="Times New Roman"/>
          <w:sz w:val="15"/>
          <w:szCs w:val="15"/>
          <w:color w:val="auto"/>
        </w:rPr>
        <w:t>will serve as our independent director upon the completion of this offering. Mr. Timm currently serves as a Board Advisor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Pape’ Group, a family company serving the West Coast with Kenworth, John Deere, and Hyster heavy equipment dealerships. He previously served on the Board of Directors of Umpqua Holdings Corporation (Nasdaq:UMPQ)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 -year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59" w:lineRule="exact"/>
        <w:rPr>
          <w:sz w:val="20"/>
          <w:szCs w:val="20"/>
          <w:color w:val="auto"/>
        </w:rPr>
      </w:pPr>
    </w:p>
    <w:p>
      <w:pPr>
        <w:ind w:left="600" w:right="120" w:firstLine="367"/>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James Greene </w:t>
      </w:r>
      <w:r>
        <w:rPr>
          <w:rFonts w:ascii="Times New Roman" w:cs="Times New Roman" w:eastAsia="Times New Roman" w:hAnsi="Times New Roman"/>
          <w:sz w:val="15"/>
          <w:szCs w:val="15"/>
          <w:color w:val="auto"/>
        </w:rPr>
        <w:t>will serve as our independent director upon completion of this offering. Mr. Greene served as a director of Umpqua Bank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(Nasdaq: 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 -ups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200" w:lineRule="exact"/>
        <w:rPr>
          <w:sz w:val="20"/>
          <w:szCs w:val="20"/>
          <w:color w:val="auto"/>
        </w:rPr>
      </w:pPr>
    </w:p>
    <w:p>
      <w:pPr>
        <w:spacing w:after="0" w:line="2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Investment Criteria</w:t>
      </w:r>
    </w:p>
    <w:p>
      <w:pPr>
        <w:spacing w:after="0" w:line="104" w:lineRule="exact"/>
        <w:rPr>
          <w:sz w:val="20"/>
          <w:szCs w:val="20"/>
          <w:color w:val="auto"/>
        </w:rPr>
      </w:pPr>
    </w:p>
    <w:p>
      <w:pPr>
        <w:ind w:left="600" w:firstLine="367"/>
        <w:spacing w:after="0" w:line="254" w:lineRule="auto"/>
        <w:rPr>
          <w:sz w:val="20"/>
          <w:szCs w:val="20"/>
          <w:color w:val="auto"/>
        </w:rPr>
      </w:pPr>
      <w:r>
        <w:rPr>
          <w:rFonts w:ascii="Times New Roman" w:cs="Times New Roman" w:eastAsia="Times New Roman" w:hAnsi="Times New Roman"/>
          <w:sz w:val="15"/>
          <w:szCs w:val="15"/>
          <w:color w:val="auto"/>
        </w:rPr>
        <w:t>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w:t>
      </w:r>
    </w:p>
    <w:p>
      <w:pPr>
        <w:spacing w:after="0" w:line="85" w:lineRule="exact"/>
        <w:rPr>
          <w:sz w:val="20"/>
          <w:szCs w:val="20"/>
          <w:color w:val="auto"/>
        </w:rPr>
      </w:pPr>
    </w:p>
    <w:p>
      <w:pPr>
        <w:ind w:left="1420" w:hanging="349"/>
        <w:spacing w:after="0" w:line="257" w:lineRule="auto"/>
        <w:tabs>
          <w:tab w:leader="none" w:pos="14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Companies that embrace today’s digital transformation and intelligent automation. </w:t>
      </w:r>
      <w:r>
        <w:rPr>
          <w:rFonts w:ascii="Times New Roman" w:cs="Times New Roman" w:eastAsia="Times New Roman" w:hAnsi="Times New Roman"/>
          <w:sz w:val="15"/>
          <w:szCs w:val="15"/>
          <w:color w:val="auto"/>
        </w:rPr>
        <w:t>We will seek acquisition candidates active in the A&amp;D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spacing w:after="0" w:line="83" w:lineRule="exact"/>
        <w:rPr>
          <w:rFonts w:ascii="Times New Roman" w:cs="Times New Roman" w:eastAsia="Times New Roman" w:hAnsi="Times New Roman"/>
          <w:sz w:val="15"/>
          <w:szCs w:val="15"/>
          <w:color w:val="auto"/>
        </w:rPr>
      </w:pPr>
    </w:p>
    <w:p>
      <w:pPr>
        <w:ind w:left="1420" w:right="140" w:hanging="349"/>
        <w:spacing w:after="0" w:line="259" w:lineRule="auto"/>
        <w:tabs>
          <w:tab w:leader="none" w:pos="14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Companies that will benefit from a public listing. </w:t>
      </w:r>
      <w:r>
        <w:rPr>
          <w:rFonts w:ascii="Times New Roman" w:cs="Times New Roman" w:eastAsia="Times New Roman" w:hAnsi="Times New Roman"/>
          <w:sz w:val="15"/>
          <w:szCs w:val="15"/>
          <w:color w:val="auto"/>
        </w:rPr>
        <w:t>We will focus on partners looking to move to the next level through a public business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spacing w:after="0" w:line="200" w:lineRule="exact"/>
        <w:rPr>
          <w:sz w:val="20"/>
          <w:szCs w:val="20"/>
          <w:color w:val="auto"/>
        </w:rPr>
      </w:pPr>
    </w:p>
    <w:p>
      <w:pPr>
        <w:spacing w:after="0" w:line="25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13</w:t>
      </w:r>
    </w:p>
    <w:p>
      <w:pPr>
        <w:sectPr>
          <w:pgSz w:w="11900" w:h="16840" w:orient="portrait"/>
          <w:cols w:equalWidth="0" w:num="1">
            <w:col w:w="9960"/>
          </w:cols>
          <w:pgMar w:left="660" w:top="874" w:right="1280" w:bottom="1440" w:gutter="0" w:footer="0" w:header="0"/>
        </w:sectPr>
      </w:pPr>
    </w:p>
    <w:bookmarkStart w:id="24" w:name="page25"/>
    <w:bookmarkEnd w:id="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881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37275" cy="4881245"/>
                    </a:xfrm>
                    <a:prstGeom prst="rect">
                      <a:avLst/>
                    </a:prstGeom>
                    <a:noFill/>
                  </pic:spPr>
                </pic:pic>
              </a:graphicData>
            </a:graphic>
          </wp:anchor>
        </w:drawing>
      </w:r>
    </w:p>
    <w:p>
      <w:pPr>
        <w:spacing w:after="0" w:line="400" w:lineRule="exact"/>
        <w:rPr>
          <w:sz w:val="20"/>
          <w:szCs w:val="20"/>
          <w:color w:val="auto"/>
        </w:rPr>
      </w:pPr>
    </w:p>
    <w:p>
      <w:pPr>
        <w:ind w:left="1420" w:hanging="349"/>
        <w:spacing w:after="0" w:line="252" w:lineRule="auto"/>
        <w:tabs>
          <w:tab w:leader="none" w:pos="14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Companies that will benefit from our industry expertise and relationships. </w:t>
      </w:r>
      <w:r>
        <w:rPr>
          <w:rFonts w:ascii="Times New Roman" w:cs="Times New Roman" w:eastAsia="Times New Roman" w:hAnsi="Times New Roman"/>
          <w:sz w:val="15"/>
          <w:szCs w:val="15"/>
          <w:color w:val="auto"/>
        </w:rPr>
        <w:t>We will seek companies that will be best positioned to leverage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 Our management also demonstrated the speed, certainty and efficiency in executing prior deals, which is highly desirable to quality business partners.</w:t>
      </w:r>
    </w:p>
    <w:p>
      <w:pPr>
        <w:spacing w:after="0" w:line="87" w:lineRule="exact"/>
        <w:rPr>
          <w:rFonts w:ascii="Times New Roman" w:cs="Times New Roman" w:eastAsia="Times New Roman" w:hAnsi="Times New Roman"/>
          <w:sz w:val="15"/>
          <w:szCs w:val="15"/>
          <w:color w:val="auto"/>
        </w:rPr>
      </w:pPr>
    </w:p>
    <w:p>
      <w:pPr>
        <w:ind w:left="1420" w:right="40" w:hanging="349"/>
        <w:spacing w:after="0" w:line="268" w:lineRule="auto"/>
        <w:tabs>
          <w:tab w:leader="none" w:pos="14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Companies that are market-leading participants</w:t>
      </w:r>
      <w:r>
        <w:rPr>
          <w:rFonts w:ascii="Times New Roman" w:cs="Times New Roman" w:eastAsia="Times New Roman" w:hAnsi="Times New Roman"/>
          <w:sz w:val="15"/>
          <w:szCs w:val="15"/>
          <w:color w:val="auto"/>
        </w:rPr>
        <w:t>. We will seek an acquisition target that has an established business and market position.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While we will focus on the A&amp;D services, cybersecurity and secured communications and quantum-based command and control systems, and AI and ML, we will not seek a target that is pre-revenue or in early stages of development with unproven technologies.</w:t>
      </w:r>
    </w:p>
    <w:p>
      <w:pPr>
        <w:spacing w:after="0" w:line="73" w:lineRule="exact"/>
        <w:rPr>
          <w:rFonts w:ascii="Times New Roman" w:cs="Times New Roman" w:eastAsia="Times New Roman" w:hAnsi="Times New Roman"/>
          <w:sz w:val="15"/>
          <w:szCs w:val="15"/>
          <w:color w:val="auto"/>
        </w:rPr>
      </w:pPr>
    </w:p>
    <w:p>
      <w:pPr>
        <w:ind w:left="1420" w:right="20" w:hanging="349"/>
        <w:spacing w:after="0" w:line="259" w:lineRule="auto"/>
        <w:tabs>
          <w:tab w:leader="none" w:pos="14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Companies with strong management. </w:t>
      </w:r>
      <w:r>
        <w:rPr>
          <w:rFonts w:ascii="Times New Roman" w:cs="Times New Roman" w:eastAsia="Times New Roman" w:hAnsi="Times New Roman"/>
          <w:sz w:val="15"/>
          <w:szCs w:val="15"/>
          <w:color w:val="auto"/>
        </w:rPr>
        <w:t>We will prioritize entities with well-established, proven and talented management teams that wish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w:t>
      </w:r>
    </w:p>
    <w:p>
      <w:pPr>
        <w:spacing w:after="0" w:line="337" w:lineRule="exact"/>
        <w:rPr>
          <w:sz w:val="20"/>
          <w:szCs w:val="20"/>
          <w:color w:val="auto"/>
        </w:rPr>
      </w:pPr>
    </w:p>
    <w:p>
      <w:pPr>
        <w:ind w:left="600" w:right="140"/>
        <w:spacing w:after="0" w:line="284" w:lineRule="auto"/>
        <w:rPr>
          <w:sz w:val="20"/>
          <w:szCs w:val="20"/>
          <w:color w:val="auto"/>
        </w:rPr>
      </w:pPr>
      <w:r>
        <w:rPr>
          <w:rFonts w:ascii="Times New Roman" w:cs="Times New Roman" w:eastAsia="Times New Roman" w:hAnsi="Times New Roman"/>
          <w:sz w:val="15"/>
          <w:szCs w:val="15"/>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Our Acquisition Process</w:t>
      </w:r>
    </w:p>
    <w:p>
      <w:pPr>
        <w:spacing w:after="0" w:line="104" w:lineRule="exact"/>
        <w:rPr>
          <w:sz w:val="20"/>
          <w:szCs w:val="20"/>
          <w:color w:val="auto"/>
        </w:rPr>
      </w:pPr>
    </w:p>
    <w:p>
      <w:pPr>
        <w:jc w:val="both"/>
        <w:ind w:left="600" w:right="240" w:firstLine="367"/>
        <w:spacing w:after="0" w:line="265" w:lineRule="auto"/>
        <w:rPr>
          <w:sz w:val="20"/>
          <w:szCs w:val="20"/>
          <w:color w:val="auto"/>
        </w:rPr>
      </w:pPr>
      <w:r>
        <w:rPr>
          <w:rFonts w:ascii="Times New Roman" w:cs="Times New Roman" w:eastAsia="Times New Roman" w:hAnsi="Times New Roman"/>
          <w:sz w:val="15"/>
          <w:szCs w:val="15"/>
          <w:color w:val="auto"/>
        </w:rPr>
        <w:t>We intend to partner with a late-stage growth and high- 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w:t>
      </w:r>
    </w:p>
    <w:p>
      <w:pPr>
        <w:spacing w:after="0" w:line="76" w:lineRule="exact"/>
        <w:rPr>
          <w:sz w:val="20"/>
          <w:szCs w:val="20"/>
          <w:color w:val="auto"/>
        </w:rPr>
      </w:pPr>
    </w:p>
    <w:p>
      <w:pPr>
        <w:ind w:left="1420" w:right="20" w:hanging="349"/>
        <w:spacing w:after="0" w:line="257" w:lineRule="auto"/>
        <w:tabs>
          <w:tab w:leader="none" w:pos="14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Inception</w:t>
      </w:r>
      <w:r>
        <w:rPr>
          <w:rFonts w:ascii="Times New Roman" w:cs="Times New Roman" w:eastAsia="Times New Roman" w:hAnsi="Times New Roman"/>
          <w:sz w:val="15"/>
          <w:szCs w:val="15"/>
          <w:color w:val="auto"/>
        </w:rPr>
        <w:t>. This phase usually lasts up to approx. 2-3 months and entails incorporating a SPAC and bringing on a Private-to-Public (PPE)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w:t>
      </w:r>
    </w:p>
    <w:p>
      <w:pPr>
        <w:spacing w:after="0" w:line="83" w:lineRule="exact"/>
        <w:rPr>
          <w:rFonts w:ascii="Times New Roman" w:cs="Times New Roman" w:eastAsia="Times New Roman" w:hAnsi="Times New Roman"/>
          <w:sz w:val="15"/>
          <w:szCs w:val="15"/>
          <w:color w:val="auto"/>
        </w:rPr>
      </w:pPr>
    </w:p>
    <w:p>
      <w:pPr>
        <w:ind w:left="1420" w:right="60" w:hanging="349"/>
        <w:spacing w:after="0" w:line="257" w:lineRule="auto"/>
        <w:tabs>
          <w:tab w:leader="none" w:pos="14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Searching</w:t>
      </w:r>
      <w:r>
        <w:rPr>
          <w:rFonts w:ascii="Times New Roman" w:cs="Times New Roman" w:eastAsia="Times New Roman" w:hAnsi="Times New Roman"/>
          <w:sz w:val="15"/>
          <w:szCs w:val="15"/>
          <w:color w:val="auto"/>
        </w:rPr>
        <w:t>. The search for a financially viable acquisition target ready to become a public company may take approx. 6 to 12 months.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w:t>
      </w:r>
    </w:p>
    <w:p>
      <w:pPr>
        <w:spacing w:after="0" w:line="83" w:lineRule="exact"/>
        <w:rPr>
          <w:rFonts w:ascii="Times New Roman" w:cs="Times New Roman" w:eastAsia="Times New Roman" w:hAnsi="Times New Roman"/>
          <w:sz w:val="15"/>
          <w:szCs w:val="15"/>
          <w:color w:val="auto"/>
        </w:rPr>
      </w:pPr>
    </w:p>
    <w:p>
      <w:pPr>
        <w:ind w:left="1420" w:right="60" w:hanging="349"/>
        <w:spacing w:after="0" w:line="289" w:lineRule="auto"/>
        <w:tabs>
          <w:tab w:leader="none" w:pos="14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Engagement</w:t>
      </w:r>
      <w:r>
        <w:rPr>
          <w:rFonts w:ascii="Times New Roman" w:cs="Times New Roman" w:eastAsia="Times New Roman" w:hAnsi="Times New Roman"/>
          <w:sz w:val="15"/>
          <w:szCs w:val="15"/>
          <w:color w:val="auto"/>
        </w:rPr>
        <w:t>. The next step is negotiation and execution of a letter of intent. It may take approx. from 3 to 6 weeks, and approx. another 5</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10 weeks are required to conduct due diligence review and sign a binding definitive agreement.</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14</w:t>
      </w:r>
    </w:p>
    <w:p>
      <w:pPr>
        <w:sectPr>
          <w:pgSz w:w="11900" w:h="16840" w:orient="portrait"/>
          <w:cols w:equalWidth="0" w:num="1">
            <w:col w:w="9960"/>
          </w:cols>
          <w:pgMar w:left="660" w:top="874" w:right="1280" w:bottom="1440" w:gutter="0" w:footer="0" w:header="0"/>
        </w:sectPr>
      </w:pPr>
    </w:p>
    <w:bookmarkStart w:id="25" w:name="page26"/>
    <w:bookmarkEnd w:id="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994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37275" cy="4994275"/>
                    </a:xfrm>
                    <a:prstGeom prst="rect">
                      <a:avLst/>
                    </a:prstGeom>
                    <a:noFill/>
                  </pic:spPr>
                </pic:pic>
              </a:graphicData>
            </a:graphic>
          </wp:anchor>
        </w:drawing>
      </w:r>
    </w:p>
    <w:p>
      <w:pPr>
        <w:spacing w:after="0" w:line="400" w:lineRule="exact"/>
        <w:rPr>
          <w:sz w:val="20"/>
          <w:szCs w:val="20"/>
          <w:color w:val="auto"/>
        </w:rPr>
      </w:pPr>
    </w:p>
    <w:p>
      <w:pPr>
        <w:ind w:left="1420" w:right="180" w:hanging="349"/>
        <w:spacing w:after="0" w:line="254" w:lineRule="auto"/>
        <w:tabs>
          <w:tab w:leader="none" w:pos="14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Closing</w:t>
      </w:r>
      <w:r>
        <w:rPr>
          <w:rFonts w:ascii="Times New Roman" w:cs="Times New Roman" w:eastAsia="Times New Roman" w:hAnsi="Times New Roman"/>
          <w:sz w:val="15"/>
          <w:szCs w:val="15"/>
          <w:color w:val="auto"/>
        </w:rPr>
        <w:t>. Following entry into the binding definitive agreement, the acquisition target must deliver audited financial statements as required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enable us to file all necessary SEC filings and obtain SEC 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w:t>
      </w:r>
    </w:p>
    <w:p>
      <w:pPr>
        <w:spacing w:after="0" w:line="84" w:lineRule="exact"/>
        <w:rPr>
          <w:rFonts w:ascii="Times New Roman" w:cs="Times New Roman" w:eastAsia="Times New Roman" w:hAnsi="Times New Roman"/>
          <w:sz w:val="15"/>
          <w:szCs w:val="15"/>
          <w:color w:val="auto"/>
        </w:rPr>
      </w:pPr>
    </w:p>
    <w:p>
      <w:pPr>
        <w:ind w:left="1420" w:right="440" w:hanging="349"/>
        <w:spacing w:after="0" w:line="261" w:lineRule="auto"/>
        <w:tabs>
          <w:tab w:leader="none" w:pos="14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Growth and Exit</w:t>
      </w:r>
      <w:r>
        <w:rPr>
          <w:rFonts w:ascii="Times New Roman" w:cs="Times New Roman" w:eastAsia="Times New Roman" w:hAnsi="Times New Roman"/>
          <w:sz w:val="15"/>
          <w:szCs w:val="15"/>
          <w:color w:val="auto"/>
        </w:rPr>
        <w:t>. The final phase may last approx. from 1 to 4 years, during which we invest our time and resources in expanding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growing the business. We actively participate in meetings of the board of directors and strategic advisory board, provide continuous financing and M&amp;A advisory support for growth, geographic expansion and consolidation, and prepare the business combination for de-SPAC.</w:t>
      </w:r>
    </w:p>
    <w:p>
      <w:pPr>
        <w:spacing w:after="0" w:line="2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Sponsor</w:t>
      </w:r>
    </w:p>
    <w:p>
      <w:pPr>
        <w:spacing w:after="0" w:line="104" w:lineRule="exact"/>
        <w:rPr>
          <w:sz w:val="20"/>
          <w:szCs w:val="20"/>
          <w:color w:val="auto"/>
        </w:rPr>
      </w:pPr>
    </w:p>
    <w:p>
      <w:pPr>
        <w:ind w:left="600" w:right="280" w:firstLine="367"/>
        <w:spacing w:after="0" w:line="256" w:lineRule="auto"/>
        <w:rPr>
          <w:sz w:val="20"/>
          <w:szCs w:val="20"/>
          <w:color w:val="auto"/>
        </w:rPr>
      </w:pPr>
      <w:r>
        <w:rPr>
          <w:rFonts w:ascii="Times New Roman" w:cs="Times New Roman" w:eastAsia="Times New Roman" w:hAnsi="Times New Roman"/>
          <w:sz w:val="15"/>
          <w:szCs w:val="15"/>
          <w:color w:val="auto"/>
        </w:rPr>
        <w:t>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w:t>
      </w:r>
    </w:p>
    <w:p>
      <w:pPr>
        <w:spacing w:after="0" w:line="158" w:lineRule="exact"/>
        <w:rPr>
          <w:sz w:val="20"/>
          <w:szCs w:val="20"/>
          <w:color w:val="auto"/>
        </w:rPr>
      </w:pPr>
    </w:p>
    <w:p>
      <w:pPr>
        <w:ind w:left="600" w:right="280" w:firstLine="367"/>
        <w:spacing w:after="0" w:line="284" w:lineRule="auto"/>
        <w:rPr>
          <w:sz w:val="20"/>
          <w:szCs w:val="20"/>
          <w:color w:val="auto"/>
        </w:rPr>
      </w:pPr>
      <w:r>
        <w:rPr>
          <w:rFonts w:ascii="Times New Roman" w:cs="Times New Roman" w:eastAsia="Times New Roman" w:hAnsi="Times New Roman"/>
          <w:sz w:val="15"/>
          <w:szCs w:val="15"/>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Amount of Compensation to be Received or</w:t>
            </w: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8"/>
        </w:trPr>
        <w:tc>
          <w:tcPr>
            <w:tcW w:w="14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Entity/Individual</w:t>
            </w:r>
          </w:p>
        </w:tc>
        <w:tc>
          <w:tcPr>
            <w:tcW w:w="3080" w:type="dxa"/>
            <w:vAlign w:val="bottom"/>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Securities Issued or to be Issued</w:t>
            </w:r>
          </w:p>
        </w:tc>
        <w:tc>
          <w:tcPr>
            <w:tcW w:w="80" w:type="dxa"/>
            <w:vAlign w:val="bottom"/>
          </w:tcPr>
          <w:p>
            <w:pPr>
              <w:spacing w:after="0"/>
              <w:rPr>
                <w:sz w:val="16"/>
                <w:szCs w:val="16"/>
                <w:color w:val="auto"/>
              </w:rPr>
            </w:pPr>
          </w:p>
        </w:tc>
        <w:tc>
          <w:tcPr>
            <w:tcW w:w="288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Consideration Paid or to be Paid</w:t>
            </w:r>
          </w:p>
        </w:tc>
      </w:tr>
      <w:tr>
        <w:trPr>
          <w:trHeight w:val="150"/>
        </w:trPr>
        <w:tc>
          <w:tcPr>
            <w:tcW w:w="140" w:type="dxa"/>
            <w:vAlign w:val="bottom"/>
          </w:tcPr>
          <w:p>
            <w:pPr>
              <w:spacing w:after="0"/>
              <w:rPr>
                <w:sz w:val="13"/>
                <w:szCs w:val="13"/>
                <w:color w:val="auto"/>
              </w:rPr>
            </w:pPr>
          </w:p>
        </w:tc>
        <w:tc>
          <w:tcPr>
            <w:tcW w:w="9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w w:val="90"/>
              </w:rPr>
              <w:t>GigAcquisitions8</w:t>
            </w:r>
          </w:p>
        </w:tc>
        <w:tc>
          <w:tcPr>
            <w:tcW w:w="2500" w:type="dxa"/>
            <w:vAlign w:val="bottom"/>
          </w:tcPr>
          <w:p>
            <w:pPr>
              <w:ind w:left="160"/>
              <w:spacing w:after="0" w:line="151" w:lineRule="exact"/>
              <w:rPr>
                <w:sz w:val="20"/>
                <w:szCs w:val="20"/>
                <w:color w:val="auto"/>
              </w:rPr>
            </w:pPr>
            <w:r>
              <w:rPr>
                <w:rFonts w:ascii="Times New Roman" w:cs="Times New Roman" w:eastAsia="Times New Roman" w:hAnsi="Times New Roman"/>
                <w:sz w:val="15"/>
                <w:szCs w:val="15"/>
                <w:color w:val="auto"/>
              </w:rPr>
              <w:t>Corp.</w:t>
            </w:r>
          </w:p>
        </w:tc>
        <w:tc>
          <w:tcPr>
            <w:tcW w:w="29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$30,000 per month</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Office space, administrative and shared</w:t>
            </w:r>
          </w:p>
        </w:tc>
        <w:tc>
          <w:tcPr>
            <w:tcW w:w="160" w:type="dxa"/>
            <w:vAlign w:val="bottom"/>
          </w:tcPr>
          <w:p>
            <w:pPr>
              <w:spacing w:after="0"/>
              <w:rPr>
                <w:sz w:val="13"/>
                <w:szCs w:val="13"/>
                <w:color w:val="auto"/>
              </w:rPr>
            </w:pPr>
          </w:p>
        </w:tc>
      </w:tr>
      <w:tr>
        <w:trPr>
          <w:trHeight w:val="199"/>
        </w:trPr>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personnel support services</w:t>
            </w:r>
          </w:p>
        </w:tc>
      </w:tr>
      <w:tr>
        <w:trPr>
          <w:trHeight w:val="251"/>
        </w:trPr>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7,850,229 Class B ordinary shares, of which</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$25,000</w:t>
            </w:r>
          </w:p>
        </w:tc>
        <w:tc>
          <w:tcPr>
            <w:tcW w:w="160" w:type="dxa"/>
            <w:vAlign w:val="bottom"/>
          </w:tcPr>
          <w:p>
            <w:pPr>
              <w:spacing w:after="0"/>
              <w:rPr>
                <w:sz w:val="21"/>
                <w:szCs w:val="21"/>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1,023,943 Class B ordinary shares remain</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subject to forfeiture depending on the extent to</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which the underwriters’ over-allotment option is</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exercised during this offering. Our sponsor</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intends at the time of this offering to sell</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375,397 founder shares in the aggregate to</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Messrs. Greene, Machuca, Timm and Horowitz</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at an aggregate price of $9,244, and 1,416,665</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founder shares to Lynrock at an aggregate price</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 $13,130, and prior to the consummation of</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this offering to transfer 5,000 founder shares to</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Christine Marshall, our Chief Financial Officer,</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9"/>
        </w:trPr>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solely in</w:t>
            </w: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32"/>
        </w:trPr>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r>
        <w:trPr>
          <w:trHeight w:val="334"/>
        </w:trPr>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980" w:type="dxa"/>
            <w:vAlign w:val="bottom"/>
          </w:tcPr>
          <w:p>
            <w:pPr>
              <w:ind w:left="1140"/>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40" w:orient="portrait"/>
          <w:cols w:equalWidth="0" w:num="1">
            <w:col w:w="10120"/>
          </w:cols>
          <w:pgMar w:left="660" w:top="874" w:right="1120" w:bottom="1440" w:gutter="0" w:footer="0" w:header="0"/>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956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37275" cy="4956810"/>
                    </a:xfrm>
                    <a:prstGeom prst="rect">
                      <a:avLst/>
                    </a:prstGeom>
                    <a:noFill/>
                  </pic:spPr>
                </pic:pic>
              </a:graphicData>
            </a:graphic>
          </wp:anchor>
        </w:drawing>
      </w:r>
    </w:p>
    <w:p>
      <w:pPr>
        <w:sectPr>
          <w:pgSz w:w="11900" w:h="16840" w:orient="portrait"/>
          <w:cols w:equalWidth="0" w:num="1">
            <w:col w:w="9960"/>
          </w:cols>
          <w:pgMar w:left="660" w:top="874" w:right="128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b w:val="1"/>
          <w:bCs w:val="1"/>
          <w:u w:val="single" w:color="auto"/>
          <w:color w:val="auto"/>
        </w:rPr>
        <w:t>Entity/Individual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(Christine Marshall)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right="20"/>
        <w:spacing w:after="0" w:line="284" w:lineRule="auto"/>
        <w:rPr>
          <w:sz w:val="20"/>
          <w:szCs w:val="20"/>
          <w:color w:val="auto"/>
        </w:rPr>
      </w:pPr>
      <w:r>
        <w:rPr>
          <w:rFonts w:ascii="Times New Roman" w:cs="Times New Roman" w:eastAsia="Times New Roman" w:hAnsi="Times New Roman"/>
          <w:sz w:val="15"/>
          <w:szCs w:val="15"/>
          <w:color w:val="auto"/>
        </w:rPr>
        <w:t>GigAcquisitions8 Corp. and certain directors (Messrs. Greene, Machuca, Timm and Horowitz)</w:t>
      </w:r>
    </w:p>
    <w:p>
      <w:pPr>
        <w:spacing w:after="0" w:line="3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Holders of Class B ordinary shares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0"/>
        <w:spacing w:after="0" w:line="284" w:lineRule="auto"/>
        <w:rPr>
          <w:sz w:val="20"/>
          <w:szCs w:val="20"/>
          <w:color w:val="auto"/>
        </w:rPr>
      </w:pPr>
      <w:r>
        <w:rPr>
          <w:rFonts w:ascii="Times New Roman" w:cs="Times New Roman" w:eastAsia="Times New Roman" w:hAnsi="Times New Roman"/>
          <w:sz w:val="15"/>
          <w:szCs w:val="15"/>
          <w:color w:val="auto"/>
        </w:rPr>
        <w:t>GigAcquisitions8 Corp, our officers, directors, or our or their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Amount of Compensation to be Received or</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Securities Issued or to be Issued</w:t>
      </w:r>
    </w:p>
    <w:p>
      <w:pPr>
        <w:spacing w:after="0" w:line="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5"/>
          <w:szCs w:val="15"/>
          <w:color w:val="auto"/>
        </w:rPr>
        <w:t>consideration of future services to us, thus reducing its holding to 6,053,167 founder shares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Up to $100,000 in loans</w:t>
      </w:r>
    </w:p>
    <w:p>
      <w:pPr>
        <w:spacing w:after="0" w:line="200" w:lineRule="exact"/>
        <w:rPr>
          <w:sz w:val="20"/>
          <w:szCs w:val="20"/>
          <w:color w:val="auto"/>
        </w:rPr>
      </w:pPr>
    </w:p>
    <w:p>
      <w:pPr>
        <w:spacing w:after="0" w:line="2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5"/>
          <w:szCs w:val="15"/>
          <w:color w:val="auto"/>
        </w:rPr>
        <w:t>Up to $1,500,000 in working capital loans, which loans may be convertible into private placement units at a price of $10.00 per unit at the option of the lender</w:t>
      </w:r>
    </w:p>
    <w:p>
      <w:pPr>
        <w:spacing w:after="0" w:line="6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Reimbursement for any out-of-pocket expenses related to identifying, investigating and completing an initial business combination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Up to $15,000 per month</w:t>
      </w:r>
    </w:p>
    <w:p>
      <w:pPr>
        <w:spacing w:after="0" w:line="2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5"/>
          <w:szCs w:val="15"/>
          <w:color w:val="auto"/>
        </w:rPr>
        <w:t>5,000 founder shares, subject to forfeiture to the sponsor if Ms. Marshall resigns or is removed for cause from her position with the Company prior to consummation of our initial business combination</w:t>
      </w:r>
    </w:p>
    <w:p>
      <w:pPr>
        <w:spacing w:after="0" w:line="6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45,200 private placement units to be purchased simultaneously with the closing of this offering (including if the underwriters’ over-allotment option is exercised in full)</w:t>
      </w:r>
    </w:p>
    <w:p>
      <w:pPr>
        <w:spacing w:after="0" w:line="6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5"/>
          <w:szCs w:val="15"/>
          <w:color w:val="auto"/>
        </w:rPr>
        <w:t>Anti-dilution protection upon conversion into Class A ordinary shares at a greater than one-to-one ratio</w:t>
      </w:r>
    </w:p>
    <w:p>
      <w:pPr>
        <w:spacing w:after="0" w:line="23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5"/>
          <w:szCs w:val="15"/>
          <w:color w:val="auto"/>
        </w:rPr>
        <w:t>Finder’s fees, advisory fees, consulting fees, success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Consideration Paid or to be Paid</w:t>
      </w:r>
    </w:p>
    <w:p>
      <w:pPr>
        <w:spacing w:after="0" w:line="200" w:lineRule="exact"/>
        <w:rPr>
          <w:sz w:val="20"/>
          <w:szCs w:val="20"/>
          <w:color w:val="auto"/>
        </w:rPr>
      </w:pPr>
    </w:p>
    <w:p>
      <w:pPr>
        <w:spacing w:after="0" w:line="28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5"/>
          <w:szCs w:val="15"/>
          <w:color w:val="auto"/>
        </w:rPr>
        <w:t>Repayment of loans made to us to cover offering related and organizational expenses</w:t>
      </w:r>
    </w:p>
    <w:p>
      <w:pPr>
        <w:spacing w:after="0" w:line="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Working capital loans to finance transaction costs in connection with an initial business combination</w:t>
      </w:r>
    </w:p>
    <w:p>
      <w:pPr>
        <w:spacing w:after="0" w:line="23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5"/>
          <w:szCs w:val="15"/>
          <w:color w:val="auto"/>
        </w:rPr>
        <w:t>Services in connection with identifying, investigating and completing an initial business combination</w:t>
      </w:r>
    </w:p>
    <w:p>
      <w:pPr>
        <w:spacing w:after="0" w:line="68"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5"/>
          <w:szCs w:val="15"/>
          <w:color w:val="auto"/>
        </w:rPr>
        <w:t>Monthly payments to Chief Financial Officer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services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$440,130.48</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color w:val="auto"/>
        </w:rPr>
        <w:t>Issuance of the Class A ordinary shares issuable in connection with the conversion of the founder shares on a greater than one-to-one basis upon conversion</w:t>
      </w:r>
    </w:p>
    <w:p>
      <w:pPr>
        <w:spacing w:after="0" w:line="6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Any services in order to effectuate the completion of our initial business combination, which, if payments are made in connection with such services prior to the completion of our initial business combination, will be paid from funds held outside the trust account. No agreements have been signed as of the date of this prospectus.</w:t>
      </w:r>
    </w:p>
    <w:p>
      <w:pPr>
        <w:spacing w:after="0" w:line="200" w:lineRule="exact"/>
        <w:rPr>
          <w:sz w:val="20"/>
          <w:szCs w:val="20"/>
          <w:color w:val="auto"/>
        </w:rPr>
      </w:pPr>
    </w:p>
    <w:p>
      <w:pPr>
        <w:sectPr>
          <w:pgSz w:w="11900" w:h="16840" w:orient="portrait"/>
          <w:cols w:equalWidth="0" w:num="3">
            <w:col w:w="3660" w:space="420"/>
            <w:col w:w="2980" w:space="180"/>
            <w:col w:w="2720"/>
          </w:cols>
          <w:pgMar w:left="660" w:top="874" w:right="1280" w:bottom="1440" w:gutter="0" w:footer="0" w:header="0"/>
          <w:type w:val="continuous"/>
        </w:sectPr>
      </w:pPr>
    </w:p>
    <w:p>
      <w:pPr>
        <w:spacing w:after="0" w:line="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16</w:t>
      </w:r>
    </w:p>
    <w:p>
      <w:pPr>
        <w:sectPr>
          <w:pgSz w:w="11900" w:h="16840" w:orient="portrait"/>
          <w:cols w:equalWidth="0" w:num="1">
            <w:col w:w="9960"/>
          </w:cols>
          <w:pgMar w:left="660" w:top="874" w:right="1280" w:bottom="1440" w:gutter="0" w:footer="0" w:header="0"/>
          <w:type w:val="continuous"/>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7910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37275" cy="47910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154"/>
        </w:trPr>
        <w:tc>
          <w:tcPr>
            <w:tcW w:w="9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Compensation to be Received or</w:t>
            </w:r>
          </w:p>
        </w:tc>
        <w:tc>
          <w:tcPr>
            <w:tcW w:w="18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171"/>
        </w:trPr>
        <w:tc>
          <w:tcPr>
            <w:tcW w:w="3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Entity/Individual</w:t>
            </w:r>
          </w:p>
        </w:tc>
        <w:tc>
          <w:tcPr>
            <w:tcW w:w="2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 Issued or to be Issued</w:t>
            </w:r>
          </w:p>
        </w:tc>
        <w:tc>
          <w:tcPr>
            <w:tcW w:w="180" w:type="dxa"/>
            <w:vAlign w:val="bottom"/>
          </w:tcPr>
          <w:p>
            <w:pPr>
              <w:spacing w:after="0"/>
              <w:rPr>
                <w:sz w:val="14"/>
                <w:szCs w:val="14"/>
                <w:color w:val="auto"/>
              </w:rPr>
            </w:pPr>
          </w:p>
        </w:tc>
        <w:tc>
          <w:tcPr>
            <w:tcW w:w="272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Consideration Paid or to be Paid</w:t>
            </w:r>
          </w:p>
        </w:tc>
      </w:tr>
      <w:tr>
        <w:trPr>
          <w:trHeight w:val="285"/>
        </w:trPr>
        <w:tc>
          <w:tcPr>
            <w:tcW w:w="96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We may engage our sponsor or an affiliate</w:t>
            </w:r>
          </w:p>
        </w:tc>
      </w:tr>
      <w:tr>
        <w:trPr>
          <w:trHeight w:val="178"/>
        </w:trPr>
        <w:tc>
          <w:tcPr>
            <w:tcW w:w="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of our sponsor as an advisor or otherwise in</w:t>
            </w:r>
          </w:p>
        </w:tc>
      </w:tr>
      <w:tr>
        <w:trPr>
          <w:trHeight w:val="178"/>
        </w:trPr>
        <w:tc>
          <w:tcPr>
            <w:tcW w:w="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connection with our initial business</w:t>
            </w:r>
          </w:p>
        </w:tc>
      </w:tr>
      <w:tr>
        <w:trPr>
          <w:trHeight w:val="178"/>
        </w:trPr>
        <w:tc>
          <w:tcPr>
            <w:tcW w:w="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combination and certain other transactions</w:t>
            </w:r>
          </w:p>
        </w:tc>
      </w:tr>
      <w:tr>
        <w:trPr>
          <w:trHeight w:val="178"/>
        </w:trPr>
        <w:tc>
          <w:tcPr>
            <w:tcW w:w="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and pay such person or entity a salary or fee</w:t>
            </w:r>
          </w:p>
        </w:tc>
      </w:tr>
      <w:tr>
        <w:trPr>
          <w:trHeight w:val="178"/>
        </w:trPr>
        <w:tc>
          <w:tcPr>
            <w:tcW w:w="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 an amount that constitutes a market</w:t>
            </w:r>
          </w:p>
        </w:tc>
      </w:tr>
      <w:tr>
        <w:trPr>
          <w:trHeight w:val="178"/>
        </w:trPr>
        <w:tc>
          <w:tcPr>
            <w:tcW w:w="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standard for comparable transactions. No</w:t>
            </w:r>
          </w:p>
        </w:tc>
      </w:tr>
      <w:tr>
        <w:trPr>
          <w:trHeight w:val="178"/>
        </w:trPr>
        <w:tc>
          <w:tcPr>
            <w:tcW w:w="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agreements have been signed as of the date</w:t>
            </w:r>
          </w:p>
        </w:tc>
      </w:tr>
      <w:tr>
        <w:trPr>
          <w:trHeight w:val="199"/>
        </w:trPr>
        <w:tc>
          <w:tcPr>
            <w:tcW w:w="9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of this prospectus.</w:t>
            </w:r>
          </w:p>
        </w:tc>
      </w:tr>
    </w:tbl>
    <w:p>
      <w:pPr>
        <w:spacing w:after="0" w:line="180" w:lineRule="exact"/>
        <w:rPr>
          <w:sz w:val="20"/>
          <w:szCs w:val="20"/>
          <w:color w:val="auto"/>
        </w:rPr>
      </w:pPr>
    </w:p>
    <w:p>
      <w:pPr>
        <w:ind w:left="600" w:right="20" w:firstLine="367"/>
        <w:spacing w:after="0" w:line="249" w:lineRule="auto"/>
        <w:rPr>
          <w:sz w:val="20"/>
          <w:szCs w:val="20"/>
          <w:color w:val="auto"/>
        </w:rPr>
      </w:pPr>
      <w:r>
        <w:rPr>
          <w:rFonts w:ascii="Times New Roman" w:cs="Times New Roman" w:eastAsia="Times New Roman" w:hAnsi="Times New Roman"/>
          <w:sz w:val="15"/>
          <w:szCs w:val="15"/>
          <w:color w:val="auto"/>
        </w:rPr>
        <w:t xml:space="preserve">Because our sponsor acquired the founder shares at a nominal price of $0.000434 per Class B ordinary share, our directors will acquire at the time of this offering the founder shares at a nominal price of $0.02462 per Class B ordinary share, Lynrock will acquire founder shares from our sponsor at the time of this offering at a nominal purchase price of $0.00927 per share, and the non-managing investors will acquire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 to-one basis upon conversion. In addition, because our insiders and the non -managing investors will acquire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Additionally, our public shareholders may experience dilution from the conversion of the 337,675 private placement rights that form a part of the private placement units into 33,767 Class A ordinary shares (or up to 357,657 private placement rights converting into 35,765 Class A ordinary shares if the underwriters’ over-allotment option is exercised in full) to be purchased in the private placement simultaneously with the closing of this offering. Further, our public shareholders may experience material dilution if the $1,500,000 in working capital loans is fully advanced by the sponsor and the sponsor elects to convert the working capital loans into private placement units at $10.00 per unit, resulting in the sponsor receiving an additional 150,000 private placement units. </w:t>
      </w:r>
      <w:r>
        <w:rPr>
          <w:rFonts w:ascii="Times New Roman" w:cs="Times New Roman" w:eastAsia="Times New Roman" w:hAnsi="Times New Roman"/>
          <w:sz w:val="15"/>
          <w:szCs w:val="15"/>
          <w:b w:val="1"/>
          <w:bCs w:val="1"/>
          <w:color w:val="auto"/>
        </w:rPr>
        <w:t>See the sections titled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Risk Factors — Risks Relating to our Securities —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 xml:space="preserve">nominal purchase price paid by our insiders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 </w:t>
      </w:r>
      <w:r>
        <w:rPr>
          <w:rFonts w:ascii="Times New Roman" w:cs="Times New Roman" w:eastAsia="Times New Roman" w:hAnsi="Times New Roman"/>
          <w:sz w:val="15"/>
          <w:szCs w:val="15"/>
          <w:b w:val="1"/>
          <w:bCs w:val="1"/>
          <w:color w:val="auto"/>
        </w:rPr>
        <w:t>and “</w:t>
      </w:r>
      <w:r>
        <w:rPr>
          <w:rFonts w:ascii="Times New Roman" w:cs="Times New Roman" w:eastAsia="Times New Roman" w:hAnsi="Times New Roman"/>
          <w:sz w:val="15"/>
          <w:szCs w:val="15"/>
          <w:b w:val="1"/>
          <w:bCs w:val="1"/>
          <w:i w:val="1"/>
          <w:iCs w:val="1"/>
          <w:color w:val="auto"/>
        </w:rPr>
        <w:t>Dilution</w:t>
      </w:r>
      <w:r>
        <w:rPr>
          <w:rFonts w:ascii="Times New Roman" w:cs="Times New Roman" w:eastAsia="Times New Roman" w:hAnsi="Times New Roman"/>
          <w:sz w:val="15"/>
          <w:szCs w:val="15"/>
          <w:b w:val="1"/>
          <w:bCs w:val="1"/>
          <w:color w:val="auto"/>
        </w:rPr>
        <w:t>.”</w:t>
      </w:r>
    </w:p>
    <w:p>
      <w:pPr>
        <w:spacing w:after="0" w:line="166" w:lineRule="exact"/>
        <w:rPr>
          <w:sz w:val="20"/>
          <w:szCs w:val="20"/>
          <w:color w:val="auto"/>
        </w:rPr>
      </w:pPr>
    </w:p>
    <w:p>
      <w:pPr>
        <w:ind w:left="600" w:right="140" w:firstLine="367"/>
        <w:spacing w:after="0" w:line="251" w:lineRule="auto"/>
        <w:rPr>
          <w:sz w:val="20"/>
          <w:szCs w:val="20"/>
          <w:color w:val="auto"/>
        </w:rPr>
      </w:pPr>
      <w:r>
        <w:rPr>
          <w:rFonts w:ascii="Times New Roman" w:cs="Times New Roman" w:eastAsia="Times New Roman" w:hAnsi="Times New Roman"/>
          <w:sz w:val="15"/>
          <w:szCs w:val="15"/>
          <w:color w:val="auto"/>
        </w:rPr>
        <w:t>The founder shares and private investor shares will automatically convert into Class A ordinary shares concurrently with or immediately following the consummation of our initial business combination or earlier at the option of the holder on a one- 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 -dilution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w:t>
      </w:r>
    </w:p>
    <w:p>
      <w:pPr>
        <w:spacing w:after="0" w:line="2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17</w:t>
      </w:r>
    </w:p>
    <w:p>
      <w:pPr>
        <w:sectPr>
          <w:pgSz w:w="11900" w:h="16840" w:orient="portrait"/>
          <w:cols w:equalWidth="0" w:num="1">
            <w:col w:w="9960"/>
          </w:cols>
          <w:pgMar w:left="660" w:top="874" w:right="1280"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964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37275" cy="49644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0" w:right="20"/>
        <w:spacing w:after="0" w:line="253" w:lineRule="auto"/>
        <w:rPr>
          <w:sz w:val="20"/>
          <w:szCs w:val="20"/>
          <w:color w:val="auto"/>
        </w:rPr>
      </w:pPr>
      <w:r>
        <w:rPr>
          <w:rFonts w:ascii="Times New Roman" w:cs="Times New Roman" w:eastAsia="Times New Roman" w:hAnsi="Times New Roman"/>
          <w:sz w:val="15"/>
          <w:szCs w:val="15"/>
          <w:color w:val="auto"/>
        </w:rPr>
        <w:t xml:space="preserve">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w:t>
      </w:r>
      <w:r>
        <w:rPr>
          <w:rFonts w:ascii="Times New Roman" w:cs="Times New Roman" w:eastAsia="Times New Roman" w:hAnsi="Times New Roman"/>
          <w:sz w:val="15"/>
          <w:szCs w:val="15"/>
          <w:b w:val="1"/>
          <w:bCs w:val="1"/>
          <w:color w:val="auto"/>
        </w:rPr>
        <w:t>See the section titled “</w:t>
      </w:r>
      <w:r>
        <w:rPr>
          <w:rFonts w:ascii="Times New Roman" w:cs="Times New Roman" w:eastAsia="Times New Roman" w:hAnsi="Times New Roman"/>
          <w:sz w:val="15"/>
          <w:szCs w:val="15"/>
          <w:b w:val="1"/>
          <w:bCs w:val="1"/>
          <w:i w:val="1"/>
          <w:iCs w:val="1"/>
          <w:color w:val="auto"/>
        </w:rPr>
        <w:t>Summary — The Offering — Conversion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of founder shares and private investor shares and anti-dilution rights</w:t>
      </w:r>
      <w:r>
        <w:rPr>
          <w:rFonts w:ascii="Times New Roman" w:cs="Times New Roman" w:eastAsia="Times New Roman" w:hAnsi="Times New Roman"/>
          <w:sz w:val="15"/>
          <w:szCs w:val="15"/>
          <w:b w:val="1"/>
          <w:bCs w:val="1"/>
          <w:color w:val="auto"/>
        </w:rPr>
        <w:t>.”</w:t>
      </w:r>
    </w:p>
    <w:p>
      <w:pPr>
        <w:spacing w:after="0" w:line="160" w:lineRule="exact"/>
        <w:rPr>
          <w:sz w:val="20"/>
          <w:szCs w:val="20"/>
          <w:color w:val="auto"/>
        </w:rPr>
      </w:pPr>
    </w:p>
    <w:p>
      <w:pPr>
        <w:ind w:left="600" w:right="120" w:firstLine="367"/>
        <w:spacing w:after="0" w:line="259" w:lineRule="auto"/>
        <w:rPr>
          <w:sz w:val="20"/>
          <w:szCs w:val="20"/>
          <w:color w:val="auto"/>
        </w:rPr>
      </w:pPr>
      <w:r>
        <w:rPr>
          <w:rFonts w:ascii="Times New Roman" w:cs="Times New Roman" w:eastAsia="Times New Roman" w:hAnsi="Times New Roman"/>
          <w:sz w:val="15"/>
          <w:szCs w:val="15"/>
          <w:color w:val="auto"/>
        </w:rPr>
        <w:t>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w:t>
      </w:r>
    </w:p>
    <w:p>
      <w:pPr>
        <w:spacing w:after="0" w:line="156" w:lineRule="exact"/>
        <w:rPr>
          <w:sz w:val="20"/>
          <w:szCs w:val="20"/>
          <w:color w:val="auto"/>
        </w:rPr>
      </w:pPr>
    </w:p>
    <w:p>
      <w:pPr>
        <w:ind w:left="600" w:right="140" w:firstLine="367"/>
        <w:spacing w:after="0" w:line="259" w:lineRule="auto"/>
        <w:rPr>
          <w:sz w:val="20"/>
          <w:szCs w:val="20"/>
          <w:color w:val="auto"/>
        </w:rPr>
      </w:pPr>
      <w:r>
        <w:rPr>
          <w:rFonts w:ascii="Times New Roman" w:cs="Times New Roman" w:eastAsia="Times New Roman" w:hAnsi="Times New Roman"/>
          <w:sz w:val="15"/>
          <w:szCs w:val="15"/>
          <w:color w:val="auto"/>
        </w:rPr>
        <w:t>Pursuant to a letter agreement to be entered with us, each of our sponsor, directors and officers and Lynrock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w:t>
      </w:r>
    </w:p>
    <w:p>
      <w:pPr>
        <w:sectPr>
          <w:pgSz w:w="11900" w:h="16840" w:orient="portrait"/>
          <w:cols w:equalWidth="0" w:num="1">
            <w:col w:w="9960"/>
          </w:cols>
          <w:pgMar w:left="660" w:top="874" w:right="1280" w:bottom="1440" w:gutter="0" w:footer="0" w:header="0"/>
        </w:sectPr>
      </w:pPr>
    </w:p>
    <w:p>
      <w:pPr>
        <w:spacing w:after="0" w:line="343"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8"/>
              </w:rPr>
              <w:t>Subject Securities</w:t>
            </w:r>
          </w:p>
        </w:tc>
        <w:tc>
          <w:tcPr>
            <w:tcW w:w="400" w:type="dxa"/>
            <w:vAlign w:val="bottom"/>
          </w:tcPr>
          <w:p>
            <w:pPr>
              <w:spacing w:after="0"/>
              <w:rPr>
                <w:sz w:val="16"/>
                <w:szCs w:val="16"/>
                <w:color w:val="auto"/>
              </w:rPr>
            </w:pPr>
          </w:p>
        </w:tc>
        <w:tc>
          <w:tcPr>
            <w:tcW w:w="2720" w:type="dxa"/>
            <w:vAlign w:val="bottom"/>
            <w:gridSpan w:val="2"/>
          </w:tcPr>
          <w:p>
            <w:pPr>
              <w:ind w:left="900"/>
              <w:spacing w:after="0"/>
              <w:rPr>
                <w:sz w:val="20"/>
                <w:szCs w:val="20"/>
                <w:color w:val="auto"/>
              </w:rPr>
            </w:pPr>
            <w:r>
              <w:rPr>
                <w:rFonts w:ascii="Times New Roman" w:cs="Times New Roman" w:eastAsia="Times New Roman" w:hAnsi="Times New Roman"/>
                <w:sz w:val="13"/>
                <w:szCs w:val="13"/>
                <w:b w:val="1"/>
                <w:bCs w:val="1"/>
                <w:color w:val="auto"/>
              </w:rPr>
              <w:t>Expiration Date</w:t>
            </w:r>
          </w:p>
        </w:tc>
      </w:tr>
      <w:tr>
        <w:trPr>
          <w:trHeight w:val="150"/>
        </w:trPr>
        <w:tc>
          <w:tcPr>
            <w:tcW w:w="100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Founder shares</w:t>
            </w:r>
          </w:p>
        </w:tc>
        <w:tc>
          <w:tcPr>
            <w:tcW w:w="400" w:type="dxa"/>
            <w:vAlign w:val="bottom"/>
          </w:tcPr>
          <w:p>
            <w:pPr>
              <w:spacing w:after="0"/>
              <w:rPr>
                <w:sz w:val="13"/>
                <w:szCs w:val="13"/>
                <w:color w:val="auto"/>
              </w:rPr>
            </w:pPr>
          </w:p>
        </w:tc>
        <w:tc>
          <w:tcPr>
            <w:tcW w:w="270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The earlier of (A) six months after the date</w:t>
            </w:r>
          </w:p>
        </w:tc>
        <w:tc>
          <w:tcPr>
            <w:tcW w:w="2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of the consummation of our initial business</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combination or (B) subsequent to our</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initial business combination, (x) the date on</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which the last sale price of our ordinary</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shares equals or exceeds $11.50 per share</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(as adjusted for share divisions, share</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dividends, reorganizations,</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recapitalizations and the like) for any 20</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trading days within any 30-trading day</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period commencing at least 90 days after</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our initial business combination, or (y) the</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date on which we consummate a</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liquidation, merger, stock exchange or</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other similar transaction after our initial</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business combination which results in all of</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our shareholders having the right to</w:t>
            </w:r>
          </w:p>
        </w:tc>
      </w:tr>
      <w:tr>
        <w:trPr>
          <w:trHeight w:val="178"/>
        </w:trPr>
        <w:tc>
          <w:tcPr>
            <w:tcW w:w="1000" w:type="dxa"/>
            <w:vAlign w:val="bottom"/>
          </w:tcPr>
          <w:p>
            <w:pPr>
              <w:spacing w:after="0"/>
              <w:rPr>
                <w:sz w:val="15"/>
                <w:szCs w:val="15"/>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exchange their ordinary shares for cash,</w:t>
            </w:r>
          </w:p>
        </w:tc>
      </w:tr>
      <w:tr>
        <w:trPr>
          <w:trHeight w:val="199"/>
        </w:trPr>
        <w:tc>
          <w:tcPr>
            <w:tcW w:w="1000" w:type="dxa"/>
            <w:vAlign w:val="bottom"/>
          </w:tcPr>
          <w:p>
            <w:pPr>
              <w:spacing w:after="0"/>
              <w:rPr>
                <w:sz w:val="17"/>
                <w:szCs w:val="17"/>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securities or other property.</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left="-459"/>
        <w:spacing w:after="0"/>
        <w:rPr>
          <w:sz w:val="20"/>
          <w:szCs w:val="20"/>
          <w:color w:val="auto"/>
        </w:rPr>
      </w:pPr>
      <w:r>
        <w:rPr>
          <w:rFonts w:ascii="Times New Roman" w:cs="Times New Roman" w:eastAsia="Times New Roman" w:hAnsi="Times New Roman"/>
          <w:sz w:val="12"/>
          <w:szCs w:val="12"/>
          <w:b w:val="1"/>
          <w:bCs w:val="1"/>
          <w:color w:val="auto"/>
        </w:rPr>
        <w:t>Natural Persons and Entities</w:t>
      </w:r>
    </w:p>
    <w:p>
      <w:pPr>
        <w:spacing w:after="0" w:line="32" w:lineRule="exact"/>
        <w:rPr>
          <w:sz w:val="20"/>
          <w:szCs w:val="20"/>
          <w:color w:val="auto"/>
        </w:rPr>
      </w:pPr>
    </w:p>
    <w:p>
      <w:pPr>
        <w:jc w:val="center"/>
        <w:ind w:left="-439"/>
        <w:spacing w:after="0"/>
        <w:rPr>
          <w:sz w:val="20"/>
          <w:szCs w:val="20"/>
          <w:color w:val="auto"/>
        </w:rPr>
      </w:pPr>
      <w:r>
        <w:rPr>
          <w:rFonts w:ascii="Times New Roman" w:cs="Times New Roman" w:eastAsia="Times New Roman" w:hAnsi="Times New Roman"/>
          <w:sz w:val="13"/>
          <w:szCs w:val="13"/>
          <w:b w:val="1"/>
          <w:bCs w:val="1"/>
          <w:color w:val="auto"/>
        </w:rPr>
        <w:t>Subject to Restrictions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GigAcquisitions8 Corp.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Dr. Avi S. Katz</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Dr. Raluca Dinu</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Christine M. Marshall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Admiral (Ret.) David Ben-Bashat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Rear Admiral (Ret.) Omri Dagul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Raanan I. Horowitz</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Ambassador Adrian Zuckerman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Luis Machuca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Bryan Timm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James Greene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Lynrock</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Exceptions to Transfer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Restrictions</w:t>
      </w:r>
    </w:p>
    <w:p>
      <w:pPr>
        <w:spacing w:after="0" w:line="1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5"/>
          <w:szCs w:val="15"/>
          <w:color w:val="auto"/>
        </w:rPr>
        <w:t>Transfers permitted (1) amongst such holders and their affiliates, to our executive officers or directors, or to any affiliate or family member of any of our executive officers or directors,</w:t>
      </w:r>
    </w:p>
    <w:p>
      <w:pPr>
        <w:spacing w:after="0" w:line="2" w:lineRule="exact"/>
        <w:rPr>
          <w:sz w:val="20"/>
          <w:szCs w:val="20"/>
          <w:color w:val="auto"/>
        </w:rPr>
      </w:pPr>
    </w:p>
    <w:p>
      <w:pPr>
        <w:ind w:firstLine="6"/>
        <w:spacing w:after="0" w:line="247" w:lineRule="auto"/>
        <w:tabs>
          <w:tab w:leader="none" w:pos="218"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w:t>
      </w:r>
    </w:p>
    <w:p>
      <w:pPr>
        <w:spacing w:after="0" w:line="179" w:lineRule="exact"/>
        <w:rPr>
          <w:rFonts w:ascii="Times New Roman" w:cs="Times New Roman" w:eastAsia="Times New Roman" w:hAnsi="Times New Roman"/>
          <w:sz w:val="15"/>
          <w:szCs w:val="15"/>
          <w:color w:val="auto"/>
        </w:rPr>
      </w:pPr>
    </w:p>
    <w:p>
      <w:pPr>
        <w:ind w:right="120"/>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(iii) pursuant to a qualified domestic relations order, (4) by certain pledges to secure obligations incurred in connection with purchases of our company’s</w:t>
      </w:r>
    </w:p>
    <w:p>
      <w:pPr>
        <w:spacing w:after="0" w:line="200" w:lineRule="exact"/>
        <w:rPr>
          <w:sz w:val="20"/>
          <w:szCs w:val="20"/>
          <w:color w:val="auto"/>
        </w:rPr>
      </w:pPr>
    </w:p>
    <w:p>
      <w:pPr>
        <w:sectPr>
          <w:pgSz w:w="11900" w:h="16840" w:orient="portrait"/>
          <w:cols w:equalWidth="0" w:num="3">
            <w:col w:w="4700" w:space="180"/>
            <w:col w:w="2060" w:space="580"/>
            <w:col w:w="2440"/>
          </w:cols>
          <w:pgMar w:left="660" w:top="874" w:right="1280" w:bottom="1440" w:gutter="0" w:footer="0" w:header="0"/>
          <w:type w:val="continuous"/>
        </w:sectPr>
      </w:pPr>
    </w:p>
    <w:p>
      <w:pPr>
        <w:spacing w:after="0" w:line="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18</w:t>
      </w:r>
    </w:p>
    <w:p>
      <w:pPr>
        <w:sectPr>
          <w:pgSz w:w="11900" w:h="16840" w:orient="portrait"/>
          <w:cols w:equalWidth="0" w:num="1">
            <w:col w:w="9960"/>
          </w:cols>
          <w:pgMar w:left="660" w:top="874" w:right="1280" w:bottom="1440" w:gutter="0" w:footer="0" w:header="0"/>
          <w:type w:val="continuous"/>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470" w:type="dxa"/>
        <w:tblCellMar>
          <w:top w:w="0" w:type="dxa"/>
          <w:left w:w="0" w:type="dxa"/>
          <w:bottom w:w="0" w:type="dxa"/>
          <w:right w:w="0" w:type="dxa"/>
        </w:tblCellMar>
      </w:tblPr>
      <w:tr>
        <w:trPr>
          <w:trHeight w:val="294"/>
        </w:trPr>
        <w:tc>
          <w:tcPr>
            <w:tcW w:w="140" w:type="dxa"/>
            <w:vAlign w:val="bottom"/>
            <w:tcBorders>
              <w:top w:val="single" w:sz="8" w:color="auto"/>
              <w:left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Natural Persons and Entities</w:t>
            </w:r>
          </w:p>
        </w:tc>
        <w:tc>
          <w:tcPr>
            <w:tcW w:w="12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Exceptions to Transfer</w:t>
            </w:r>
          </w:p>
        </w:tc>
      </w:tr>
      <w:tr>
        <w:trPr>
          <w:trHeight w:val="171"/>
        </w:trPr>
        <w:tc>
          <w:tcPr>
            <w:tcW w:w="114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w w:val="98"/>
              </w:rPr>
              <w:t>Subject Securities</w:t>
            </w:r>
          </w:p>
        </w:tc>
        <w:tc>
          <w:tcPr>
            <w:tcW w:w="400" w:type="dxa"/>
            <w:vAlign w:val="bottom"/>
          </w:tcPr>
          <w:p>
            <w:pPr>
              <w:spacing w:after="0"/>
              <w:rPr>
                <w:sz w:val="14"/>
                <w:szCs w:val="14"/>
                <w:color w:val="auto"/>
              </w:rPr>
            </w:pPr>
          </w:p>
        </w:tc>
        <w:tc>
          <w:tcPr>
            <w:tcW w:w="27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8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Subject to Restrictions</w:t>
            </w:r>
          </w:p>
        </w:tc>
        <w:tc>
          <w:tcPr>
            <w:tcW w:w="120" w:type="dxa"/>
            <w:vAlign w:val="bottom"/>
          </w:tcPr>
          <w:p>
            <w:pPr>
              <w:spacing w:after="0"/>
              <w:rPr>
                <w:sz w:val="14"/>
                <w:szCs w:val="14"/>
                <w:color w:val="auto"/>
              </w:rPr>
            </w:pPr>
          </w:p>
        </w:tc>
        <w:tc>
          <w:tcPr>
            <w:tcW w:w="2600" w:type="dxa"/>
            <w:vAlign w:val="bottom"/>
            <w:tcBorders>
              <w:right w:val="single" w:sz="8" w:color="auto"/>
            </w:tcBorders>
            <w:gridSpan w:val="2"/>
          </w:tcPr>
          <w:p>
            <w:pPr>
              <w:ind w:left="880"/>
              <w:spacing w:after="0"/>
              <w:rPr>
                <w:sz w:val="20"/>
                <w:szCs w:val="20"/>
                <w:color w:val="auto"/>
              </w:rPr>
            </w:pPr>
            <w:r>
              <w:rPr>
                <w:rFonts w:ascii="Times New Roman" w:cs="Times New Roman" w:eastAsia="Times New Roman" w:hAnsi="Times New Roman"/>
                <w:sz w:val="13"/>
                <w:szCs w:val="13"/>
                <w:b w:val="1"/>
                <w:bCs w:val="1"/>
                <w:color w:val="auto"/>
              </w:rPr>
              <w:t>Restrictions</w:t>
            </w:r>
          </w:p>
        </w:tc>
      </w:tr>
      <w:tr>
        <w:trPr>
          <w:trHeight w:val="167"/>
        </w:trPr>
        <w:tc>
          <w:tcPr>
            <w:tcW w:w="140" w:type="dxa"/>
            <w:vAlign w:val="bottom"/>
            <w:tcBorders>
              <w:left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5"/>
                <w:szCs w:val="15"/>
                <w:color w:val="auto"/>
              </w:rPr>
              <w:t>securities, (5) through private sales or</w:t>
            </w:r>
          </w:p>
        </w:tc>
        <w:tc>
          <w:tcPr>
            <w:tcW w:w="160" w:type="dxa"/>
            <w:vAlign w:val="bottom"/>
            <w:tcBorders>
              <w:right w:val="single" w:sz="8" w:color="auto"/>
            </w:tcBorders>
          </w:tcPr>
          <w:p>
            <w:pPr>
              <w:spacing w:after="0"/>
              <w:rPr>
                <w:sz w:val="14"/>
                <w:szCs w:val="14"/>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transfers made in connection with the</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consummation of our initial business</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combination at prices no greater than</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the price at which such securities were</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originally purchased, (6) to us for no</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value for cancellation in connection</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with the consummation of our initial</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business combination; provided that</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(except for clause (6)) these transferees</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(“permitted transferees”) shall enter</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into a written agreement with us</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agreeing to be bound by the transfer</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restrictions agreed to by the original</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holder in connection with the purchase</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of the securities being transferred. In</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addition, the sponsor, executive</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officers and directors may transfer,</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assign or sell any of the founder shares</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or private placement units ((including</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underlying securities) (i) in the event of</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our liquidation prior to the</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consummation of our initial business</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combination; (ii) by virtue of the laws</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of the Cayman Islands, by virtue of</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sponsor’s memorandum and articles of</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association or other constitutional,</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organizational or formational</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documents, as amended, upon</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dissolution of the sponsor, or by virtue</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of the constitutional, organizational or</w:t>
            </w: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formational documents of a subsidiary</w:t>
            </w:r>
          </w:p>
        </w:tc>
      </w:tr>
      <w:tr>
        <w:trPr>
          <w:trHeight w:val="199"/>
        </w:trPr>
        <w:tc>
          <w:tcPr>
            <w:tcW w:w="140" w:type="dxa"/>
            <w:vAlign w:val="bottom"/>
            <w:tcBorders>
              <w:lef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of the sponsor that holds any such</w:t>
            </w:r>
          </w:p>
        </w:tc>
      </w:tr>
      <w:tr>
        <w:trPr>
          <w:trHeight w:val="132"/>
        </w:trPr>
        <w:tc>
          <w:tcPr>
            <w:tcW w:w="14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r>
      <w:tr>
        <w:trPr>
          <w:trHeight w:val="334"/>
        </w:trPr>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00" w:type="dxa"/>
            <w:vAlign w:val="bottom"/>
            <w:gridSpan w:val="2"/>
          </w:tcPr>
          <w:p>
            <w:pPr>
              <w:jc w:val="right"/>
              <w:ind w:right="1975"/>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40" w:orient="portrait"/>
          <w:cols w:equalWidth="0" w:num="1">
            <w:col w:w="10120"/>
          </w:cols>
          <w:pgMar w:left="660" w:top="874" w:right="1120" w:bottom="1440" w:gutter="0" w:footer="0" w:header="0"/>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470" w:type="dxa"/>
        <w:tblCellMar>
          <w:top w:w="0" w:type="dxa"/>
          <w:left w:w="0" w:type="dxa"/>
          <w:bottom w:w="0" w:type="dxa"/>
          <w:right w:w="0" w:type="dxa"/>
        </w:tblCellMar>
      </w:tblPr>
      <w:tr>
        <w:trPr>
          <w:trHeight w:val="294"/>
        </w:trPr>
        <w:tc>
          <w:tcPr>
            <w:tcW w:w="140" w:type="dxa"/>
            <w:vAlign w:val="bottom"/>
            <w:tcBorders>
              <w:top w:val="single" w:sz="8" w:color="auto"/>
              <w:left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5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Natural Persons and Entities</w:t>
            </w:r>
          </w:p>
        </w:tc>
        <w:tc>
          <w:tcPr>
            <w:tcW w:w="12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Exceptions to Transfer</w:t>
            </w:r>
          </w:p>
        </w:tc>
        <w:tc>
          <w:tcPr>
            <w:tcW w:w="0" w:type="dxa"/>
            <w:vAlign w:val="bottom"/>
          </w:tcPr>
          <w:p>
            <w:pPr>
              <w:spacing w:after="0"/>
              <w:rPr>
                <w:sz w:val="1"/>
                <w:szCs w:val="1"/>
                <w:color w:val="auto"/>
              </w:rPr>
            </w:pPr>
          </w:p>
        </w:tc>
      </w:tr>
      <w:tr>
        <w:trPr>
          <w:trHeight w:val="171"/>
        </w:trPr>
        <w:tc>
          <w:tcPr>
            <w:tcW w:w="140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Subject Securities</w:t>
            </w:r>
          </w:p>
        </w:tc>
        <w:tc>
          <w:tcPr>
            <w:tcW w:w="140" w:type="dxa"/>
            <w:vAlign w:val="bottom"/>
          </w:tcPr>
          <w:p>
            <w:pPr>
              <w:spacing w:after="0"/>
              <w:rPr>
                <w:sz w:val="14"/>
                <w:szCs w:val="14"/>
                <w:color w:val="auto"/>
              </w:rPr>
            </w:pPr>
          </w:p>
        </w:tc>
        <w:tc>
          <w:tcPr>
            <w:tcW w:w="27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80" w:type="dxa"/>
            <w:vAlign w:val="bottom"/>
          </w:tcPr>
          <w:p>
            <w:pPr>
              <w:spacing w:after="0"/>
              <w:rPr>
                <w:sz w:val="14"/>
                <w:szCs w:val="14"/>
                <w:color w:val="auto"/>
              </w:rPr>
            </w:pPr>
          </w:p>
        </w:tc>
        <w:tc>
          <w:tcPr>
            <w:tcW w:w="252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Subject to Restrictions</w:t>
            </w:r>
          </w:p>
        </w:tc>
        <w:tc>
          <w:tcPr>
            <w:tcW w:w="120" w:type="dxa"/>
            <w:vAlign w:val="bottom"/>
          </w:tcPr>
          <w:p>
            <w:pPr>
              <w:spacing w:after="0"/>
              <w:rPr>
                <w:sz w:val="14"/>
                <w:szCs w:val="14"/>
                <w:color w:val="auto"/>
              </w:rPr>
            </w:pPr>
          </w:p>
        </w:tc>
        <w:tc>
          <w:tcPr>
            <w:tcW w:w="2600" w:type="dxa"/>
            <w:vAlign w:val="bottom"/>
            <w:tcBorders>
              <w:right w:val="single" w:sz="8" w:color="auto"/>
            </w:tcBorders>
            <w:gridSpan w:val="2"/>
          </w:tcPr>
          <w:p>
            <w:pPr>
              <w:ind w:left="880"/>
              <w:spacing w:after="0"/>
              <w:rPr>
                <w:sz w:val="20"/>
                <w:szCs w:val="20"/>
                <w:color w:val="auto"/>
              </w:rPr>
            </w:pPr>
            <w:r>
              <w:rPr>
                <w:rFonts w:ascii="Times New Roman" w:cs="Times New Roman" w:eastAsia="Times New Roman" w:hAnsi="Times New Roman"/>
                <w:sz w:val="13"/>
                <w:szCs w:val="13"/>
                <w:b w:val="1"/>
                <w:bCs w:val="1"/>
                <w:color w:val="auto"/>
              </w:rPr>
              <w:t>Restrictions</w:t>
            </w:r>
          </w:p>
        </w:tc>
        <w:tc>
          <w:tcPr>
            <w:tcW w:w="0" w:type="dxa"/>
            <w:vAlign w:val="bottom"/>
          </w:tcPr>
          <w:p>
            <w:pPr>
              <w:spacing w:after="0"/>
              <w:rPr>
                <w:sz w:val="1"/>
                <w:szCs w:val="1"/>
                <w:color w:val="auto"/>
              </w:rPr>
            </w:pPr>
          </w:p>
        </w:tc>
      </w:tr>
      <w:tr>
        <w:trPr>
          <w:trHeight w:val="167"/>
        </w:trPr>
        <w:tc>
          <w:tcPr>
            <w:tcW w:w="140" w:type="dxa"/>
            <w:vAlign w:val="bottom"/>
            <w:tcBorders>
              <w:left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5"/>
                <w:szCs w:val="15"/>
                <w:color w:val="auto"/>
              </w:rPr>
              <w:t>securities, upon liquidation or</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dissolution of such subsidiary; or</w:t>
            </w: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(iii) in the event of our completion of a</w:t>
            </w: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liquidation, merger, share exchange,</w:t>
            </w: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reorganization or other similar</w:t>
            </w: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transaction which results in all of our</w:t>
            </w: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shareholders having the right to</w:t>
            </w: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exchange their ordinary shares for</w:t>
            </w: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cash, securities or other property</w:t>
            </w: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subsequent to the completion of our</w:t>
            </w:r>
          </w:p>
        </w:tc>
        <w:tc>
          <w:tcPr>
            <w:tcW w:w="0" w:type="dxa"/>
            <w:vAlign w:val="bottom"/>
          </w:tcPr>
          <w:p>
            <w:pPr>
              <w:spacing w:after="0"/>
              <w:rPr>
                <w:sz w:val="1"/>
                <w:szCs w:val="1"/>
                <w:color w:val="auto"/>
              </w:rPr>
            </w:pPr>
          </w:p>
        </w:tc>
      </w:tr>
      <w:tr>
        <w:trPr>
          <w:trHeight w:val="199"/>
        </w:trPr>
        <w:tc>
          <w:tcPr>
            <w:tcW w:w="140" w:type="dxa"/>
            <w:vAlign w:val="bottom"/>
            <w:tcBorders>
              <w:lef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initial business combination.</w:t>
            </w:r>
          </w:p>
        </w:tc>
        <w:tc>
          <w:tcPr>
            <w:tcW w:w="0" w:type="dxa"/>
            <w:vAlign w:val="bottom"/>
          </w:tcPr>
          <w:p>
            <w:pPr>
              <w:spacing w:after="0"/>
              <w:rPr>
                <w:sz w:val="1"/>
                <w:szCs w:val="1"/>
                <w:color w:val="auto"/>
              </w:rPr>
            </w:pPr>
          </w:p>
        </w:tc>
      </w:tr>
      <w:tr>
        <w:trPr>
          <w:trHeight w:val="251"/>
        </w:trPr>
        <w:tc>
          <w:tcPr>
            <w:tcW w:w="140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5"/>
                <w:szCs w:val="15"/>
                <w:color w:val="auto"/>
              </w:rPr>
              <w:t>Private placement</w:t>
            </w: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Thirty days after the completion of our</w:t>
            </w:r>
          </w:p>
        </w:tc>
        <w:tc>
          <w:tcPr>
            <w:tcW w:w="180" w:type="dxa"/>
            <w:vAlign w:val="bottom"/>
          </w:tcPr>
          <w:p>
            <w:pPr>
              <w:spacing w:after="0"/>
              <w:rPr>
                <w:sz w:val="21"/>
                <w:szCs w:val="21"/>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GigAcquisitions8 Corp.</w:t>
            </w:r>
          </w:p>
        </w:tc>
        <w:tc>
          <w:tcPr>
            <w:tcW w:w="120" w:type="dxa"/>
            <w:vAlign w:val="bottom"/>
          </w:tcPr>
          <w:p>
            <w:pPr>
              <w:spacing w:after="0"/>
              <w:rPr>
                <w:sz w:val="21"/>
                <w:szCs w:val="21"/>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Same as above.</w:t>
            </w:r>
          </w:p>
        </w:tc>
        <w:tc>
          <w:tcPr>
            <w:tcW w:w="0" w:type="dxa"/>
            <w:vAlign w:val="bottom"/>
          </w:tcPr>
          <w:p>
            <w:pPr>
              <w:spacing w:after="0"/>
              <w:rPr>
                <w:sz w:val="1"/>
                <w:szCs w:val="1"/>
                <w:color w:val="auto"/>
              </w:rPr>
            </w:pPr>
          </w:p>
        </w:tc>
      </w:tr>
      <w:tr>
        <w:trPr>
          <w:trHeight w:val="178"/>
        </w:trPr>
        <w:tc>
          <w:tcPr>
            <w:tcW w:w="140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5"/>
                <w:szCs w:val="15"/>
                <w:color w:val="auto"/>
              </w:rPr>
              <w:t>units (including</w:t>
            </w: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initial business combination</w:t>
            </w:r>
          </w:p>
        </w:tc>
        <w:tc>
          <w:tcPr>
            <w:tcW w:w="18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Dr. Avi S. Katz</w:t>
            </w: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40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5"/>
                <w:szCs w:val="15"/>
                <w:color w:val="auto"/>
              </w:rPr>
              <w:t>underlying</w:t>
            </w:r>
          </w:p>
        </w:tc>
        <w:tc>
          <w:tcPr>
            <w:tcW w:w="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400" w:type="dxa"/>
            <w:vAlign w:val="bottom"/>
            <w:tcBorders>
              <w:left w:val="single" w:sz="8" w:color="auto"/>
            </w:tcBorders>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40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5"/>
                <w:szCs w:val="15"/>
                <w:color w:val="auto"/>
              </w:rPr>
              <w:t>securities)</w:t>
            </w:r>
          </w:p>
        </w:tc>
        <w:tc>
          <w:tcPr>
            <w:tcW w:w="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Dr. Raluca Dinu</w:t>
            </w: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40" w:type="dxa"/>
            <w:vAlign w:val="bottom"/>
            <w:tcBorders>
              <w:left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Christine M. Marshall</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Admiral (Ret.) David Ben-Bashat</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Rear Admiral (Ret.) Omri Dagul</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Raanan I. Horowitz</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Ambassador Adrian Zuckerman</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Luis Machuca</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Bryan Timm</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James Greene</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Lynrock</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Non-managing investors</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40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5"/>
                <w:szCs w:val="15"/>
                <w:color w:val="auto"/>
              </w:rPr>
              <w:t>Private investor</w:t>
            </w: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The earlier of (A) six months after the date</w:t>
            </w:r>
          </w:p>
        </w:tc>
        <w:tc>
          <w:tcPr>
            <w:tcW w:w="180" w:type="dxa"/>
            <w:vAlign w:val="bottom"/>
          </w:tcPr>
          <w:p>
            <w:pPr>
              <w:spacing w:after="0"/>
              <w:rPr>
                <w:sz w:val="22"/>
                <w:szCs w:val="22"/>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Non-managing investors</w:t>
            </w:r>
          </w:p>
        </w:tc>
        <w:tc>
          <w:tcPr>
            <w:tcW w:w="120" w:type="dxa"/>
            <w:vAlign w:val="bottom"/>
          </w:tcPr>
          <w:p>
            <w:pPr>
              <w:spacing w:after="0"/>
              <w:rPr>
                <w:sz w:val="22"/>
                <w:szCs w:val="22"/>
                <w:color w:val="auto"/>
              </w:rPr>
            </w:pPr>
          </w:p>
        </w:tc>
        <w:tc>
          <w:tcPr>
            <w:tcW w:w="2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Same as above.</w:t>
            </w:r>
          </w:p>
        </w:tc>
        <w:tc>
          <w:tcPr>
            <w:tcW w:w="0" w:type="dxa"/>
            <w:vAlign w:val="bottom"/>
          </w:tcPr>
          <w:p>
            <w:pPr>
              <w:spacing w:after="0"/>
              <w:rPr>
                <w:sz w:val="1"/>
                <w:szCs w:val="1"/>
                <w:color w:val="auto"/>
              </w:rPr>
            </w:pPr>
          </w:p>
        </w:tc>
      </w:tr>
      <w:tr>
        <w:trPr>
          <w:trHeight w:val="178"/>
        </w:trPr>
        <w:tc>
          <w:tcPr>
            <w:tcW w:w="140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5"/>
                <w:szCs w:val="15"/>
                <w:color w:val="auto"/>
              </w:rPr>
              <w:t>shares</w:t>
            </w: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of the consummation of our initial business</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combination or (B) subsequent to our</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initial business combination, (x) the date on</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which the last sale price of our ordinary</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shares equals or exceeds $11.50 per share</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 w:type="dxa"/>
            <w:vAlign w:val="bottom"/>
            <w:tcBorders>
              <w:lef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(as adjusted for share divisions, share</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40" w:type="dxa"/>
            <w:vAlign w:val="bottom"/>
            <w:tcBorders>
              <w:lef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dividends,</w:t>
            </w:r>
          </w:p>
        </w:tc>
        <w:tc>
          <w:tcPr>
            <w:tcW w:w="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4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00" w:type="dxa"/>
            <w:vAlign w:val="bottom"/>
            <w:gridSpan w:val="2"/>
          </w:tcPr>
          <w:p>
            <w:pPr>
              <w:jc w:val="right"/>
              <w:ind w:right="1964"/>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20"/>
          </w:cols>
          <w:pgMar w:left="660" w:top="874" w:right="1120"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159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37275" cy="4159250"/>
                    </a:xfrm>
                    <a:prstGeom prst="rect">
                      <a:avLst/>
                    </a:prstGeom>
                    <a:noFill/>
                  </pic:spPr>
                </pic:pic>
              </a:graphicData>
            </a:graphic>
          </wp:anchor>
        </w:drawing>
      </w:r>
    </w:p>
    <w:p>
      <w:pPr>
        <w:sectPr>
          <w:pgSz w:w="11900" w:h="16840" w:orient="portrait"/>
          <w:cols w:equalWidth="0" w:num="1">
            <w:col w:w="9940"/>
          </w:cols>
          <w:pgMar w:left="660" w:top="874" w:right="1300" w:bottom="1440" w:gutter="0" w:footer="0" w:header="0"/>
        </w:sectPr>
      </w:pPr>
    </w:p>
    <w:p>
      <w:pPr>
        <w:spacing w:after="0" w:line="200" w:lineRule="exact"/>
        <w:rPr>
          <w:sz w:val="20"/>
          <w:szCs w:val="20"/>
          <w:color w:val="auto"/>
        </w:rPr>
      </w:pPr>
    </w:p>
    <w:p>
      <w:pPr>
        <w:spacing w:after="0" w:line="221" w:lineRule="exact"/>
        <w:rPr>
          <w:sz w:val="20"/>
          <w:szCs w:val="20"/>
          <w:color w:val="auto"/>
        </w:rPr>
      </w:pPr>
    </w:p>
    <w:tbl>
      <w:tblPr>
        <w:tblLayout w:type="fixed"/>
        <w:tblInd w:w="600" w:type="dxa"/>
        <w:tblCellMar>
          <w:top w:w="0" w:type="dxa"/>
          <w:left w:w="0" w:type="dxa"/>
          <w:bottom w:w="0" w:type="dxa"/>
          <w:right w:w="0" w:type="dxa"/>
        </w:tblCellMar>
      </w:tblPr>
      <w:tr>
        <w:trPr>
          <w:trHeight w:val="154"/>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Natural Persons and Entities</w:t>
            </w:r>
          </w:p>
        </w:tc>
        <w:tc>
          <w:tcPr>
            <w:tcW w:w="0" w:type="dxa"/>
            <w:vAlign w:val="bottom"/>
          </w:tcPr>
          <w:p>
            <w:pPr>
              <w:spacing w:after="0"/>
              <w:rPr>
                <w:sz w:val="1"/>
                <w:szCs w:val="1"/>
                <w:color w:val="auto"/>
              </w:rPr>
            </w:pPr>
          </w:p>
        </w:tc>
      </w:tr>
      <w:tr>
        <w:trPr>
          <w:trHeight w:val="171"/>
        </w:trPr>
        <w:tc>
          <w:tcPr>
            <w:tcW w:w="1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Subject Securities</w:t>
            </w:r>
          </w:p>
        </w:tc>
        <w:tc>
          <w:tcPr>
            <w:tcW w:w="120" w:type="dxa"/>
            <w:vAlign w:val="bottom"/>
          </w:tcPr>
          <w:p>
            <w:pPr>
              <w:spacing w:after="0"/>
              <w:rPr>
                <w:sz w:val="14"/>
                <w:szCs w:val="14"/>
                <w:color w:val="auto"/>
              </w:rPr>
            </w:pPr>
          </w:p>
        </w:tc>
        <w:tc>
          <w:tcPr>
            <w:tcW w:w="27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80" w:type="dxa"/>
            <w:vAlign w:val="bottom"/>
          </w:tcPr>
          <w:p>
            <w:pPr>
              <w:spacing w:after="0"/>
              <w:rPr>
                <w:sz w:val="14"/>
                <w:szCs w:val="14"/>
                <w:color w:val="auto"/>
              </w:rPr>
            </w:pPr>
          </w:p>
        </w:tc>
        <w:tc>
          <w:tcPr>
            <w:tcW w:w="252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Subject to Restrictions</w:t>
            </w:r>
          </w:p>
        </w:tc>
        <w:tc>
          <w:tcPr>
            <w:tcW w:w="0" w:type="dxa"/>
            <w:vAlign w:val="bottom"/>
          </w:tcPr>
          <w:p>
            <w:pPr>
              <w:spacing w:after="0"/>
              <w:rPr>
                <w:sz w:val="1"/>
                <w:szCs w:val="1"/>
                <w:color w:val="auto"/>
              </w:rPr>
            </w:pPr>
          </w:p>
        </w:tc>
      </w:tr>
      <w:tr>
        <w:trPr>
          <w:trHeight w:val="167"/>
        </w:trPr>
        <w:tc>
          <w:tcPr>
            <w:tcW w:w="10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5"/>
                <w:szCs w:val="15"/>
                <w:color w:val="auto"/>
              </w:rPr>
              <w:t>reorganizations, recapitalizations and the</w:t>
            </w:r>
          </w:p>
        </w:tc>
        <w:tc>
          <w:tcPr>
            <w:tcW w:w="180" w:type="dxa"/>
            <w:vAlign w:val="bottom"/>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like) for any 20 trading days within any</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30-trading day period commencing at least</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90 days after our initial business</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combination, or (y) the date on which we</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consummate a liquidation, merger, stock</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exchange or other similar transaction after</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our initial business combination which</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results in all of our shareholders having the</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right to exchange their ordinary shares for</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cash, securities or other property.</w:t>
            </w:r>
          </w:p>
        </w:tc>
        <w:tc>
          <w:tcPr>
            <w:tcW w:w="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Any units, share</w:t>
            </w: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180 days from the date of this prospectus</w:t>
            </w:r>
          </w:p>
        </w:tc>
        <w:tc>
          <w:tcPr>
            <w:tcW w:w="180" w:type="dxa"/>
            <w:vAlign w:val="bottom"/>
          </w:tcPr>
          <w:p>
            <w:pPr>
              <w:spacing w:after="0"/>
              <w:rPr>
                <w:sz w:val="21"/>
                <w:szCs w:val="21"/>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GigAcquisitions8 Corp.</w:t>
            </w:r>
          </w:p>
        </w:tc>
        <w:tc>
          <w:tcPr>
            <w:tcW w:w="0" w:type="dxa"/>
            <w:vAlign w:val="bottom"/>
          </w:tcPr>
          <w:p>
            <w:pPr>
              <w:spacing w:after="0"/>
              <w:rPr>
                <w:sz w:val="1"/>
                <w:szCs w:val="1"/>
                <w:color w:val="auto"/>
              </w:rPr>
            </w:pPr>
          </w:p>
        </w:tc>
      </w:tr>
      <w:tr>
        <w:trPr>
          <w:trHeight w:val="178"/>
        </w:trPr>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rights, ordinary</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Dr. Avi S. Katz</w:t>
            </w:r>
          </w:p>
        </w:tc>
        <w:tc>
          <w:tcPr>
            <w:tcW w:w="0" w:type="dxa"/>
            <w:vAlign w:val="bottom"/>
          </w:tcPr>
          <w:p>
            <w:pPr>
              <w:spacing w:after="0"/>
              <w:rPr>
                <w:sz w:val="1"/>
                <w:szCs w:val="1"/>
                <w:color w:val="auto"/>
              </w:rPr>
            </w:pPr>
          </w:p>
        </w:tc>
      </w:tr>
      <w:tr>
        <w:trPr>
          <w:trHeight w:val="140"/>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shares or any other</w:t>
            </w: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2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Dr. Raluca Dinu</w:t>
            </w:r>
          </w:p>
        </w:tc>
        <w:tc>
          <w:tcPr>
            <w:tcW w:w="0" w:type="dxa"/>
            <w:vAlign w:val="bottom"/>
          </w:tcPr>
          <w:p>
            <w:pPr>
              <w:spacing w:after="0"/>
              <w:rPr>
                <w:sz w:val="1"/>
                <w:szCs w:val="1"/>
                <w:color w:val="auto"/>
              </w:rPr>
            </w:pPr>
          </w:p>
        </w:tc>
      </w:tr>
      <w:tr>
        <w:trPr>
          <w:trHeight w:val="81"/>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convertible into, or</w:t>
            </w:r>
          </w:p>
        </w:tc>
        <w:tc>
          <w:tcPr>
            <w:tcW w:w="1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2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exercisable or</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Christine M. Marshall</w:t>
            </w:r>
          </w:p>
        </w:tc>
        <w:tc>
          <w:tcPr>
            <w:tcW w:w="0" w:type="dxa"/>
            <w:vAlign w:val="bottom"/>
          </w:tcPr>
          <w:p>
            <w:pPr>
              <w:spacing w:after="0"/>
              <w:rPr>
                <w:sz w:val="1"/>
                <w:szCs w:val="1"/>
                <w:color w:val="auto"/>
              </w:rPr>
            </w:pPr>
          </w:p>
        </w:tc>
      </w:tr>
      <w:tr>
        <w:trPr>
          <w:trHeight w:val="178"/>
        </w:trPr>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exchangeable for,</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Admiral (Ret.) David Ben-Bashat</w:t>
            </w:r>
          </w:p>
        </w:tc>
        <w:tc>
          <w:tcPr>
            <w:tcW w:w="0" w:type="dxa"/>
            <w:vAlign w:val="bottom"/>
          </w:tcPr>
          <w:p>
            <w:pPr>
              <w:spacing w:after="0"/>
              <w:rPr>
                <w:sz w:val="1"/>
                <w:szCs w:val="1"/>
                <w:color w:val="auto"/>
              </w:rPr>
            </w:pPr>
          </w:p>
        </w:tc>
      </w:tr>
      <w:tr>
        <w:trPr>
          <w:trHeight w:val="140"/>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any units, ordinary</w:t>
            </w: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2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shares, founder</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Rear Admiral (Ret.) Omri Dagul</w:t>
            </w:r>
          </w:p>
        </w:tc>
        <w:tc>
          <w:tcPr>
            <w:tcW w:w="0" w:type="dxa"/>
            <w:vAlign w:val="bottom"/>
          </w:tcPr>
          <w:p>
            <w:pPr>
              <w:spacing w:after="0"/>
              <w:rPr>
                <w:sz w:val="1"/>
                <w:szCs w:val="1"/>
                <w:color w:val="auto"/>
              </w:rPr>
            </w:pPr>
          </w:p>
        </w:tc>
      </w:tr>
      <w:tr>
        <w:trPr>
          <w:trHeight w:val="81"/>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shares or rights</w:t>
            </w:r>
          </w:p>
        </w:tc>
        <w:tc>
          <w:tcPr>
            <w:tcW w:w="1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Raanan I. Horowitz</w:t>
            </w: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Ambassador Adrian Zuckerman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Luis Machuca</w:t>
            </w: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Bryan Timm</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James Greene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Lynrock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Exceptions to Transfer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We, our sponsor and our officers and directors have agreed that, for a period of 180 days from the date of this prospectus, we and they will not, without the prior written consent of the representative of the underwriters, offer, sell, contract to sell, pledge or otherwise dispose of, directly or indirectly, any units, share rights, shares or any other securities convertible into, or exercisable, or exchangeable for, shares, subject to certain exceptions.</w:t>
      </w:r>
    </w:p>
    <w:p>
      <w:pPr>
        <w:spacing w:after="0" w:line="2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The representative in its sole discretion may release any of the securities subject to these lock-up agreements at any time without notice, other than in the case of the officers and directors, which shall be with notice. Our sponsor, officers and directors are also subject to</w:t>
      </w:r>
    </w:p>
    <w:p>
      <w:pPr>
        <w:spacing w:after="0" w:line="200" w:lineRule="exact"/>
        <w:rPr>
          <w:sz w:val="20"/>
          <w:szCs w:val="20"/>
          <w:color w:val="auto"/>
        </w:rPr>
      </w:pPr>
    </w:p>
    <w:p>
      <w:pPr>
        <w:sectPr>
          <w:pgSz w:w="11900" w:h="16840" w:orient="portrait"/>
          <w:cols w:equalWidth="0" w:num="2">
            <w:col w:w="7400" w:space="120"/>
            <w:col w:w="2420"/>
          </w:cols>
          <w:pgMar w:left="660" w:top="874" w:right="1300" w:bottom="1440" w:gutter="0" w:footer="0" w:header="0"/>
          <w:type w:val="continuous"/>
        </w:sectPr>
      </w:pPr>
    </w:p>
    <w:p>
      <w:pPr>
        <w:spacing w:after="0" w:line="2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21</w:t>
      </w:r>
    </w:p>
    <w:p>
      <w:pPr>
        <w:sectPr>
          <w:pgSz w:w="11900" w:h="16840" w:orient="portrait"/>
          <w:cols w:equalWidth="0" w:num="1">
            <w:col w:w="9940"/>
          </w:cols>
          <w:pgMar w:left="660" w:top="874" w:right="1300" w:bottom="1440" w:gutter="0" w:footer="0" w:header="0"/>
          <w:type w:val="continuous"/>
        </w:sectPr>
      </w:pPr>
    </w:p>
    <w:bookmarkStart w:id="32" w:name="page33"/>
    <w:bookmarkEnd w:id="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730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37275" cy="47307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154"/>
        </w:trPr>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Natural Persons and Entities</w:t>
            </w:r>
          </w:p>
        </w:tc>
        <w:tc>
          <w:tcPr>
            <w:tcW w:w="120" w:type="dxa"/>
            <w:vAlign w:val="bottom"/>
          </w:tcPr>
          <w:p>
            <w:pPr>
              <w:spacing w:after="0"/>
              <w:rPr>
                <w:sz w:val="13"/>
                <w:szCs w:val="13"/>
                <w:color w:val="auto"/>
              </w:rPr>
            </w:pPr>
          </w:p>
        </w:tc>
        <w:tc>
          <w:tcPr>
            <w:tcW w:w="244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Exceptions to Transfer</w:t>
            </w:r>
          </w:p>
        </w:tc>
      </w:tr>
      <w:tr>
        <w:trPr>
          <w:trHeight w:val="171"/>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8"/>
              </w:rPr>
              <w:t>Subject Securities</w:t>
            </w:r>
          </w:p>
        </w:tc>
        <w:tc>
          <w:tcPr>
            <w:tcW w:w="400" w:type="dxa"/>
            <w:vAlign w:val="bottom"/>
          </w:tcPr>
          <w:p>
            <w:pPr>
              <w:spacing w:after="0"/>
              <w:rPr>
                <w:sz w:val="14"/>
                <w:szCs w:val="14"/>
                <w:color w:val="auto"/>
              </w:rPr>
            </w:pPr>
          </w:p>
        </w:tc>
        <w:tc>
          <w:tcPr>
            <w:tcW w:w="27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8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Subject to Restrictions</w:t>
            </w:r>
          </w:p>
        </w:tc>
        <w:tc>
          <w:tcPr>
            <w:tcW w:w="120" w:type="dxa"/>
            <w:vAlign w:val="bottom"/>
          </w:tcPr>
          <w:p>
            <w:pPr>
              <w:spacing w:after="0"/>
              <w:rPr>
                <w:sz w:val="14"/>
                <w:szCs w:val="14"/>
                <w:color w:val="auto"/>
              </w:rPr>
            </w:pPr>
          </w:p>
        </w:tc>
        <w:tc>
          <w:tcPr>
            <w:tcW w:w="24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Restrictions</w:t>
            </w:r>
          </w:p>
        </w:tc>
      </w:tr>
      <w:tr>
        <w:trPr>
          <w:trHeight w:val="167"/>
        </w:trPr>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separate transfer restrictions on their</w:t>
            </w:r>
          </w:p>
        </w:tc>
      </w:tr>
      <w:tr>
        <w:trPr>
          <w:trHeight w:val="178"/>
        </w:trPr>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5"/>
                <w:szCs w:val="15"/>
                <w:color w:val="auto"/>
              </w:rPr>
              <w:t>founder shares and private placement</w:t>
            </w:r>
          </w:p>
        </w:tc>
      </w:tr>
      <w:tr>
        <w:trPr>
          <w:trHeight w:val="178"/>
        </w:trPr>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5"/>
                <w:szCs w:val="15"/>
                <w:color w:val="auto"/>
              </w:rPr>
              <w:t>units pursuant to the letter agreement</w:t>
            </w:r>
          </w:p>
        </w:tc>
      </w:tr>
      <w:tr>
        <w:trPr>
          <w:trHeight w:val="178"/>
        </w:trPr>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5"/>
                <w:szCs w:val="15"/>
                <w:color w:val="auto"/>
              </w:rPr>
              <w:t>described in the immediately preceding</w:t>
            </w:r>
          </w:p>
        </w:tc>
      </w:tr>
      <w:tr>
        <w:trPr>
          <w:trHeight w:val="199"/>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5"/>
                <w:szCs w:val="15"/>
                <w:color w:val="auto"/>
              </w:rPr>
              <w:t>paragraphs.</w:t>
            </w:r>
          </w:p>
        </w:tc>
      </w:tr>
    </w:tbl>
    <w:p>
      <w:pPr>
        <w:spacing w:after="0" w:line="168" w:lineRule="exact"/>
        <w:rPr>
          <w:sz w:val="20"/>
          <w:szCs w:val="20"/>
          <w:color w:val="auto"/>
        </w:rPr>
      </w:pPr>
    </w:p>
    <w:p>
      <w:pPr>
        <w:ind w:left="600" w:firstLine="367"/>
        <w:spacing w:after="0" w:line="253" w:lineRule="auto"/>
        <w:rPr>
          <w:sz w:val="20"/>
          <w:szCs w:val="20"/>
          <w:color w:val="auto"/>
        </w:rPr>
      </w:pPr>
      <w:r>
        <w:rPr>
          <w:rFonts w:ascii="Times New Roman" w:cs="Times New Roman" w:eastAsia="Times New Roman" w:hAnsi="Times New Roman"/>
          <w:sz w:val="15"/>
          <w:szCs w:val="15"/>
          <w:color w:val="auto"/>
        </w:rPr>
        <w:t>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We may also issue Class A ordinary shares upon conversion of the Class B ordinary shares at a ratio greater than one-to-one at the time of our initial business combination as a result of the anti-dilution provisions as set forth therein.</w:t>
      </w:r>
    </w:p>
    <w:p>
      <w:pPr>
        <w:spacing w:after="0" w:line="160" w:lineRule="exact"/>
        <w:rPr>
          <w:sz w:val="20"/>
          <w:szCs w:val="20"/>
          <w:color w:val="auto"/>
        </w:rPr>
      </w:pPr>
    </w:p>
    <w:p>
      <w:pPr>
        <w:ind w:left="600" w:right="200" w:firstLine="367"/>
        <w:spacing w:after="0" w:line="259" w:lineRule="auto"/>
        <w:rPr>
          <w:sz w:val="20"/>
          <w:szCs w:val="20"/>
          <w:color w:val="auto"/>
        </w:rPr>
      </w:pPr>
      <w:r>
        <w:rPr>
          <w:rFonts w:ascii="Times New Roman" w:cs="Times New Roman" w:eastAsia="Times New Roman" w:hAnsi="Times New Roman"/>
          <w:sz w:val="15"/>
          <w:szCs w:val="15"/>
          <w:color w:val="auto"/>
        </w:rPr>
        <w:t>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w:t>
      </w:r>
    </w:p>
    <w:p>
      <w:pPr>
        <w:spacing w:after="0" w:line="156" w:lineRule="exact"/>
        <w:rPr>
          <w:sz w:val="20"/>
          <w:szCs w:val="20"/>
          <w:color w:val="auto"/>
        </w:rPr>
      </w:pPr>
    </w:p>
    <w:p>
      <w:pPr>
        <w:ind w:left="600" w:right="60" w:firstLine="367"/>
        <w:spacing w:after="0" w:line="252" w:lineRule="auto"/>
        <w:rPr>
          <w:sz w:val="20"/>
          <w:szCs w:val="20"/>
          <w:color w:val="auto"/>
        </w:rPr>
      </w:pPr>
      <w:r>
        <w:rPr>
          <w:rFonts w:ascii="Times New Roman" w:cs="Times New Roman" w:eastAsia="Times New Roman" w:hAnsi="Times New Roman"/>
          <w:sz w:val="15"/>
          <w:szCs w:val="15"/>
          <w:color w:val="auto"/>
        </w:rPr>
        <w:t>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w:t>
      </w:r>
    </w:p>
    <w:p>
      <w:pPr>
        <w:spacing w:after="0" w:line="2" w:lineRule="exact"/>
        <w:rPr>
          <w:sz w:val="20"/>
          <w:szCs w:val="20"/>
          <w:color w:val="auto"/>
        </w:rPr>
      </w:pPr>
    </w:p>
    <w:p>
      <w:pPr>
        <w:ind w:left="600" w:right="80"/>
        <w:spacing w:after="0" w:line="262" w:lineRule="auto"/>
        <w:rPr>
          <w:sz w:val="20"/>
          <w:szCs w:val="20"/>
          <w:color w:val="auto"/>
        </w:rPr>
      </w:pP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Summary — The Offering — Transfer restrictions applicable to founder shares, private investor shares, private placement shares and private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placement rights (and shares into which the rights convert).</w:t>
      </w:r>
      <w:r>
        <w:rPr>
          <w:rFonts w:ascii="Times New Roman" w:cs="Times New Roman" w:eastAsia="Times New Roman" w:hAnsi="Times New Roman"/>
          <w:sz w:val="15"/>
          <w:szCs w:val="15"/>
          <w:b w:val="1"/>
          <w:bCs w:val="1"/>
          <w:color w:val="auto"/>
        </w:rPr>
        <w:t>”</w:t>
      </w:r>
    </w:p>
    <w:p>
      <w:pPr>
        <w:spacing w:after="0" w:line="2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Initial Business Combination</w:t>
      </w:r>
    </w:p>
    <w:p>
      <w:pPr>
        <w:spacing w:after="0" w:line="104" w:lineRule="exact"/>
        <w:rPr>
          <w:sz w:val="20"/>
          <w:szCs w:val="20"/>
          <w:color w:val="auto"/>
        </w:rPr>
      </w:pPr>
    </w:p>
    <w:p>
      <w:pPr>
        <w:ind w:left="600" w:right="20" w:firstLine="367"/>
        <w:spacing w:after="0" w:line="251" w:lineRule="auto"/>
        <w:rPr>
          <w:sz w:val="20"/>
          <w:szCs w:val="20"/>
          <w:color w:val="auto"/>
        </w:rPr>
      </w:pPr>
      <w:r>
        <w:rPr>
          <w:rFonts w:ascii="Times New Roman" w:cs="Times New Roman" w:eastAsia="Times New Roman" w:hAnsi="Times New Roman"/>
          <w:sz w:val="15"/>
          <w:szCs w:val="15"/>
          <w:color w:val="auto"/>
        </w:rPr>
        <w:t>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including interest (which interest shall be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if any), in each case subject to the limitations described herein. The decision as to whether we will seek shareholder approval of our proposed business combination or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Unlike other blank check companies which require shareholder votes and conduct proxy solicitations in conjunction with their initial business combinations and related conversions of public shares for cash upon consummation of such initial business combinations even</w:t>
      </w:r>
    </w:p>
    <w:p>
      <w:pPr>
        <w:spacing w:after="0" w:line="2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22</w:t>
      </w:r>
    </w:p>
    <w:p>
      <w:pPr>
        <w:sectPr>
          <w:pgSz w:w="11900" w:h="16840" w:orient="portrait"/>
          <w:cols w:equalWidth="0" w:num="1">
            <w:col w:w="9980"/>
          </w:cols>
          <w:pgMar w:left="660" w:top="874" w:right="1260" w:bottom="1440" w:gutter="0" w:footer="0" w:header="0"/>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384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37275" cy="43846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0" w:right="140"/>
        <w:spacing w:after="0" w:line="265" w:lineRule="auto"/>
        <w:rPr>
          <w:sz w:val="20"/>
          <w:szCs w:val="20"/>
          <w:color w:val="auto"/>
        </w:rPr>
      </w:pPr>
      <w:r>
        <w:rPr>
          <w:rFonts w:ascii="Times New Roman" w:cs="Times New Roman" w:eastAsia="Times New Roman" w:hAnsi="Times New Roman"/>
          <w:sz w:val="15"/>
          <w:szCs w:val="15"/>
          <w:color w:val="auto"/>
        </w:rPr>
        <w:t>when a vote is not required by law, we will have the flexibility to avoid such shareholder vote and allow our shareholders to sell their shares pursuant to the tender offer rules of the SEC. In that case, we will file tender offer documents with the SEC, which will contain substantially the same financial and other information about the initial business combination as is required under the SEC’s proxy rules.</w:t>
      </w:r>
    </w:p>
    <w:p>
      <w:pPr>
        <w:spacing w:after="0" w:line="151" w:lineRule="exact"/>
        <w:rPr>
          <w:sz w:val="20"/>
          <w:szCs w:val="20"/>
          <w:color w:val="auto"/>
        </w:rPr>
      </w:pPr>
    </w:p>
    <w:p>
      <w:pPr>
        <w:ind w:left="600" w:firstLine="367"/>
        <w:spacing w:after="0" w:line="249" w:lineRule="auto"/>
        <w:rPr>
          <w:sz w:val="20"/>
          <w:szCs w:val="20"/>
          <w:color w:val="auto"/>
        </w:rPr>
      </w:pPr>
      <w:r>
        <w:rPr>
          <w:rFonts w:ascii="Times New Roman" w:cs="Times New Roman" w:eastAsia="Times New Roman" w:hAnsi="Times New Roman"/>
          <w:sz w:val="15"/>
          <w:szCs w:val="15"/>
          <w:color w:val="auto"/>
        </w:rPr>
        <w:t>We will have until 24 months from the closing of this offering to consummate an initial business combination. If we anticipate that we may be unable to consummate our initial business combination within such 24 -month period, we may seek shareholder approval to amend our amended and restated memorandum and articles of association to extend the date by which we must consummate our initial business combination. While we do not currently intend to seek such shareholder approval, we may elect to do so in the future. There is no limit on the number of extensions that we may seek; however, we do not expect to extend the completion window beyond 36 months from the closing of this offering.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our insiders’ investment in our founder shares and our private placement units, including the component securities thereof, will be worthless. If we are unable to consummate an initial business combination within the completion window, we will, as promptly as reasonably possible but not more than 10 business days thereafter, redeem 100% of the outstanding public shares, at a per-share price, payable in cash, equal to the aggregate amount then on deposit in the trust account, including any interest earned on the funds held in the trust account and net of interest that may be used by us to pay permitted withdrawals, and less up to $100,000 of interest to pay dissolution expenses, divided by the number of then outstanding public shares, which redemption will completely extinguish the public shareholders’ rights as shareholders (including the right to receive further liquidation distributions, if any), subject to applicable law and as further described herein, and then seek to dissolve and liquidate. We expect the pro rata redemption price to be approximately $10.00 per public share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shareholders.</w:t>
      </w:r>
    </w:p>
    <w:p>
      <w:pPr>
        <w:spacing w:after="0" w:line="166" w:lineRule="exact"/>
        <w:rPr>
          <w:sz w:val="20"/>
          <w:szCs w:val="20"/>
          <w:color w:val="auto"/>
        </w:rPr>
      </w:pPr>
    </w:p>
    <w:p>
      <w:pPr>
        <w:ind w:left="600" w:right="20" w:firstLine="367"/>
        <w:spacing w:after="0" w:line="250" w:lineRule="auto"/>
        <w:rPr>
          <w:sz w:val="20"/>
          <w:szCs w:val="20"/>
          <w:color w:val="auto"/>
        </w:rPr>
      </w:pPr>
      <w:r>
        <w:rPr>
          <w:rFonts w:ascii="Times New Roman" w:cs="Times New Roman" w:eastAsia="Times New Roman" w:hAnsi="Times New Roman"/>
          <w:sz w:val="15"/>
          <w:szCs w:val="15"/>
          <w:color w:val="auto"/>
        </w:rPr>
        <w:t>Our initial business combination must occur with one or more target businesses that together have a fair market value of at least 80% of the assets held in the trust account (excluding permitted withdrawals) at the time of the agreement to enter into the initial business combination. Such initial business combination must be approved by a majority of the company’s independent directors. The fair market value of the acquisition target(s) will be determined by our board of directors based upon one or more standards generally accepted by the financial community (such as actual and potential sales, earnings, cash flow, valuation of the specific market segment of the target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our board of directors in evaluating the fair market value of the acquisition target(s). The proxy solicitation materials or tender offer documents used by us in connection with any proposed transaction will provide public shareholders with our analysis of the fair market value of the acquisition target, as well as the basis for our determinations. If our board of directors is not able independently to determine the fair market value of the target business(es), we may, in our sole discretion, obtain an opinion from an independent investment banking firm, or another independent entity that commonly renders valuation opinions on the type of target business we are seeking to acquire, with respect to the satisfaction of such criteria. However, unless we consummate our initial business combination with an affiliated entity, our board of directors is not required to obtain an opinion from an independent investment banking firm or another independent entity that the price we are paying is fair to our shareholders from a financial point of view.</w:t>
      </w: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23</w:t>
      </w:r>
    </w:p>
    <w:p>
      <w:pPr>
        <w:sectPr>
          <w:pgSz w:w="11900" w:h="16840" w:orient="portrait"/>
          <w:cols w:equalWidth="0" w:num="1">
            <w:col w:w="9980"/>
          </w:cols>
          <w:pgMar w:left="660" w:top="874" w:right="1260" w:bottom="1440" w:gutter="0" w:footer="0" w:header="0"/>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618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37275" cy="4618355"/>
                    </a:xfrm>
                    <a:prstGeom prst="rect">
                      <a:avLst/>
                    </a:prstGeom>
                    <a:noFill/>
                  </pic:spPr>
                </pic:pic>
              </a:graphicData>
            </a:graphic>
          </wp:anchor>
        </w:drawing>
      </w:r>
    </w:p>
    <w:p>
      <w:pPr>
        <w:spacing w:after="0" w:line="400" w:lineRule="exact"/>
        <w:rPr>
          <w:sz w:val="20"/>
          <w:szCs w:val="20"/>
          <w:color w:val="auto"/>
        </w:rPr>
      </w:pPr>
    </w:p>
    <w:p>
      <w:pPr>
        <w:ind w:left="600" w:right="120" w:firstLine="367"/>
        <w:spacing w:after="0" w:line="254" w:lineRule="auto"/>
        <w:rPr>
          <w:sz w:val="20"/>
          <w:szCs w:val="20"/>
          <w:color w:val="auto"/>
        </w:rPr>
      </w:pPr>
      <w:r>
        <w:rPr>
          <w:rFonts w:ascii="Times New Roman" w:cs="Times New Roman" w:eastAsia="Times New Roman" w:hAnsi="Times New Roman"/>
          <w:sz w:val="15"/>
          <w:szCs w:val="15"/>
          <w:color w:val="auto"/>
        </w:rPr>
        <w:t>As described below adjacent to the caption “</w:t>
      </w:r>
      <w:r>
        <w:rPr>
          <w:rFonts w:ascii="Times New Roman" w:cs="Times New Roman" w:eastAsia="Times New Roman" w:hAnsi="Times New Roman"/>
          <w:sz w:val="15"/>
          <w:szCs w:val="15"/>
          <w:i w:val="1"/>
          <w:iCs w:val="1"/>
          <w:color w:val="auto"/>
        </w:rPr>
        <w:t>Summary</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i w:val="1"/>
          <w:iCs w:val="1"/>
          <w:color w:val="auto"/>
        </w:rPr>
        <w:t>The Offering — Offering proceeds to be held in the trust account</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the Nasdaq rules provide that at least 90% of the gross proceeds from this offering and the sale of the public units be deposited in a trust account. Of the $220,000,000 gross proceeds we will receive from this offering and the sale of the private investor shares and private placement units (or $253,000,000 if the over-allotment option is exercised in full), an aggregate of $220,000,000 (or $10.00 per unit), or $253,000,000 (or $10.00 per unit) if the over-allotment option is exercised in full, will be placed in a segregated trust account located in the United States maintained by Continental Stock Transfer &amp; Trust Company acting as trustee pursuant to an agreement to be signed on the date of this prospectus. The funds in the trust account will be invested only in specified U.S. government treasury bills or in specified money market funds.</w:t>
      </w:r>
    </w:p>
    <w:p>
      <w:pPr>
        <w:spacing w:after="0" w:line="159" w:lineRule="exact"/>
        <w:rPr>
          <w:sz w:val="20"/>
          <w:szCs w:val="20"/>
          <w:color w:val="auto"/>
        </w:rPr>
      </w:pPr>
    </w:p>
    <w:p>
      <w:pPr>
        <w:ind w:left="600" w:right="20" w:firstLine="367"/>
        <w:spacing w:after="0" w:line="250" w:lineRule="auto"/>
        <w:rPr>
          <w:sz w:val="20"/>
          <w:szCs w:val="20"/>
          <w:color w:val="auto"/>
        </w:rPr>
      </w:pPr>
      <w:r>
        <w:rPr>
          <w:rFonts w:ascii="Times New Roman" w:cs="Times New Roman" w:eastAsia="Times New Roman" w:hAnsi="Times New Roman"/>
          <w:sz w:val="15"/>
          <w:szCs w:val="15"/>
          <w:color w:val="auto"/>
        </w:rPr>
        <w:t>We currently anticipate structuring a business combination to acquire 100% of the equity interests or assets of the acquisition target(s) . We may, however, structure our initial business combination where we merge directly with the acquisition target or where we acquire less than 100% of such interests or assets of the acquisition target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acquisition target sufficient for it not to be required to register as an investment company under the Investment Company Act. Even if the post-transaction company owns or acquires 50% or more of the voting securities of the acquisition target, our shareholders prior to the business combination may collectively own a minority interest in the post-transaction company, depending on valuations ascribed to the acquisition target and us in the business combination transaction. For example, we could pursue a transaction in which we issue a substantial number of new shares in exchange for all of the outstanding capital stock of a target. In this case, we could acquire a 100% controlling interest in the acquisition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an acquisition target(s) are owned or acquired by the post-transaction company, the portion of such business or businesses that is owned or acquired is what will be valued for purposes of the 80% fair market value test, as described above.</w:t>
      </w:r>
    </w:p>
    <w:p>
      <w:pPr>
        <w:spacing w:after="0" w:line="159" w:lineRule="exact"/>
        <w:rPr>
          <w:sz w:val="20"/>
          <w:szCs w:val="20"/>
          <w:color w:val="auto"/>
        </w:rPr>
      </w:pPr>
    </w:p>
    <w:p>
      <w:pPr>
        <w:ind w:left="600" w:right="280" w:firstLine="367"/>
        <w:spacing w:after="0" w:line="257" w:lineRule="auto"/>
        <w:rPr>
          <w:sz w:val="20"/>
          <w:szCs w:val="20"/>
          <w:color w:val="auto"/>
        </w:rPr>
      </w:pPr>
      <w:r>
        <w:rPr>
          <w:rFonts w:ascii="Times New Roman" w:cs="Times New Roman" w:eastAsia="Times New Roman" w:hAnsi="Times New Roman"/>
          <w:sz w:val="15"/>
          <w:szCs w:val="15"/>
          <w:color w:val="auto"/>
        </w:rPr>
        <w:t>As more fully discussed in “</w:t>
      </w:r>
      <w:r>
        <w:rPr>
          <w:rFonts w:ascii="Times New Roman" w:cs="Times New Roman" w:eastAsia="Times New Roman" w:hAnsi="Times New Roman"/>
          <w:sz w:val="15"/>
          <w:szCs w:val="15"/>
          <w:i w:val="1"/>
          <w:iCs w:val="1"/>
          <w:color w:val="auto"/>
        </w:rPr>
        <w:t>Management—Conflicts of Interest</w:t>
      </w:r>
      <w:r>
        <w:rPr>
          <w:rFonts w:ascii="Times New Roman" w:cs="Times New Roman" w:eastAsia="Times New Roman" w:hAnsi="Times New Roman"/>
          <w:sz w:val="15"/>
          <w:szCs w:val="15"/>
          <w:color w:val="auto"/>
        </w:rPr>
        <w:t>” if any of our officers or directors becomes aware of a business combination opportunity that falls within the line of business of any entity to which he or she has fiduciary or contractual obligations, including, among other things, UpHealth, Inc., QT Imaging Holdings, Inc. and GIG7, he or she may be required to present such business combination opportunity to such entities prior to presenting such business combination opportunity to us. Certain of our directors currently have, and any of our officers or directors may in the future have, certain relevant fiduciary duties or contractual obligations.</w:t>
      </w:r>
    </w:p>
    <w:p>
      <w:pPr>
        <w:spacing w:after="0" w:line="158" w:lineRule="exact"/>
        <w:rPr>
          <w:sz w:val="20"/>
          <w:szCs w:val="20"/>
          <w:color w:val="auto"/>
        </w:rPr>
      </w:pPr>
    </w:p>
    <w:p>
      <w:pPr>
        <w:ind w:left="600" w:right="100" w:firstLine="367"/>
        <w:spacing w:after="0" w:line="252" w:lineRule="auto"/>
        <w:rPr>
          <w:sz w:val="20"/>
          <w:szCs w:val="20"/>
          <w:color w:val="auto"/>
        </w:rPr>
      </w:pPr>
      <w:r>
        <w:rPr>
          <w:rFonts w:ascii="Times New Roman" w:cs="Times New Roman" w:eastAsia="Times New Roman" w:hAnsi="Times New Roman"/>
          <w:sz w:val="15"/>
          <w:szCs w:val="15"/>
          <w:color w:val="auto"/>
        </w:rPr>
        <w:t>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Further, there is a significant overlap among the directors and officers of UpHealth, Inc., QT Imaging Holdings, Inc., GIG7 and our company.</w:t>
      </w:r>
    </w:p>
    <w:p>
      <w:pPr>
        <w:spacing w:after="0" w:line="2" w:lineRule="exact"/>
        <w:rPr>
          <w:sz w:val="20"/>
          <w:szCs w:val="20"/>
          <w:color w:val="auto"/>
        </w:rPr>
      </w:pPr>
    </w:p>
    <w:p>
      <w:pPr>
        <w:ind w:left="600"/>
        <w:spacing w:after="0" w:line="249" w:lineRule="auto"/>
        <w:rPr>
          <w:sz w:val="20"/>
          <w:szCs w:val="20"/>
          <w:color w:val="auto"/>
        </w:rPr>
      </w:pPr>
      <w:r>
        <w:rPr>
          <w:rFonts w:ascii="Times New Roman" w:cs="Times New Roman" w:eastAsia="Times New Roman" w:hAnsi="Times New Roman"/>
          <w:sz w:val="15"/>
          <w:szCs w:val="15"/>
          <w:color w:val="auto"/>
        </w:rPr>
        <w:t>Dr. Katz, our Chief Executive Officer and Chairman, serves as the Chairman of UpHealth, Inc. and QT Imaging Holdings, Inc. and the Chief Executive Officer and Chairman of GIG7. Dr. Dinu, our director, is also the Chief Executive Officer and a member of the board of directors of QT Imaging Holdings, Inc., as well as a member of the board of directors of each of UpHealth, Inc. and GIG7. Our directors, Raanan Horowitz and Ambassador Adrian Zuckerman, are also board members of GIG7. Our directors, James Greene and Luis Machuca, serve on the board of directors of UpHealth, Inc., and Mr. Greene is also a board member of QT Imaging Holdings, Inc. Christine Marshall, our Chief Financial Officer, serves in the same position at GIG7. Any of such companies may present additional conflicts of interest in pursuing an acquisition target. However, we do not believe that any potential conflicts would materially affect our ability to complete our initial business</w:t>
      </w:r>
    </w:p>
    <w:p>
      <w:pPr>
        <w:spacing w:after="0" w:line="2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24</w:t>
      </w:r>
    </w:p>
    <w:p>
      <w:pPr>
        <w:sectPr>
          <w:pgSz w:w="11900" w:h="16840" w:orient="portrait"/>
          <w:cols w:equalWidth="0" w:num="1">
            <w:col w:w="9960"/>
          </w:cols>
          <w:pgMar w:left="660" w:top="874" w:right="1280"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6558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37275" cy="46558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0" w:right="40"/>
        <w:spacing w:after="0" w:line="284" w:lineRule="auto"/>
        <w:rPr>
          <w:sz w:val="20"/>
          <w:szCs w:val="20"/>
          <w:color w:val="auto"/>
        </w:rPr>
      </w:pPr>
      <w:r>
        <w:rPr>
          <w:rFonts w:ascii="Times New Roman" w:cs="Times New Roman" w:eastAsia="Times New Roman" w:hAnsi="Times New Roman"/>
          <w:sz w:val="15"/>
          <w:szCs w:val="15"/>
          <w:color w:val="auto"/>
        </w:rPr>
        <w:t>combination, particularly as we are planning to focus the target search of our company in different industries, such as A&amp;D services, cybersecurity and secured communications and quantum-based command and control systems, and AI and ML verticals.</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Emerging Growth Company Status and Other Information</w:t>
      </w:r>
    </w:p>
    <w:p>
      <w:pPr>
        <w:spacing w:after="0" w:line="104" w:lineRule="exact"/>
        <w:rPr>
          <w:sz w:val="20"/>
          <w:szCs w:val="20"/>
          <w:color w:val="auto"/>
        </w:rPr>
      </w:pPr>
    </w:p>
    <w:p>
      <w:pPr>
        <w:ind w:left="600" w:firstLine="367"/>
        <w:spacing w:after="0" w:line="252" w:lineRule="auto"/>
        <w:rPr>
          <w:sz w:val="20"/>
          <w:szCs w:val="20"/>
          <w:color w:val="auto"/>
        </w:rPr>
      </w:pPr>
      <w:r>
        <w:rPr>
          <w:rFonts w:ascii="Times New Roman" w:cs="Times New Roman" w:eastAsia="Times New Roman" w:hAnsi="Times New Roman"/>
          <w:sz w:val="15"/>
          <w:szCs w:val="15"/>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2" w:lineRule="exact"/>
        <w:rPr>
          <w:sz w:val="20"/>
          <w:szCs w:val="20"/>
          <w:color w:val="auto"/>
        </w:rPr>
      </w:pPr>
    </w:p>
    <w:p>
      <w:pPr>
        <w:ind w:left="600" w:right="180" w:firstLine="367"/>
        <w:spacing w:after="0" w:line="259" w:lineRule="auto"/>
        <w:rPr>
          <w:sz w:val="20"/>
          <w:szCs w:val="20"/>
          <w:color w:val="auto"/>
        </w:rPr>
      </w:pPr>
      <w:r>
        <w:rPr>
          <w:rFonts w:ascii="Times New Roman" w:cs="Times New Roman" w:eastAsia="Times New Roman" w:hAnsi="Times New Roman"/>
          <w:sz w:val="15"/>
          <w:szCs w:val="15"/>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56" w:lineRule="exact"/>
        <w:rPr>
          <w:sz w:val="20"/>
          <w:szCs w:val="20"/>
          <w:color w:val="auto"/>
        </w:rPr>
      </w:pPr>
    </w:p>
    <w:p>
      <w:pPr>
        <w:ind w:left="600" w:right="200" w:firstLine="367"/>
        <w:spacing w:after="0" w:line="254" w:lineRule="auto"/>
        <w:rPr>
          <w:sz w:val="20"/>
          <w:szCs w:val="20"/>
          <w:color w:val="auto"/>
        </w:rPr>
      </w:pPr>
      <w:r>
        <w:rPr>
          <w:rFonts w:ascii="Times New Roman" w:cs="Times New Roman" w:eastAsia="Times New Roman" w:hAnsi="Times New Roman"/>
          <w:sz w:val="15"/>
          <w:szCs w:val="15"/>
          <w:color w:val="auto"/>
        </w:rPr>
        <w:t>We will remain an emerging growth company until the earlier of (1) the last day of the fiscal year (a) following the fifth anniversary of the completion of this offering, (b) in which we have total annual gross revenue of at least $1.235 billion, or (c) in which we are deemed to be a large accelerated filer, which means the market value of our ordinary shares that is held by non-affiliates exceeds $700 million as of the prior June 30, and</w:t>
      </w:r>
    </w:p>
    <w:p>
      <w:pPr>
        <w:spacing w:after="0" w:line="1" w:lineRule="exact"/>
        <w:rPr>
          <w:sz w:val="20"/>
          <w:szCs w:val="20"/>
          <w:color w:val="auto"/>
        </w:rPr>
      </w:pPr>
    </w:p>
    <w:p>
      <w:pPr>
        <w:ind w:left="600" w:right="140" w:firstLine="9"/>
        <w:spacing w:after="0" w:line="262" w:lineRule="auto"/>
        <w:tabs>
          <w:tab w:leader="none" w:pos="81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we have issued more than $1.0 billion in non-convertible debt securities during the prior three-year period. References herein to “emerging growth company” will have the meaning associated with it in the JOBS Act.</w:t>
      </w:r>
    </w:p>
    <w:p>
      <w:pPr>
        <w:spacing w:after="0" w:line="152" w:lineRule="exact"/>
        <w:rPr>
          <w:sz w:val="20"/>
          <w:szCs w:val="20"/>
          <w:color w:val="auto"/>
        </w:rPr>
      </w:pPr>
    </w:p>
    <w:p>
      <w:pPr>
        <w:ind w:left="600" w:right="160" w:firstLine="367"/>
        <w:spacing w:after="0" w:line="256" w:lineRule="auto"/>
        <w:rPr>
          <w:sz w:val="20"/>
          <w:szCs w:val="20"/>
          <w:color w:val="auto"/>
        </w:rPr>
      </w:pPr>
      <w:r>
        <w:rPr>
          <w:rFonts w:ascii="Times New Roman" w:cs="Times New Roman" w:eastAsia="Times New Roman" w:hAnsi="Times New Roman"/>
          <w:sz w:val="15"/>
          <w:szCs w:val="15"/>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$220 million as of the prior June 30th, and (2) our annual revenues exceeded $ 100 million during such completed fiscal year and the market value of our ordinary shares held by non-affiliates exceeds $700 million as of the prior June 30.</w:t>
      </w:r>
    </w:p>
    <w:p>
      <w:pPr>
        <w:spacing w:after="0" w:line="158" w:lineRule="exact"/>
        <w:rPr>
          <w:sz w:val="20"/>
          <w:szCs w:val="20"/>
          <w:color w:val="auto"/>
        </w:rPr>
      </w:pPr>
    </w:p>
    <w:p>
      <w:pPr>
        <w:ind w:left="600" w:right="260" w:firstLine="367"/>
        <w:spacing w:after="0" w:line="259" w:lineRule="auto"/>
        <w:rPr>
          <w:sz w:val="20"/>
          <w:szCs w:val="20"/>
          <w:color w:val="auto"/>
        </w:rPr>
      </w:pPr>
      <w:r>
        <w:rPr>
          <w:rFonts w:ascii="Times New Roman" w:cs="Times New Roman" w:eastAsia="Times New Roman" w:hAnsi="Times New Roman"/>
          <w:sz w:val="15"/>
          <w:szCs w:val="15"/>
          <w:color w:val="auto"/>
        </w:rPr>
        <w:t>Prior to the date of this prospectus, we will file a Registration Statement on Form 8- 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Our executive offices are located at 1731 Embarcadero Rd., Suite 200, Palo Alto, CA 94303, and our telephone number is (650)276-7040.</w:t>
      </w:r>
    </w:p>
    <w:p>
      <w:pPr>
        <w:spacing w:after="0" w:line="3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25</w:t>
      </w:r>
    </w:p>
    <w:p>
      <w:pPr>
        <w:sectPr>
          <w:pgSz w:w="11900" w:h="16840" w:orient="portrait"/>
          <w:cols w:equalWidth="0" w:num="1">
            <w:col w:w="9960"/>
          </w:cols>
          <w:pgMar w:left="660" w:top="874" w:right="1280"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5205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37275" cy="4520565"/>
                    </a:xfrm>
                    <a:prstGeom prst="rect">
                      <a:avLst/>
                    </a:prstGeom>
                    <a:noFill/>
                  </pic:spPr>
                </pic:pic>
              </a:graphicData>
            </a:graphic>
          </wp:anchor>
        </w:drawing>
      </w:r>
    </w:p>
    <w:p>
      <w:pPr>
        <w:spacing w:after="0" w:line="40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THE OFFERING</w:t>
      </w:r>
    </w:p>
    <w:p>
      <w:pPr>
        <w:spacing w:after="0" w:line="195" w:lineRule="exact"/>
        <w:rPr>
          <w:sz w:val="20"/>
          <w:szCs w:val="20"/>
          <w:color w:val="auto"/>
        </w:rPr>
      </w:pPr>
    </w:p>
    <w:p>
      <w:pPr>
        <w:ind w:left="600" w:right="460"/>
        <w:spacing w:after="0" w:line="261" w:lineRule="auto"/>
        <w:rPr>
          <w:sz w:val="20"/>
          <w:szCs w:val="20"/>
          <w:color w:val="auto"/>
        </w:rPr>
      </w:pPr>
      <w:r>
        <w:rPr>
          <w:rFonts w:ascii="Times New Roman" w:cs="Times New Roman" w:eastAsia="Times New Roman" w:hAnsi="Times New Roman"/>
          <w:sz w:val="15"/>
          <w:szCs w:val="15"/>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Securities offered</w:t>
            </w: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22,000,000 public units (or 25,300,000 public units if the underwriters’ over-allotment option</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is exercised in full), at $10.00 per unit, each public unit consisting of one Class A ordinary</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share and one right to receive one-tenth (1/10) of one Class A ordinary share upon</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consummation of our initial business combination, subject to the conditions described in this</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prospectus. Every ten rights entitle the holder to receive one ordinary share upon</w:t>
            </w:r>
          </w:p>
        </w:tc>
      </w:tr>
      <w:tr>
        <w:trPr>
          <w:trHeight w:val="199"/>
        </w:trPr>
        <w:tc>
          <w:tcPr>
            <w:tcW w:w="3360" w:type="dxa"/>
            <w:vAlign w:val="bottom"/>
          </w:tcPr>
          <w:p>
            <w:pPr>
              <w:spacing w:after="0"/>
              <w:rPr>
                <w:sz w:val="17"/>
                <w:szCs w:val="17"/>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consummation of our initial business combination.</w:t>
            </w:r>
          </w:p>
        </w:tc>
      </w:tr>
      <w:tr>
        <w:trPr>
          <w:trHeight w:val="275"/>
        </w:trPr>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Listing of our securities and proposed symbols</w:t>
            </w: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We anticipate that the public units, as well as the public shares and public rights underlying</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the public units (once they begin separate trading), will be listed on Nasdaq under the</w:t>
            </w:r>
          </w:p>
        </w:tc>
      </w:tr>
      <w:tr>
        <w:trPr>
          <w:trHeight w:val="199"/>
        </w:trPr>
        <w:tc>
          <w:tcPr>
            <w:tcW w:w="3360" w:type="dxa"/>
            <w:vAlign w:val="bottom"/>
          </w:tcPr>
          <w:p>
            <w:pPr>
              <w:spacing w:after="0"/>
              <w:rPr>
                <w:sz w:val="17"/>
                <w:szCs w:val="17"/>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symbols “GIWWU,” “GIW,” and “GIWWR,” respectively.</w:t>
            </w:r>
          </w:p>
        </w:tc>
      </w:tr>
      <w:tr>
        <w:trPr>
          <w:trHeight w:val="275"/>
        </w:trPr>
        <w:tc>
          <w:tcPr>
            <w:tcW w:w="3360" w:type="dxa"/>
            <w:vAlign w:val="bottom"/>
          </w:tcPr>
          <w:p>
            <w:pPr>
              <w:spacing w:after="0"/>
              <w:rPr>
                <w:sz w:val="23"/>
                <w:szCs w:val="23"/>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Each of the public units, public shares and public rights may trade separately on the 52nd day</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after the date of this prospectus unless the underwriters determine that an earlier date is</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acceptable. In no event will the underwriters allow separate trading of our public shares and</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public rights until we file a Current Report on Form 8-K with the SEC with an audited</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balance sheet reflecting our receipt of the gross proceeds at the closing of this offering. Once</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our public shares and public rights commence separate trading, the holders thereof will have</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the option to continue to hold units or separate their units into the component securities.</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Holders will need to have their brokers contact our transfer agent in order to separate the</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public units into public shares and public rights. No fractional rights will be issued upon</w:t>
            </w:r>
          </w:p>
        </w:tc>
      </w:tr>
      <w:tr>
        <w:trPr>
          <w:trHeight w:val="199"/>
        </w:trPr>
        <w:tc>
          <w:tcPr>
            <w:tcW w:w="3360" w:type="dxa"/>
            <w:vAlign w:val="bottom"/>
          </w:tcPr>
          <w:p>
            <w:pPr>
              <w:spacing w:after="0"/>
              <w:rPr>
                <w:sz w:val="17"/>
                <w:szCs w:val="17"/>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separation of the public units and only whole rights will trade.</w:t>
            </w:r>
          </w:p>
        </w:tc>
      </w:tr>
      <w:tr>
        <w:trPr>
          <w:trHeight w:val="275"/>
        </w:trPr>
        <w:tc>
          <w:tcPr>
            <w:tcW w:w="3360" w:type="dxa"/>
            <w:vAlign w:val="bottom"/>
          </w:tcPr>
          <w:p>
            <w:pPr>
              <w:spacing w:after="0"/>
              <w:rPr>
                <w:sz w:val="23"/>
                <w:szCs w:val="23"/>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We will file a Current Report on Form 8-K with the SEC, including an audited balance sheet</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reflecting our receipt of the gross proceeds at the closing of this offering, promptly upon the</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closing of this offering, which is anticipated to take place two business days from the date the</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public units commence trading. If the underwriters’ over-allotment option is exercised</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following the initial filing of such Current Report on Form 8-K, a second or amended Current</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Report on Form 8-K will be filed to provide updated financial information to reflect the</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exercise of the over- allotment option. We will also include in the initial Current Report on</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Form 8-K, or any amendment thereto or subsequent filing, as applicable, information</w:t>
            </w:r>
          </w:p>
        </w:tc>
      </w:tr>
      <w:tr>
        <w:trPr>
          <w:trHeight w:val="178"/>
        </w:trPr>
        <w:tc>
          <w:tcPr>
            <w:tcW w:w="3360" w:type="dxa"/>
            <w:vAlign w:val="bottom"/>
          </w:tcPr>
          <w:p>
            <w:pPr>
              <w:spacing w:after="0"/>
              <w:rPr>
                <w:sz w:val="15"/>
                <w:szCs w:val="15"/>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indicating if the underwriters have allowed separate trading of the public shares and public</w:t>
            </w:r>
          </w:p>
        </w:tc>
      </w:tr>
      <w:tr>
        <w:trPr>
          <w:trHeight w:val="199"/>
        </w:trPr>
        <w:tc>
          <w:tcPr>
            <w:tcW w:w="3360" w:type="dxa"/>
            <w:vAlign w:val="bottom"/>
          </w:tcPr>
          <w:p>
            <w:pPr>
              <w:spacing w:after="0"/>
              <w:rPr>
                <w:sz w:val="17"/>
                <w:szCs w:val="17"/>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rights prior to the 52nd day after the date of this prospectus.</w:t>
            </w:r>
          </w:p>
        </w:tc>
      </w:tr>
      <w:tr>
        <w:trPr>
          <w:trHeight w:val="132"/>
        </w:trPr>
        <w:tc>
          <w:tcPr>
            <w:tcW w:w="336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tcPr>
          <w:p>
            <w:pPr>
              <w:spacing w:after="0"/>
              <w:rPr>
                <w:sz w:val="11"/>
                <w:szCs w:val="11"/>
                <w:color w:val="auto"/>
              </w:rPr>
            </w:pPr>
          </w:p>
        </w:tc>
      </w:tr>
      <w:tr>
        <w:trPr>
          <w:trHeight w:val="334"/>
        </w:trPr>
        <w:tc>
          <w:tcPr>
            <w:tcW w:w="3360" w:type="dxa"/>
            <w:vAlign w:val="bottom"/>
          </w:tcPr>
          <w:p>
            <w:pPr>
              <w:spacing w:after="0"/>
              <w:rPr>
                <w:sz w:val="24"/>
                <w:szCs w:val="24"/>
                <w:color w:val="auto"/>
              </w:rPr>
            </w:pPr>
          </w:p>
        </w:tc>
        <w:tc>
          <w:tcPr>
            <w:tcW w:w="6300" w:type="dxa"/>
            <w:vAlign w:val="bottom"/>
          </w:tcPr>
          <w:p>
            <w:pPr>
              <w:ind w:left="1400"/>
              <w:spacing w:after="0"/>
              <w:rPr>
                <w:sz w:val="20"/>
                <w:szCs w:val="20"/>
                <w:color w:val="auto"/>
              </w:rPr>
            </w:pPr>
            <w:r>
              <w:rPr>
                <w:rFonts w:ascii="Times New Roman" w:cs="Times New Roman" w:eastAsia="Times New Roman" w:hAnsi="Times New Roman"/>
                <w:sz w:val="15"/>
                <w:szCs w:val="15"/>
                <w:color w:val="auto"/>
              </w:rPr>
              <w:t>26</w:t>
            </w:r>
          </w:p>
        </w:tc>
      </w:tr>
    </w:tbl>
    <w:p>
      <w:pPr>
        <w:sectPr>
          <w:pgSz w:w="11900" w:h="16840" w:orient="portrait"/>
          <w:cols w:equalWidth="0" w:num="1">
            <w:col w:w="10120"/>
          </w:cols>
          <w:pgMar w:left="660" w:top="874" w:right="1120" w:bottom="1440" w:gutter="0" w:footer="0" w:header="0"/>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9263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37275" cy="4926330"/>
                    </a:xfrm>
                    <a:prstGeom prst="rect">
                      <a:avLst/>
                    </a:prstGeom>
                    <a:noFill/>
                  </pic:spPr>
                </pic:pic>
              </a:graphicData>
            </a:graphic>
          </wp:anchor>
        </w:drawing>
      </w:r>
    </w:p>
    <w:p>
      <w:pPr>
        <w:spacing w:after="0" w:line="400" w:lineRule="exact"/>
        <w:rPr>
          <w:sz w:val="20"/>
          <w:szCs w:val="20"/>
          <w:color w:val="auto"/>
        </w:rPr>
      </w:pPr>
    </w:p>
    <w:tbl>
      <w:tblPr>
        <w:tblLayout w:type="fixed"/>
        <w:tblInd w:w="600" w:type="dxa"/>
        <w:tblCellMar>
          <w:top w:w="0" w:type="dxa"/>
          <w:left w:w="0" w:type="dxa"/>
          <w:bottom w:w="0" w:type="dxa"/>
          <w:right w:w="0" w:type="dxa"/>
        </w:tblCellMar>
      </w:tblP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Units:</w:t>
            </w:r>
          </w:p>
        </w:tc>
        <w:tc>
          <w:tcPr>
            <w:tcW w:w="6000" w:type="dxa"/>
            <w:vAlign w:val="bottom"/>
          </w:tcPr>
          <w:p>
            <w:pPr>
              <w:spacing w:after="0"/>
              <w:rPr>
                <w:sz w:val="17"/>
                <w:szCs w:val="17"/>
                <w:color w:val="auto"/>
              </w:rPr>
            </w:pPr>
          </w:p>
        </w:tc>
      </w:tr>
      <w:tr>
        <w:trPr>
          <w:trHeight w:val="296"/>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Issued and outstanding before this offering:</w:t>
            </w: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0 units</w:t>
            </w:r>
          </w:p>
        </w:tc>
      </w:tr>
      <w:tr>
        <w:trPr>
          <w:trHeight w:val="286"/>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Issued and outstanding after this offering and the</w:t>
            </w: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22,337,675 units</w:t>
            </w:r>
            <w:r>
              <w:rPr>
                <w:rFonts w:ascii="Times New Roman" w:cs="Times New Roman" w:eastAsia="Times New Roman" w:hAnsi="Times New Roman"/>
                <w:sz w:val="9"/>
                <w:szCs w:val="9"/>
                <w:color w:val="auto"/>
              </w:rPr>
              <w:t>(1)</w:t>
            </w:r>
          </w:p>
        </w:tc>
      </w:tr>
      <w:tr>
        <w:trPr>
          <w:trHeight w:val="199"/>
        </w:trPr>
        <w:tc>
          <w:tcPr>
            <w:tcW w:w="3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concurrent private placement:</w:t>
            </w:r>
          </w:p>
        </w:tc>
        <w:tc>
          <w:tcPr>
            <w:tcW w:w="6000" w:type="dxa"/>
            <w:vAlign w:val="bottom"/>
          </w:tcPr>
          <w:p>
            <w:pPr>
              <w:spacing w:after="0"/>
              <w:rPr>
                <w:sz w:val="17"/>
                <w:szCs w:val="17"/>
                <w:color w:val="auto"/>
              </w:rPr>
            </w:pPr>
          </w:p>
        </w:tc>
      </w:tr>
      <w:tr>
        <w:trPr>
          <w:trHeight w:val="474"/>
        </w:trPr>
        <w:tc>
          <w:tcPr>
            <w:tcW w:w="3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Ordinary shares:</w:t>
            </w:r>
          </w:p>
        </w:tc>
        <w:tc>
          <w:tcPr>
            <w:tcW w:w="6000" w:type="dxa"/>
            <w:vAlign w:val="bottom"/>
          </w:tcPr>
          <w:p>
            <w:pPr>
              <w:spacing w:after="0"/>
              <w:rPr>
                <w:sz w:val="24"/>
                <w:szCs w:val="24"/>
                <w:color w:val="auto"/>
              </w:rPr>
            </w:pPr>
          </w:p>
        </w:tc>
      </w:tr>
      <w:tr>
        <w:trPr>
          <w:trHeight w:val="296"/>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Issued and outstanding before this offering:</w:t>
            </w: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7,850,229 shares</w:t>
            </w:r>
            <w:r>
              <w:rPr>
                <w:rFonts w:ascii="Times New Roman" w:cs="Times New Roman" w:eastAsia="Times New Roman" w:hAnsi="Times New Roman"/>
                <w:sz w:val="9"/>
                <w:szCs w:val="9"/>
                <w:color w:val="auto"/>
              </w:rPr>
              <w:t>(2)</w:t>
            </w:r>
          </w:p>
        </w:tc>
      </w:tr>
      <w:tr>
        <w:trPr>
          <w:trHeight w:val="286"/>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Issued and outstanding after this offering and the</w:t>
            </w: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31,741,483 shares</w:t>
            </w:r>
            <w:r>
              <w:rPr>
                <w:rFonts w:ascii="Times New Roman" w:cs="Times New Roman" w:eastAsia="Times New Roman" w:hAnsi="Times New Roman"/>
                <w:sz w:val="9"/>
                <w:szCs w:val="9"/>
                <w:color w:val="auto"/>
              </w:rPr>
              <w:t>(3)</w:t>
            </w:r>
          </w:p>
        </w:tc>
      </w:tr>
      <w:tr>
        <w:trPr>
          <w:trHeight w:val="199"/>
        </w:trPr>
        <w:tc>
          <w:tcPr>
            <w:tcW w:w="3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concurrent private placement:</w:t>
            </w:r>
          </w:p>
        </w:tc>
        <w:tc>
          <w:tcPr>
            <w:tcW w:w="6000" w:type="dxa"/>
            <w:vAlign w:val="bottom"/>
          </w:tcPr>
          <w:p>
            <w:pPr>
              <w:spacing w:after="0"/>
              <w:rPr>
                <w:sz w:val="17"/>
                <w:szCs w:val="17"/>
                <w:color w:val="auto"/>
              </w:rPr>
            </w:pPr>
          </w:p>
        </w:tc>
      </w:tr>
      <w:tr>
        <w:trPr>
          <w:trHeight w:val="474"/>
        </w:trPr>
        <w:tc>
          <w:tcPr>
            <w:tcW w:w="3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Rights:</w:t>
            </w:r>
          </w:p>
        </w:tc>
        <w:tc>
          <w:tcPr>
            <w:tcW w:w="6000" w:type="dxa"/>
            <w:vAlign w:val="bottom"/>
          </w:tcPr>
          <w:p>
            <w:pPr>
              <w:spacing w:after="0"/>
              <w:rPr>
                <w:sz w:val="24"/>
                <w:szCs w:val="24"/>
                <w:color w:val="auto"/>
              </w:rPr>
            </w:pPr>
          </w:p>
        </w:tc>
      </w:tr>
      <w:tr>
        <w:trPr>
          <w:trHeight w:val="296"/>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Outstanding before this offering</w:t>
            </w: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0 rights</w:t>
            </w:r>
          </w:p>
        </w:tc>
      </w:tr>
      <w:tr>
        <w:trPr>
          <w:trHeight w:val="286"/>
        </w:trPr>
        <w:tc>
          <w:tcPr>
            <w:tcW w:w="9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after this offering and the concurrent private 22,337,675</w:t>
            </w:r>
            <w:r>
              <w:rPr>
                <w:rFonts w:ascii="Times New Roman" w:cs="Times New Roman" w:eastAsia="Times New Roman" w:hAnsi="Times New Roman"/>
                <w:sz w:val="9"/>
                <w:szCs w:val="9"/>
                <w:color w:val="auto"/>
              </w:rPr>
              <w:t>(4)</w:t>
            </w:r>
          </w:p>
        </w:tc>
      </w:tr>
      <w:tr>
        <w:trPr>
          <w:trHeight w:val="199"/>
        </w:trPr>
        <w:tc>
          <w:tcPr>
            <w:tcW w:w="3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placement</w:t>
            </w:r>
          </w:p>
        </w:tc>
        <w:tc>
          <w:tcPr>
            <w:tcW w:w="6000" w:type="dxa"/>
            <w:vAlign w:val="bottom"/>
          </w:tcPr>
          <w:p>
            <w:pPr>
              <w:spacing w:after="0"/>
              <w:rPr>
                <w:sz w:val="17"/>
                <w:szCs w:val="17"/>
                <w:color w:val="auto"/>
              </w:rPr>
            </w:pPr>
          </w:p>
        </w:tc>
      </w:tr>
      <w:tr>
        <w:trPr>
          <w:trHeight w:val="286"/>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Term of Rights</w:t>
            </w: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Except in cases where we are not the surviving company in an initial business combination,</w:t>
            </w:r>
          </w:p>
        </w:tc>
      </w:tr>
      <w:tr>
        <w:trPr>
          <w:trHeight w:val="178"/>
        </w:trPr>
        <w:tc>
          <w:tcPr>
            <w:tcW w:w="3280" w:type="dxa"/>
            <w:vAlign w:val="bottom"/>
          </w:tcPr>
          <w:p>
            <w:pPr>
              <w:spacing w:after="0"/>
              <w:rPr>
                <w:sz w:val="15"/>
                <w:szCs w:val="15"/>
                <w:color w:val="auto"/>
              </w:rPr>
            </w:pP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each holder of a right will automatically receive one-tenth (1/10</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of one Class A ordinary</w:t>
            </w:r>
          </w:p>
        </w:tc>
      </w:tr>
      <w:tr>
        <w:trPr>
          <w:trHeight w:val="178"/>
        </w:trPr>
        <w:tc>
          <w:tcPr>
            <w:tcW w:w="3280" w:type="dxa"/>
            <w:vAlign w:val="bottom"/>
          </w:tcPr>
          <w:p>
            <w:pPr>
              <w:spacing w:after="0"/>
              <w:rPr>
                <w:sz w:val="15"/>
                <w:szCs w:val="15"/>
                <w:color w:val="auto"/>
              </w:rPr>
            </w:pP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share upon consummation of our initial business combination. In the event we will not be the</w:t>
            </w:r>
          </w:p>
        </w:tc>
      </w:tr>
      <w:tr>
        <w:trPr>
          <w:trHeight w:val="194"/>
        </w:trPr>
        <w:tc>
          <w:tcPr>
            <w:tcW w:w="3280" w:type="dxa"/>
            <w:vAlign w:val="bottom"/>
          </w:tcPr>
          <w:p>
            <w:pPr>
              <w:spacing w:after="0"/>
              <w:rPr>
                <w:sz w:val="16"/>
                <w:szCs w:val="16"/>
                <w:color w:val="auto"/>
              </w:rPr>
            </w:pPr>
          </w:p>
        </w:tc>
        <w:tc>
          <w:tcPr>
            <w:tcW w:w="6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surviving company upon completion of our initial business combination, each holder of a</w:t>
            </w:r>
          </w:p>
        </w:tc>
      </w:tr>
    </w:tbl>
    <w:p>
      <w:pPr>
        <w:ind w:left="4160"/>
        <w:spacing w:after="0" w:line="248" w:lineRule="auto"/>
        <w:rPr>
          <w:sz w:val="20"/>
          <w:szCs w:val="20"/>
          <w:color w:val="auto"/>
        </w:rPr>
      </w:pPr>
      <w:r>
        <w:rPr>
          <w:rFonts w:ascii="Times New Roman" w:cs="Times New Roman" w:eastAsia="Times New Roman" w:hAnsi="Times New Roman"/>
          <w:sz w:val="15"/>
          <w:szCs w:val="15"/>
          <w:color w:val="auto"/>
        </w:rPr>
        <w:t>right will be required to affirmatively convert his, her or its rights in order to receive the one-tenth (1/10</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of a Class A ordinary share of the new entity underlying each right upon consummation of the initial business combination. We will not issue fractional shares in connection with an exchange of rights. Fractional shares will either be rounded down to the nearest whole share or otherwise determined by the board of directors as provided by Cayman Islands laws. As a result, you must hold rights in multiples of ten in order to receive shares for all of your rights upon closing of an initial business combination. If we are unable to complete an initial business combination within the required time period and we redeem the public shares for the funds held in the trust account, holders of rights will not receive any of such funds for their rights and the rights will expire worthless</w:t>
      </w:r>
    </w:p>
    <w:p>
      <w:pPr>
        <w:spacing w:after="0" w:line="97" w:lineRule="exact"/>
        <w:rPr>
          <w:sz w:val="20"/>
          <w:szCs w:val="20"/>
          <w:color w:val="auto"/>
        </w:rPr>
      </w:pPr>
    </w:p>
    <w:p>
      <w:pPr>
        <w:ind w:left="980" w:right="440" w:hanging="371"/>
        <w:spacing w:after="0" w:line="258" w:lineRule="auto"/>
        <w:tabs>
          <w:tab w:leader="none" w:pos="9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no exercise of the underwriters’ over-allotment option, and includes, accordingly, (i) an aggregate of 22,000,000 public units and (ii) 337,675 private placement units purchased by our sponsor and non-managing investors.</w:t>
      </w:r>
    </w:p>
    <w:p>
      <w:pPr>
        <w:ind w:left="980" w:right="40" w:hanging="371"/>
        <w:spacing w:after="0" w:line="250" w:lineRule="auto"/>
        <w:tabs>
          <w:tab w:leader="none" w:pos="9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up to 1,023,943 founder shares issued to the initial shareholders that are subject to forfeiture if the over-allotment option is not exercised. Founder shares are currently classified as Class B ordinary shares, which shares will automatically convert into Class A ordinary shares at the time of our initial business combination or earlier at the option of a holder on a one-for-one basis, subject to adjustment as described below adjacent to the caption “</w:t>
      </w:r>
      <w:r>
        <w:rPr>
          <w:rFonts w:ascii="Times New Roman" w:cs="Times New Roman" w:eastAsia="Times New Roman" w:hAnsi="Times New Roman"/>
          <w:sz w:val="15"/>
          <w:szCs w:val="15"/>
          <w:i w:val="1"/>
          <w:iCs w:val="1"/>
          <w:color w:val="auto"/>
        </w:rPr>
        <w:t>Conversion of founder shares and private investor shares and anti-dilution rights</w:t>
      </w:r>
      <w:r>
        <w:rPr>
          <w:rFonts w:ascii="Times New Roman" w:cs="Times New Roman" w:eastAsia="Times New Roman" w:hAnsi="Times New Roman"/>
          <w:sz w:val="15"/>
          <w:szCs w:val="15"/>
          <w:color w:val="auto"/>
        </w:rPr>
        <w:t>” and in our amended and restated memorandum and articles of association.</w:t>
      </w:r>
    </w:p>
    <w:p>
      <w:pPr>
        <w:spacing w:after="0" w:line="2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27</w:t>
      </w:r>
    </w:p>
    <w:p>
      <w:pPr>
        <w:sectPr>
          <w:pgSz w:w="11900" w:h="16840" w:orient="portrait"/>
          <w:cols w:equalWidth="0" w:num="1">
            <w:col w:w="9960"/>
          </w:cols>
          <w:pgMar w:left="660" w:top="874" w:right="1280" w:bottom="1440" w:gutter="0" w:footer="0" w:header="0"/>
        </w:sectPr>
      </w:pPr>
    </w:p>
    <w:bookmarkStart w:id="38" w:name="page39"/>
    <w:bookmarkEnd w:id="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738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37275" cy="47383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80" w:right="140" w:hanging="371"/>
        <w:spacing w:after="0" w:line="254" w:lineRule="auto"/>
        <w:tabs>
          <w:tab w:leader="none" w:pos="9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no exercise of the underwriters’ over-allotment option, and includes, accordingly, (i) an aggregate of 22,000,000 public shares, (ii) an aggregate of 9,403,808 Class B ordinary shares purchased by our sponsor and non-managing investors, and (iii) 337,675 private placement shares included in the private placement units purchased by our sponsor and non-managing investors.</w:t>
      </w:r>
    </w:p>
    <w:p>
      <w:pPr>
        <w:spacing w:after="0" w:line="1" w:lineRule="exact"/>
        <w:rPr>
          <w:rFonts w:ascii="Times New Roman" w:cs="Times New Roman" w:eastAsia="Times New Roman" w:hAnsi="Times New Roman"/>
          <w:sz w:val="15"/>
          <w:szCs w:val="15"/>
          <w:color w:val="auto"/>
        </w:rPr>
      </w:pPr>
    </w:p>
    <w:p>
      <w:pPr>
        <w:ind w:left="980" w:hanging="371"/>
        <w:spacing w:after="0"/>
        <w:tabs>
          <w:tab w:leader="none" w:pos="9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22,000,000 public rights and 337,675 private placement rights.</w:t>
      </w:r>
    </w:p>
    <w:p>
      <w:pPr>
        <w:sectPr>
          <w:pgSz w:w="11900" w:h="16840" w:orient="portrait"/>
          <w:cols w:equalWidth="0" w:num="1">
            <w:col w:w="9940"/>
          </w:cols>
          <w:pgMar w:left="660" w:top="874" w:right="1300" w:bottom="600" w:gutter="0" w:footer="0" w:header="0"/>
        </w:sectPr>
      </w:pPr>
    </w:p>
    <w:p>
      <w:pPr>
        <w:spacing w:after="0" w:line="214" w:lineRule="exact"/>
        <w:rPr>
          <w:sz w:val="20"/>
          <w:szCs w:val="20"/>
          <w:color w:val="auto"/>
        </w:rPr>
      </w:pPr>
    </w:p>
    <w:p>
      <w:pPr>
        <w:ind w:left="660" w:hanging="58"/>
        <w:spacing w:after="0" w:line="284" w:lineRule="auto"/>
        <w:rPr>
          <w:sz w:val="20"/>
          <w:szCs w:val="20"/>
          <w:color w:val="auto"/>
        </w:rPr>
      </w:pPr>
      <w:r>
        <w:rPr>
          <w:rFonts w:ascii="Times New Roman" w:cs="Times New Roman" w:eastAsia="Times New Roman" w:hAnsi="Times New Roman"/>
          <w:sz w:val="15"/>
          <w:szCs w:val="15"/>
          <w:color w:val="auto"/>
        </w:rPr>
        <w:t>Founder shares, private investor shares and private placement units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Our sponsor intends at the time of this offering to sell 375,397 founder shares in the aggregate to Messrs. Greene, Machuca, Timm and Horowitz at an aggregate price of $ 9,244, or $0.02462 per share and 1,416,665 founder shares to Lynrock at an aggregate price of $ 13,130, or $0.00927 per share, thus reducing the price paid by our sponsor for the 6,058,167 founder shares which it is retaining to $2,626, or $0.000434 per share.</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5"/>
          <w:szCs w:val="15"/>
          <w:color w:val="auto"/>
        </w:rPr>
        <w:t>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8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5"/>
          <w:szCs w:val="15"/>
          <w:color w:val="auto"/>
        </w:rPr>
        <w:t>Our sponsor which is owned by two of our directors, Dr. Avi S. Katz and Dr. Raluca Dinu (or non-affiliated investors to which our sponsor assigns this subscription as described below) together with four of our other directors, James Greene, Luis Machuca, Bryan Timm and Raanan Horowitz, and Lynrock will subscribe pursuant to the Unit Purchase Agreement to purchase an aggregate of 95,200 private placement units (including if the underwriters’ over-allotment option is exercised in full), at a price of $9.7374 per private placement unit, for an aggregate purchase price of $927,000 in a private placement that will close simultaneously with the closing of this offering. Each private placement unit sold in this private placement consists of one Class A ordinary share and one right to receive one-tenth of one Class A ordinary share upon the consummation of an initial business combination.</w:t>
      </w:r>
    </w:p>
    <w:p>
      <w:pPr>
        <w:spacing w:after="0" w:line="9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5"/>
          <w:szCs w:val="15"/>
          <w:color w:val="auto"/>
        </w:rPr>
        <w:t>The non- managing investors, which are eight groups of institutional accredited investors (none of which are affiliated with any member of our management, our sponsor or any other investor), have committed to purchase an aggregate of (a) 2,964,203 Class B ordinary shares (of which up to 386,681 Class B ordinary shares remain subject to</w:t>
      </w:r>
    </w:p>
    <w:p>
      <w:pPr>
        <w:spacing w:after="0" w:line="200" w:lineRule="exact"/>
        <w:rPr>
          <w:sz w:val="20"/>
          <w:szCs w:val="20"/>
          <w:color w:val="auto"/>
        </w:rPr>
      </w:pPr>
    </w:p>
    <w:p>
      <w:pPr>
        <w:sectPr>
          <w:pgSz w:w="11900" w:h="16840" w:orient="portrait"/>
          <w:cols w:equalWidth="0" w:num="2">
            <w:col w:w="3740" w:space="420"/>
            <w:col w:w="5780"/>
          </w:cols>
          <w:pgMar w:left="660" w:top="874" w:right="1300" w:bottom="600" w:gutter="0" w:footer="0" w:header="0"/>
          <w:type w:val="continuous"/>
        </w:sectPr>
      </w:pPr>
    </w:p>
    <w:p>
      <w:pPr>
        <w:spacing w:after="0" w:line="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6749415" cy="62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49415" cy="62865"/>
                    </a:xfrm>
                    <a:prstGeom prst="rect">
                      <a:avLst/>
                    </a:prstGeom>
                    <a:noFill/>
                  </pic:spPr>
                </pic:pic>
              </a:graphicData>
            </a:graphic>
          </wp:anchor>
        </w:drawing>
      </w:r>
    </w:p>
    <w:p>
      <w:pPr>
        <w:spacing w:after="0" w:line="396" w:lineRule="exact"/>
        <w:rPr>
          <w:sz w:val="20"/>
          <w:szCs w:val="20"/>
          <w:color w:val="auto"/>
        </w:rPr>
      </w:pPr>
    </w:p>
    <w:p>
      <w:pPr>
        <w:spacing w:after="0"/>
        <w:rPr>
          <w:rFonts w:ascii="Times New Roman" w:cs="Times New Roman" w:eastAsia="Times New Roman" w:hAnsi="Times New Roman"/>
          <w:sz w:val="15"/>
          <w:szCs w:val="15"/>
          <w:b w:val="1"/>
          <w:bCs w:val="1"/>
          <w:u w:val="single" w:color="auto"/>
          <w:color w:val="0000EE"/>
        </w:rPr>
      </w:pP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39941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37275" cy="39941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forfeiture depending on the extent to which the underwriters’ over-allotment option is</w:t>
      </w:r>
    </w:p>
    <w:p>
      <w:pPr>
        <w:spacing w:after="0" w:line="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exercised during this offering) as the private investor shares at a purchase price per Class B</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ordinary share of $0.023254, and (b) an aggregate of 242,475 private placement units (or up</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to 262,457 private placement units if the underwriters’ over-allotment option is exercised in</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full) at a price of $9.7374 per private placement unit, for an aggregate purchase price of</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$2,430,006 (or $2,624,578 if the underwriters’ over-allotment option is exercised in full) in a</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private placement that will close simultaneously with the completion of this offering.</w:t>
      </w:r>
    </w:p>
    <w:p>
      <w:pPr>
        <w:spacing w:after="0" w:line="119" w:lineRule="exact"/>
        <w:rPr>
          <w:sz w:val="20"/>
          <w:szCs w:val="20"/>
          <w:color w:val="auto"/>
        </w:rPr>
      </w:pPr>
    </w:p>
    <w:p>
      <w:pPr>
        <w:ind w:left="4160"/>
        <w:spacing w:after="0" w:line="250" w:lineRule="auto"/>
        <w:rPr>
          <w:sz w:val="20"/>
          <w:szCs w:val="20"/>
          <w:color w:val="auto"/>
        </w:rPr>
      </w:pPr>
      <w:r>
        <w:rPr>
          <w:rFonts w:ascii="Times New Roman" w:cs="Times New Roman" w:eastAsia="Times New Roman" w:hAnsi="Times New Roman"/>
          <w:sz w:val="15"/>
          <w:szCs w:val="15"/>
          <w:color w:val="auto"/>
        </w:rPr>
        <w:t>The number of founder shares and private investor shares, and the forfeiture mechanism underlying the founder shares and private investor shares, has been determined in order to ensure that the founder shares and private investor shares will collectively represent 30% of the outstanding ordinary shares upon completion of this offering and the exercise of the underwriters’ over-allotment option, if any (not including the private placement shares). If we increase or decrease the size of this offering pursuant to Rule 462(b) under the Securities Act, we will effect a share dividend or a share contribution back to capital, as applicable, immediately prior to the consummation of the offering, in such amount so that the founder shares and private investor shares will continue collectively representing 30% of the issued and outstanding ordinary shares (not including the private placement shares) upon completion of this offering. Prior to the investment in the company of an aggregate of $ 25,000 by our sponsor (before giving effect to the sales of shares to the other insiders), we had no assets, tangible or intangible.</w:t>
      </w:r>
    </w:p>
    <w:p>
      <w:pPr>
        <w:spacing w:after="0" w:line="92" w:lineRule="exact"/>
        <w:rPr>
          <w:sz w:val="20"/>
          <w:szCs w:val="20"/>
          <w:color w:val="auto"/>
        </w:rPr>
      </w:pPr>
    </w:p>
    <w:p>
      <w:pPr>
        <w:ind w:left="4160" w:right="20"/>
        <w:spacing w:after="0" w:line="254" w:lineRule="auto"/>
        <w:rPr>
          <w:sz w:val="20"/>
          <w:szCs w:val="20"/>
          <w:color w:val="auto"/>
        </w:rPr>
      </w:pPr>
      <w:r>
        <w:rPr>
          <w:rFonts w:ascii="Times New Roman" w:cs="Times New Roman" w:eastAsia="Times New Roman" w:hAnsi="Times New Roman"/>
          <w:sz w:val="15"/>
          <w:szCs w:val="15"/>
          <w:color w:val="auto"/>
        </w:rPr>
        <w:t>A portion of the purchase price of the private placement units and private investor shares will be added to the proceeds of this offering to be held in the trust account. If we do not complete our initial business combination within 24 months from the closing of this offering, the proceeds from the sale of the private placement units and private investor shares held in the trust account will be used to fund the redemption of our public shares (subject to the requirements of applicable law).</w:t>
      </w:r>
    </w:p>
    <w:p>
      <w:pPr>
        <w:spacing w:after="0" w:line="89" w:lineRule="exact"/>
        <w:rPr>
          <w:sz w:val="20"/>
          <w:szCs w:val="20"/>
          <w:color w:val="auto"/>
        </w:rPr>
      </w:pPr>
    </w:p>
    <w:p>
      <w:pPr>
        <w:ind w:left="4160" w:right="100"/>
        <w:spacing w:after="0" w:line="265" w:lineRule="auto"/>
        <w:rPr>
          <w:sz w:val="20"/>
          <w:szCs w:val="20"/>
          <w:color w:val="auto"/>
        </w:rPr>
      </w:pPr>
      <w:r>
        <w:rPr>
          <w:rFonts w:ascii="Times New Roman" w:cs="Times New Roman" w:eastAsia="Times New Roman" w:hAnsi="Times New Roman"/>
          <w:sz w:val="15"/>
          <w:szCs w:val="15"/>
          <w:color w:val="auto"/>
        </w:rPr>
        <w:t>The founder shares, private investor shares, private placement shares and shares issued upon conversion of the private placement rights upon the consummation of our initial business combination are identical to the public shares being sold in this offering, except that:</w:t>
      </w:r>
    </w:p>
    <w:p>
      <w:pPr>
        <w:sectPr>
          <w:pgSz w:w="11900" w:h="16840" w:orient="portrait"/>
          <w:cols w:equalWidth="0" w:num="1">
            <w:col w:w="9940"/>
          </w:cols>
          <w:pgMar w:left="660" w:top="874" w:right="1300" w:bottom="600" w:gutter="0" w:footer="0" w:header="0"/>
          <w:type w:val="continuous"/>
        </w:sectPr>
      </w:pPr>
    </w:p>
    <w:bookmarkStart w:id="39" w:name="page40"/>
    <w:bookmarkEnd w:id="39"/>
    <w:p>
      <w:pPr>
        <w:ind w:left="3820" w:right="40" w:hanging="260"/>
        <w:spacing w:after="0" w:line="259" w:lineRule="auto"/>
        <w:tabs>
          <w:tab w:leader="none" w:pos="3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holders of the founder shares and private investor shares have the right to vote on the appointment of directors prior to the completion of our initial business combination (by a majority of votes cast by the holders of the founder shares and private investor shares);</w:t>
      </w:r>
    </w:p>
    <w:p>
      <w:pPr>
        <w:spacing w:after="0" w:line="202" w:lineRule="exact"/>
        <w:rPr>
          <w:rFonts w:ascii="Times New Roman" w:cs="Times New Roman" w:eastAsia="Times New Roman" w:hAnsi="Times New Roman"/>
          <w:sz w:val="15"/>
          <w:szCs w:val="15"/>
          <w:color w:val="auto"/>
        </w:rPr>
      </w:pPr>
    </w:p>
    <w:p>
      <w:pPr>
        <w:ind w:left="3820" w:hanging="260"/>
        <w:spacing w:after="0" w:line="284" w:lineRule="auto"/>
        <w:tabs>
          <w:tab w:leader="none" w:pos="3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founder shares, private investor and private placement units (including underlying securities) are subject to certain transfer restrictions, as described in more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-853440</wp:posOffset>
            </wp:positionV>
            <wp:extent cx="6137275" cy="925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37275" cy="925195"/>
                    </a:xfrm>
                    <a:prstGeom prst="rect">
                      <a:avLst/>
                    </a:prstGeom>
                    <a:noFill/>
                  </pic:spPr>
                </pic:pic>
              </a:graphicData>
            </a:graphic>
          </wp:anchor>
        </w:drawing>
      </w: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color w:val="auto"/>
        </w:rPr>
        <w:t>29</w:t>
      </w:r>
    </w:p>
    <w:p>
      <w:pPr>
        <w:sectPr>
          <w:pgSz w:w="11900" w:h="16840" w:orient="portrait"/>
          <w:cols w:equalWidth="0" w:num="1">
            <w:col w:w="9180"/>
          </w:cols>
          <w:pgMar w:left="1440" w:top="558" w:right="1280"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445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37275" cy="4445000"/>
                    </a:xfrm>
                    <a:prstGeom prst="rect">
                      <a:avLst/>
                    </a:prstGeom>
                    <a:noFill/>
                  </pic:spPr>
                </pic:pic>
              </a:graphicData>
            </a:graphic>
          </wp:anchor>
        </w:drawing>
      </w:r>
    </w:p>
    <w:p>
      <w:pPr>
        <w:spacing w:after="0" w:line="400" w:lineRule="exact"/>
        <w:rPr>
          <w:sz w:val="20"/>
          <w:szCs w:val="20"/>
          <w:color w:val="auto"/>
        </w:rPr>
      </w:pPr>
    </w:p>
    <w:p>
      <w:pPr>
        <w:ind w:left="4600" w:hanging="260"/>
        <w:spacing w:after="0" w:line="248" w:lineRule="auto"/>
        <w:tabs>
          <w:tab w:leader="none" w:pos="4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described below adjacent to the caption “</w:t>
      </w:r>
      <w:r>
        <w:rPr>
          <w:rFonts w:ascii="Times New Roman" w:cs="Times New Roman" w:eastAsia="Times New Roman" w:hAnsi="Times New Roman"/>
          <w:sz w:val="15"/>
          <w:szCs w:val="15"/>
          <w:i w:val="1"/>
          <w:iCs w:val="1"/>
          <w:color w:val="auto"/>
        </w:rPr>
        <w:t>Voting arrangements with our sponsor,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non-managing investors and related parties</w:t>
      </w:r>
      <w:r>
        <w:rPr>
          <w:rFonts w:ascii="Times New Roman" w:cs="Times New Roman" w:eastAsia="Times New Roman" w:hAnsi="Times New Roman"/>
          <w:sz w:val="15"/>
          <w:szCs w:val="15"/>
          <w:color w:val="auto"/>
        </w:rPr>
        <w:t>,” our sponsor, officers and directors will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each enter into a letter agreement with us, pursuant to which they will agree: (1)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 from the closing of this offering;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The non-managing investors have entered into written agreements, pursuant to which they have agreed: (1) to waive their redemption rights with respect to their private investor shares and private placement shares held by them in connection with the consummation of our initial business combination or a tender offer conducted prior to a business combination or in connection with it; (2) to waive their rights to liquidating distributions from the trust account with respect to their private investor shares and private placement shares if we fail to complete our initial business combination within 24 months from the closing of this offering; and (3) to waive their redemption rights with respect to their private investor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Notwithstanding the foregoing, our initial shareholders will be entitled to liquidating distributions from the trust account with respect to any public shares purchased in this offering or on the open market after the completion of this offering if we fail to complete our initial business combination within the prescribed time frame;</w:t>
      </w:r>
    </w:p>
    <w:p>
      <w:pPr>
        <w:spacing w:after="0" w:line="103" w:lineRule="exact"/>
        <w:rPr>
          <w:rFonts w:ascii="Times New Roman" w:cs="Times New Roman" w:eastAsia="Times New Roman" w:hAnsi="Times New Roman"/>
          <w:sz w:val="15"/>
          <w:szCs w:val="15"/>
          <w:color w:val="auto"/>
        </w:rPr>
      </w:pPr>
    </w:p>
    <w:p>
      <w:pPr>
        <w:ind w:left="4600" w:right="40" w:hanging="260"/>
        <w:spacing w:after="0" w:line="265" w:lineRule="auto"/>
        <w:tabs>
          <w:tab w:leader="none" w:pos="4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non-managing investors are not granted any shareholder or other rights in addition to those afforded to our other public shareholders, and will only be issued the private investor shares and private placement units of our company. The non-managing</w:t>
      </w:r>
    </w:p>
    <w:p>
      <w:pPr>
        <w:spacing w:after="0" w:line="2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30</w:t>
      </w:r>
    </w:p>
    <w:p>
      <w:pPr>
        <w:sectPr>
          <w:pgSz w:w="11900" w:h="16840" w:orient="portrait"/>
          <w:cols w:equalWidth="0" w:num="1">
            <w:col w:w="9940"/>
          </w:cols>
          <w:pgMar w:left="660" w:top="874" w:right="1300"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851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37275" cy="48514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20" w:right="220"/>
        <w:spacing w:after="0" w:line="249" w:lineRule="auto"/>
        <w:rPr>
          <w:sz w:val="20"/>
          <w:szCs w:val="20"/>
          <w:color w:val="auto"/>
        </w:rPr>
      </w:pPr>
      <w:r>
        <w:rPr>
          <w:rFonts w:ascii="Times New Roman" w:cs="Times New Roman" w:eastAsia="Times New Roman" w:hAnsi="Times New Roman"/>
          <w:sz w:val="15"/>
          <w:szCs w:val="15"/>
          <w:color w:val="auto"/>
        </w:rPr>
        <w:t>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w:t>
      </w:r>
    </w:p>
    <w:p>
      <w:pPr>
        <w:spacing w:after="0" w:line="277" w:lineRule="exact"/>
        <w:rPr>
          <w:sz w:val="20"/>
          <w:szCs w:val="20"/>
          <w:color w:val="auto"/>
        </w:rPr>
      </w:pPr>
    </w:p>
    <w:p>
      <w:pPr>
        <w:ind w:left="4340"/>
        <w:spacing w:after="0"/>
        <w:tabs>
          <w:tab w:leader="none" w:pos="4580" w:val="left"/>
        </w:tabs>
        <w:rPr>
          <w:sz w:val="20"/>
          <w:szCs w:val="20"/>
          <w:color w:val="auto"/>
        </w:rPr>
      </w:pPr>
      <w:r>
        <w:rPr>
          <w:rFonts w:ascii="Times New Roman" w:cs="Times New Roman" w:eastAsia="Times New Roman" w:hAnsi="Times New Roman"/>
          <w:sz w:val="15"/>
          <w:szCs w:val="15"/>
          <w:color w:val="auto"/>
        </w:rPr>
        <w:t>•</w:t>
        <w:tab/>
        <w:t>the founder shares and private investor shares will automatically convert into our</w:t>
      </w:r>
    </w:p>
    <w:p>
      <w:pPr>
        <w:spacing w:after="0" w:line="21" w:lineRule="exact"/>
        <w:rPr>
          <w:sz w:val="20"/>
          <w:szCs w:val="20"/>
          <w:color w:val="auto"/>
        </w:rPr>
      </w:pPr>
    </w:p>
    <w:p>
      <w:pPr>
        <w:ind w:left="4600" w:right="200"/>
        <w:spacing w:after="0" w:line="250" w:lineRule="auto"/>
        <w:rPr>
          <w:sz w:val="20"/>
          <w:szCs w:val="20"/>
          <w:color w:val="auto"/>
        </w:rPr>
      </w:pPr>
      <w:r>
        <w:rPr>
          <w:rFonts w:ascii="Times New Roman" w:cs="Times New Roman" w:eastAsia="Times New Roman" w:hAnsi="Times New Roman"/>
          <w:sz w:val="15"/>
          <w:szCs w:val="15"/>
          <w:color w:val="auto"/>
        </w:rPr>
        <w:t xml:space="preserve">Class A ordinary shares at the time of our initial business combination or earlier at the option of the holder on a one-for -one basis, subject to adjustment pursuant to certain anti-dilution rights, as described below adjacent to the caption “ </w:t>
      </w:r>
      <w:r>
        <w:rPr>
          <w:rFonts w:ascii="Times New Roman" w:cs="Times New Roman" w:eastAsia="Times New Roman" w:hAnsi="Times New Roman"/>
          <w:sz w:val="15"/>
          <w:szCs w:val="15"/>
          <w:i w:val="1"/>
          <w:iCs w:val="1"/>
          <w:color w:val="auto"/>
        </w:rPr>
        <w:t>Conversion of founder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shares and private investor shares and anti-dilution rights</w:t>
      </w:r>
      <w:r>
        <w:rPr>
          <w:rFonts w:ascii="Times New Roman" w:cs="Times New Roman" w:eastAsia="Times New Roman" w:hAnsi="Times New Roman"/>
          <w:sz w:val="15"/>
          <w:szCs w:val="15"/>
          <w:color w:val="auto"/>
        </w:rPr>
        <w:t>” and in our amended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restated memorandum and articles of association; and</w:t>
      </w:r>
    </w:p>
    <w:p>
      <w:pPr>
        <w:sectPr>
          <w:pgSz w:w="11900" w:h="16840" w:orient="portrait"/>
          <w:cols w:equalWidth="0" w:num="1">
            <w:col w:w="10120"/>
          </w:cols>
          <w:pgMar w:left="660" w:top="874" w:right="1120" w:bottom="1440" w:gutter="0" w:footer="0" w:header="0"/>
        </w:sectPr>
      </w:pPr>
    </w:p>
    <w:p>
      <w:pPr>
        <w:spacing w:after="0" w:line="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5"/>
          <w:szCs w:val="15"/>
          <w:color w:val="auto"/>
        </w:rPr>
        <w:t>the founder shares, private investor shares, private placement shares and any shares issued upon conversion of the private placement rights are entitled to registration rights.</w:t>
      </w:r>
    </w:p>
    <w:p>
      <w:pPr>
        <w:spacing w:after="0" w:line="80" w:lineRule="exact"/>
        <w:rPr>
          <w:sz w:val="20"/>
          <w:szCs w:val="20"/>
          <w:color w:val="auto"/>
        </w:rPr>
      </w:pPr>
    </w:p>
    <w:p>
      <w:pPr>
        <w:sectPr>
          <w:pgSz w:w="11900" w:h="16840" w:orient="portrait"/>
          <w:cols w:equalWidth="0" w:num="2">
            <w:col w:w="4400" w:space="200"/>
            <w:col w:w="5520"/>
          </w:cols>
          <w:pgMar w:left="660" w:top="874" w:right="1120"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5"/>
          <w:szCs w:val="15"/>
          <w:color w:val="auto"/>
        </w:rPr>
        <w:t>Sponsor’s Securities and Compensation</w:t>
      </w:r>
    </w:p>
    <w:p>
      <w:pPr>
        <w:spacing w:after="0" w:line="20" w:lineRule="exact"/>
        <w:rPr>
          <w:sz w:val="20"/>
          <w:szCs w:val="20"/>
          <w:color w:val="auto"/>
        </w:rPr>
      </w:pPr>
      <w:r>
        <w:rPr>
          <w:sz w:val="20"/>
          <w:szCs w:val="20"/>
          <w:color w:val="auto"/>
        </w:rPr>
        <w:br w:type="column"/>
      </w:r>
    </w:p>
    <w:p>
      <w:pPr>
        <w:ind w:right="260"/>
        <w:spacing w:after="0" w:line="265" w:lineRule="auto"/>
        <w:rPr>
          <w:sz w:val="20"/>
          <w:szCs w:val="20"/>
          <w:color w:val="auto"/>
        </w:rPr>
      </w:pPr>
      <w:r>
        <w:rPr>
          <w:rFonts w:ascii="Times New Roman" w:cs="Times New Roman" w:eastAsia="Times New Roman" w:hAnsi="Times New Roman"/>
          <w:sz w:val="15"/>
          <w:szCs w:val="15"/>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pacing w:after="0" w:line="182" w:lineRule="exact"/>
        <w:rPr>
          <w:sz w:val="20"/>
          <w:szCs w:val="20"/>
          <w:color w:val="auto"/>
        </w:rPr>
      </w:pPr>
    </w:p>
    <w:p>
      <w:pPr>
        <w:sectPr>
          <w:pgSz w:w="11900" w:h="16840" w:orient="portrait"/>
          <w:cols w:equalWidth="0" w:num="2">
            <w:col w:w="3440" w:space="720"/>
            <w:col w:w="5960"/>
          </w:cols>
          <w:pgMar w:left="660" w:top="874" w:right="1120" w:bottom="1440" w:gutter="0" w:footer="0" w:header="0"/>
          <w:type w:val="continuous"/>
        </w:sectPr>
      </w:pPr>
    </w:p>
    <w:tbl>
      <w:tblPr>
        <w:tblLayout w:type="fixed"/>
        <w:tblInd w:w="460" w:type="dxa"/>
        <w:tblCellMar>
          <w:top w:w="0" w:type="dxa"/>
          <w:left w:w="0" w:type="dxa"/>
          <w:bottom w:w="0" w:type="dxa"/>
          <w:right w:w="0" w:type="dxa"/>
        </w:tblCellMar>
      </w:tblPr>
      <w:tr>
        <w:trPr>
          <w:trHeight w:val="177"/>
        </w:trPr>
        <w:tc>
          <w:tcPr>
            <w:tcW w:w="3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of founder shares</w:t>
            </w:r>
          </w:p>
        </w:tc>
        <w:tc>
          <w:tcPr>
            <w:tcW w:w="282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i w:val="1"/>
                <w:iCs w:val="1"/>
                <w:color w:val="auto"/>
              </w:rPr>
              <w:t>Description</w:t>
            </w:r>
          </w:p>
        </w:tc>
        <w:tc>
          <w:tcPr>
            <w:tcW w:w="180" w:type="dxa"/>
            <w:vAlign w:val="bottom"/>
          </w:tcPr>
          <w:p>
            <w:pPr>
              <w:spacing w:after="0"/>
              <w:rPr>
                <w:sz w:val="15"/>
                <w:szCs w:val="15"/>
                <w:color w:val="auto"/>
              </w:rPr>
            </w:pPr>
          </w:p>
        </w:tc>
        <w:tc>
          <w:tcPr>
            <w:tcW w:w="268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i w:val="1"/>
                <w:iCs w:val="1"/>
                <w:color w:val="auto"/>
              </w:rPr>
              <w:t>Price Paid or Payable</w:t>
            </w:r>
          </w:p>
        </w:tc>
        <w:tc>
          <w:tcPr>
            <w:tcW w:w="0" w:type="dxa"/>
            <w:vAlign w:val="bottom"/>
          </w:tcPr>
          <w:p>
            <w:pPr>
              <w:spacing w:after="0"/>
              <w:rPr>
                <w:sz w:val="1"/>
                <w:szCs w:val="1"/>
                <w:color w:val="auto"/>
              </w:rPr>
            </w:pPr>
          </w:p>
        </w:tc>
      </w:tr>
      <w:tr>
        <w:trPr>
          <w:trHeight w:val="163"/>
        </w:trPr>
        <w:tc>
          <w:tcPr>
            <w:tcW w:w="3980" w:type="dxa"/>
            <w:vAlign w:val="bottom"/>
            <w:vMerge w:val="continue"/>
          </w:tcPr>
          <w:p>
            <w:pPr>
              <w:spacing w:after="0"/>
              <w:rPr>
                <w:sz w:val="14"/>
                <w:szCs w:val="14"/>
                <w:color w:val="auto"/>
              </w:rPr>
            </w:pPr>
          </w:p>
        </w:tc>
        <w:tc>
          <w:tcPr>
            <w:tcW w:w="282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rPr>
              <w:t>7,850,229 Class B ordinary shares, of which</w:t>
            </w:r>
          </w:p>
        </w:tc>
        <w:tc>
          <w:tcPr>
            <w:tcW w:w="180" w:type="dxa"/>
            <w:vAlign w:val="bottom"/>
          </w:tcPr>
          <w:p>
            <w:pPr>
              <w:spacing w:after="0"/>
              <w:rPr>
                <w:sz w:val="14"/>
                <w:szCs w:val="14"/>
                <w:color w:val="auto"/>
              </w:rPr>
            </w:pPr>
          </w:p>
        </w:tc>
        <w:tc>
          <w:tcPr>
            <w:tcW w:w="2520" w:type="dxa"/>
            <w:vAlign w:val="bottom"/>
            <w:tcBorders>
              <w:top w:val="single" w:sz="8" w:color="auto"/>
            </w:tcBorders>
          </w:tcPr>
          <w:p>
            <w:pPr>
              <w:jc w:val="right"/>
              <w:ind w:right="1949"/>
              <w:spacing w:after="0" w:line="163" w:lineRule="exact"/>
              <w:rPr>
                <w:sz w:val="20"/>
                <w:szCs w:val="20"/>
                <w:color w:val="auto"/>
              </w:rPr>
            </w:pPr>
            <w:r>
              <w:rPr>
                <w:rFonts w:ascii="Times New Roman" w:cs="Times New Roman" w:eastAsia="Times New Roman" w:hAnsi="Times New Roman"/>
                <w:sz w:val="15"/>
                <w:szCs w:val="15"/>
                <w:color w:val="auto"/>
                <w:w w:val="98"/>
              </w:rPr>
              <w:t>$25,000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1,023,943 Class B ordinary shares remain</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subject to forfeiture depending on the extent</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to which the underwriters’ over-allotment</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option is exercised during this offering. Our</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sponsor intends at the time of this offering to</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sell 375,397 founder shares in the aggregate</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to Messrs. Greene, Machuca, Timm and</w:t>
            </w:r>
          </w:p>
        </w:tc>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Horowitz at</w:t>
            </w:r>
          </w:p>
        </w:tc>
        <w:tc>
          <w:tcPr>
            <w:tcW w:w="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9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3980" w:type="dxa"/>
            <w:vAlign w:val="bottom"/>
          </w:tcPr>
          <w:p>
            <w:pPr>
              <w:spacing w:after="0"/>
              <w:rPr>
                <w:sz w:val="24"/>
                <w:szCs w:val="24"/>
                <w:color w:val="auto"/>
              </w:rPr>
            </w:pPr>
          </w:p>
        </w:tc>
        <w:tc>
          <w:tcPr>
            <w:tcW w:w="282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20"/>
          </w:cols>
          <w:pgMar w:left="660" w:top="874" w:right="1120" w:bottom="1440" w:gutter="0" w:footer="0" w:header="0"/>
          <w:type w:val="continuous"/>
        </w:sectPr>
      </w:pPr>
    </w:p>
    <w:bookmarkStart w:id="42" w:name="page43"/>
    <w:bookmarkEnd w:id="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53251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37275" cy="5325110"/>
                    </a:xfrm>
                    <a:prstGeom prst="rect">
                      <a:avLst/>
                    </a:prstGeom>
                    <a:noFill/>
                  </pic:spPr>
                </pic:pic>
              </a:graphicData>
            </a:graphic>
          </wp:anchor>
        </w:drawing>
      </w:r>
    </w:p>
    <w:p>
      <w:pPr>
        <w:sectPr>
          <w:pgSz w:w="11900" w:h="16840" w:orient="portrait"/>
          <w:cols w:equalWidth="0" w:num="1">
            <w:col w:w="9900"/>
          </w:cols>
          <w:pgMar w:left="660" w:top="874" w:right="1340"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3840" w:type="dxa"/>
            <w:vAlign w:val="bottom"/>
          </w:tcPr>
          <w:p>
            <w:pPr>
              <w:spacing w:after="0"/>
              <w:rPr>
                <w:sz w:val="15"/>
                <w:szCs w:val="15"/>
                <w:color w:val="auto"/>
              </w:rPr>
            </w:pPr>
          </w:p>
        </w:tc>
        <w:tc>
          <w:tcPr>
            <w:tcW w:w="28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3"/>
                <w:szCs w:val="13"/>
                <w:b w:val="1"/>
                <w:bCs w:val="1"/>
                <w:i w:val="1"/>
                <w:iCs w:val="1"/>
                <w:color w:val="auto"/>
              </w:rPr>
              <w:t>Description</w:t>
            </w:r>
          </w:p>
        </w:tc>
      </w:tr>
      <w:tr>
        <w:trPr>
          <w:trHeight w:val="163"/>
        </w:trPr>
        <w:tc>
          <w:tcPr>
            <w:tcW w:w="3840" w:type="dxa"/>
            <w:vAlign w:val="bottom"/>
          </w:tcPr>
          <w:p>
            <w:pPr>
              <w:spacing w:after="0"/>
              <w:rPr>
                <w:sz w:val="14"/>
                <w:szCs w:val="14"/>
                <w:color w:val="auto"/>
              </w:rPr>
            </w:pPr>
          </w:p>
        </w:tc>
        <w:tc>
          <w:tcPr>
            <w:tcW w:w="28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an aggregate price of $9,244, and 1,416,665</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founder shares to Lynrock at an aggregate</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price of $13,130, and prior to the</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consummation of this offering to transfer</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5,000 founder shares to Christine Marshall,</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our Chief Financial Officer, solely in</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consideration of future services to us, thus</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reducing its holding to 6,053,167 founder</w:t>
            </w:r>
          </w:p>
        </w:tc>
      </w:tr>
      <w:tr>
        <w:trPr>
          <w:trHeight w:val="199"/>
        </w:trPr>
        <w:tc>
          <w:tcPr>
            <w:tcW w:w="384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shares</w:t>
            </w:r>
          </w:p>
        </w:tc>
      </w:tr>
      <w:tr>
        <w:trPr>
          <w:trHeight w:val="251"/>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Number of private placement units</w:t>
            </w: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95,200 private placement units to be</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purchased pursuant to the Unit Purchase</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Agreement simultaneously with the closing</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of this offering (including if the</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underwriters’ over-allotment option is</w:t>
            </w:r>
          </w:p>
        </w:tc>
      </w:tr>
      <w:tr>
        <w:trPr>
          <w:trHeight w:val="199"/>
        </w:trPr>
        <w:tc>
          <w:tcPr>
            <w:tcW w:w="384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exercised in full)</w:t>
            </w:r>
          </w:p>
        </w:tc>
      </w:tr>
      <w:tr>
        <w:trPr>
          <w:trHeight w:val="251"/>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Office space and general and administrative services</w:t>
            </w: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Office space, administrative and shared</w:t>
            </w:r>
          </w:p>
        </w:tc>
      </w:tr>
      <w:tr>
        <w:trPr>
          <w:trHeight w:val="199"/>
        </w:trPr>
        <w:tc>
          <w:tcPr>
            <w:tcW w:w="384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personnel support services</w:t>
            </w:r>
          </w:p>
        </w:tc>
      </w:tr>
      <w:tr>
        <w:trPr>
          <w:trHeight w:val="284"/>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Compensation to Chief Financial Officer</w:t>
            </w: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Up to $15,000 per month</w:t>
            </w:r>
          </w:p>
        </w:tc>
      </w:tr>
      <w:tr>
        <w:trPr>
          <w:trHeight w:val="440"/>
        </w:trPr>
        <w:tc>
          <w:tcPr>
            <w:tcW w:w="38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5,000 founder shares, subject to forfeiture to</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the sponsor if Ms. Marshall resigns or is</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removed for cause from her position with the</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Company prior to consummation of our</w:t>
            </w:r>
          </w:p>
        </w:tc>
      </w:tr>
      <w:tr>
        <w:trPr>
          <w:trHeight w:val="199"/>
        </w:trPr>
        <w:tc>
          <w:tcPr>
            <w:tcW w:w="384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initial business combination</w:t>
            </w:r>
          </w:p>
        </w:tc>
      </w:tr>
      <w:tr>
        <w:trPr>
          <w:trHeight w:val="272"/>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Promissory Note</w:t>
            </w: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Up to $100,000 in loans</w:t>
            </w:r>
          </w:p>
        </w:tc>
      </w:tr>
      <w:tr>
        <w:trPr>
          <w:trHeight w:val="606"/>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Working Capital Loans</w:t>
            </w: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Up to $1,500,000 in working capital loans,</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which loans may be convertible into private</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placement units at a price of $10.00 per unit</w:t>
            </w:r>
          </w:p>
        </w:tc>
      </w:tr>
      <w:tr>
        <w:trPr>
          <w:trHeight w:val="199"/>
        </w:trPr>
        <w:tc>
          <w:tcPr>
            <w:tcW w:w="384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at the option of the lender</w:t>
            </w:r>
            <w:r>
              <w:rPr>
                <w:rFonts w:ascii="Times New Roman" w:cs="Times New Roman" w:eastAsia="Times New Roman" w:hAnsi="Times New Roman"/>
                <w:sz w:val="9"/>
                <w:szCs w:val="9"/>
                <w:color w:val="auto"/>
              </w:rPr>
              <w:t>(1)</w:t>
            </w:r>
          </w:p>
        </w:tc>
      </w:tr>
      <w:tr>
        <w:trPr>
          <w:trHeight w:val="251"/>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Expense reimbursement</w:t>
            </w: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Services in connection with identifying,</w:t>
            </w:r>
          </w:p>
        </w:tc>
      </w:tr>
      <w:tr>
        <w:trPr>
          <w:trHeight w:val="178"/>
        </w:trPr>
        <w:tc>
          <w:tcPr>
            <w:tcW w:w="384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investigating and completing an initial</w:t>
            </w:r>
          </w:p>
        </w:tc>
      </w:tr>
      <w:tr>
        <w:trPr>
          <w:trHeight w:val="199"/>
        </w:trPr>
        <w:tc>
          <w:tcPr>
            <w:tcW w:w="384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business combination</w:t>
            </w:r>
          </w:p>
        </w:tc>
      </w:tr>
      <w:tr>
        <w:trPr>
          <w:trHeight w:val="425"/>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Anti-dilution protection upon conversion of Class B</w:t>
            </w: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Anti-dilution protection upon conversion into</w:t>
            </w:r>
          </w:p>
        </w:tc>
      </w:tr>
      <w:tr>
        <w:trPr>
          <w:trHeight w:val="182"/>
        </w:trPr>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ordinary shares</w:t>
            </w: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Class A ordinary shares at a greater than</w:t>
            </w:r>
          </w:p>
        </w:tc>
      </w:tr>
      <w:tr>
        <w:trPr>
          <w:trHeight w:val="199"/>
        </w:trPr>
        <w:tc>
          <w:tcPr>
            <w:tcW w:w="384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one-to-one ratio</w:t>
            </w:r>
          </w:p>
        </w:tc>
      </w:tr>
    </w:tbl>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i w:val="1"/>
          <w:iCs w:val="1"/>
          <w:color w:val="auto"/>
        </w:rPr>
        <w:t>Price Paid or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$927,000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$30,000 per month</w:t>
      </w:r>
    </w:p>
    <w:p>
      <w:pPr>
        <w:spacing w:after="0" w:line="28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5"/>
          <w:szCs w:val="15"/>
          <w:color w:val="auto"/>
        </w:rPr>
        <w:t>Monthly payments to Chief Financial Officer</w:t>
      </w:r>
    </w:p>
    <w:p>
      <w:pPr>
        <w:spacing w:after="0" w:line="54"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5"/>
          <w:szCs w:val="15"/>
          <w:color w:val="auto"/>
        </w:rPr>
        <w:t>Future services as Chief Financial Officer</w:t>
      </w:r>
    </w:p>
    <w:p>
      <w:pPr>
        <w:spacing w:after="0" w:line="200" w:lineRule="exact"/>
        <w:rPr>
          <w:sz w:val="20"/>
          <w:szCs w:val="20"/>
          <w:color w:val="auto"/>
        </w:rPr>
      </w:pPr>
    </w:p>
    <w:p>
      <w:pPr>
        <w:spacing w:after="0" w:line="3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Repayment of loans made to us to cover offering related and organizational expenses</w:t>
      </w:r>
    </w:p>
    <w:p>
      <w:pPr>
        <w:spacing w:after="0" w:line="5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5"/>
          <w:szCs w:val="15"/>
          <w:color w:val="auto"/>
        </w:rPr>
        <w:t>Working capital loans to finance transaction costs in connection with an initial business combination</w:t>
      </w:r>
    </w:p>
    <w:p>
      <w:pPr>
        <w:spacing w:after="0" w:line="23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color w:val="auto"/>
        </w:rPr>
        <w:t>Reimbursement for any out-of-pocket expenses related to identifying, investigating and completing an initial business combination</w:t>
      </w:r>
    </w:p>
    <w:p>
      <w:pPr>
        <w:spacing w:after="0" w:line="6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5"/>
          <w:szCs w:val="15"/>
          <w:color w:val="auto"/>
        </w:rPr>
        <w:t>Issuance of the Class A ordinary shares issuable in connection with the conversion of the founder shares on a greater than one-to-one basis upon conversion</w:t>
      </w:r>
    </w:p>
    <w:p>
      <w:pPr>
        <w:spacing w:after="0" w:line="200" w:lineRule="exact"/>
        <w:rPr>
          <w:sz w:val="20"/>
          <w:szCs w:val="20"/>
          <w:color w:val="auto"/>
        </w:rPr>
      </w:pPr>
    </w:p>
    <w:p>
      <w:pPr>
        <w:sectPr>
          <w:pgSz w:w="11900" w:h="16840" w:orient="portrait"/>
          <w:cols w:equalWidth="0" w:num="2">
            <w:col w:w="7260" w:space="180"/>
            <w:col w:w="2460"/>
          </w:cols>
          <w:pgMar w:left="660" w:top="874" w:right="1340" w:bottom="1440" w:gutter="0" w:footer="0" w:header="0"/>
          <w:type w:val="continuous"/>
        </w:sectPr>
      </w:pPr>
    </w:p>
    <w:p>
      <w:pPr>
        <w:spacing w:after="0" w:line="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32</w:t>
      </w:r>
    </w:p>
    <w:p>
      <w:pPr>
        <w:sectPr>
          <w:pgSz w:w="11900" w:h="16840" w:orient="portrait"/>
          <w:cols w:equalWidth="0" w:num="1">
            <w:col w:w="9900"/>
          </w:cols>
          <w:pgMar w:left="660" w:top="874" w:right="1340" w:bottom="1440" w:gutter="0" w:footer="0" w:header="0"/>
          <w:type w:val="continuous"/>
        </w:sectPr>
      </w:pPr>
    </w:p>
    <w:bookmarkStart w:id="43" w:name="page44"/>
    <w:bookmarkEnd w:id="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482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37275" cy="448246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80" w:hanging="371"/>
        <w:spacing w:after="0" w:line="258" w:lineRule="auto"/>
        <w:tabs>
          <w:tab w:leader="none" w:pos="9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After the completion of this offering, our board of directors may approve working capital loans for the purpose of funding working capital, which loans may be converted into our private placement units. </w:t>
      </w:r>
      <w:r>
        <w:rPr>
          <w:rFonts w:ascii="Times New Roman" w:cs="Times New Roman" w:eastAsia="Times New Roman" w:hAnsi="Times New Roman"/>
          <w:sz w:val="15"/>
          <w:szCs w:val="15"/>
          <w:b w:val="1"/>
          <w:bCs w:val="1"/>
          <w:color w:val="auto"/>
        </w:rPr>
        <w:t>See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Risk Factors — Risks Relating to our Search for, and Consummation of or</w:t>
      </w:r>
    </w:p>
    <w:p>
      <w:pPr>
        <w:ind w:left="980" w:right="120"/>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Inability to Consummate, a Business Combination — We may issue additional ordinary or preferred shares to complete our initial business combination or under an employee incentive plan upon or after consummation of our initial business combination, which would dilute the interest of our shareholders and likely present other risks. </w:t>
      </w:r>
      <w:r>
        <w:rPr>
          <w:rFonts w:ascii="Times New Roman" w:cs="Times New Roman" w:eastAsia="Times New Roman" w:hAnsi="Times New Roman"/>
          <w:sz w:val="15"/>
          <w:szCs w:val="15"/>
          <w:b w:val="1"/>
          <w:bCs w:val="1"/>
          <w:color w:val="auto"/>
        </w:rPr>
        <w:t>” and</w:t>
      </w:r>
      <w:r>
        <w:rPr>
          <w:rFonts w:ascii="Times New Roman" w:cs="Times New Roman" w:eastAsia="Times New Roman" w:hAnsi="Times New Roman"/>
          <w:sz w:val="15"/>
          <w:szCs w:val="15"/>
          <w:b w:val="1"/>
          <w:bCs w:val="1"/>
          <w:i w:val="1"/>
          <w:iCs w:val="1"/>
          <w:color w:val="auto"/>
        </w:rPr>
        <w:t xml:space="preserve"> “Risks Relating to our Securities — Unlike some other similarly structured blank check companies, our sponsor will receive additional Class A ordinary shares if we issue shares to consummate an initial business combination.</w:t>
      </w:r>
      <w:r>
        <w:rPr>
          <w:rFonts w:ascii="Times New Roman" w:cs="Times New Roman" w:eastAsia="Times New Roman" w:hAnsi="Times New Roman"/>
          <w:sz w:val="15"/>
          <w:szCs w:val="15"/>
          <w:b w:val="1"/>
          <w:bCs w:val="1"/>
          <w:color w:val="auto"/>
        </w:rPr>
        <w:t>”</w:t>
      </w:r>
    </w:p>
    <w:p>
      <w:pPr>
        <w:spacing w:after="0" w:line="88" w:lineRule="exact"/>
        <w:rPr>
          <w:sz w:val="20"/>
          <w:szCs w:val="20"/>
          <w:color w:val="auto"/>
        </w:rPr>
      </w:pPr>
    </w:p>
    <w:p>
      <w:pPr>
        <w:ind w:left="4160" w:right="20"/>
        <w:spacing w:after="0" w:line="250" w:lineRule="auto"/>
        <w:rPr>
          <w:sz w:val="20"/>
          <w:szCs w:val="20"/>
          <w:color w:val="auto"/>
        </w:rPr>
      </w:pPr>
      <w:r>
        <w:rPr>
          <w:rFonts w:ascii="Times New Roman" w:cs="Times New Roman" w:eastAsia="Times New Roman" w:hAnsi="Times New Roman"/>
          <w:sz w:val="15"/>
          <w:szCs w:val="15"/>
          <w:color w:val="auto"/>
        </w:rPr>
        <w:t>As described below adjacent to the caption “</w:t>
      </w:r>
      <w:r>
        <w:rPr>
          <w:rFonts w:ascii="Times New Roman" w:cs="Times New Roman" w:eastAsia="Times New Roman" w:hAnsi="Times New Roman"/>
          <w:sz w:val="15"/>
          <w:szCs w:val="15"/>
          <w:i w:val="1"/>
          <w:iCs w:val="1"/>
          <w:color w:val="auto"/>
        </w:rPr>
        <w:t>Conversion of founder shares and private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investor shares and anti-dilution rights</w:t>
      </w:r>
      <w:r>
        <w:rPr>
          <w:rFonts w:ascii="Times New Roman" w:cs="Times New Roman" w:eastAsia="Times New Roman" w:hAnsi="Times New Roman"/>
          <w:sz w:val="15"/>
          <w:szCs w:val="15"/>
          <w:color w:val="auto"/>
        </w:rPr>
        <w:t>” the founder shares and Class A ordinary shares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issuable in connection with the conversion of the founder shares may result in material dilution to our public shareholders due to the nominal price of $0.000434 per founder share at which our sponsor purchased the founder shares (or $0.02462 per founder share paid by four of our directors for the founder shares, $0.00927 per founder share payable by Lynrock or $0.023254 per private investor share payable by non-managing investors) and/or the anti-dilution rights of our founder shares and private placement shares that may result in an issuance of Class A ordinary shares on a greater than one-to- one basis upon conversion. Our sponsor or its affiliates may receive additional compensation and/or may be issued additional securities in connection with an initial business combination, including securities that may result in material dilution to public shareholders. For more information also see below adjacent to the caption “</w:t>
      </w:r>
      <w:r>
        <w:rPr>
          <w:rFonts w:ascii="Times New Roman" w:cs="Times New Roman" w:eastAsia="Times New Roman" w:hAnsi="Times New Roman"/>
          <w:sz w:val="15"/>
          <w:szCs w:val="15"/>
          <w:i w:val="1"/>
          <w:iCs w:val="1"/>
          <w:color w:val="auto"/>
        </w:rPr>
        <w:t>Limited payments to insiders</w:t>
      </w:r>
      <w:r>
        <w:rPr>
          <w:rFonts w:ascii="Times New Roman" w:cs="Times New Roman" w:eastAsia="Times New Roman" w:hAnsi="Times New Roman"/>
          <w:sz w:val="15"/>
          <w:szCs w:val="15"/>
          <w:color w:val="auto"/>
        </w:rPr>
        <w:t>.”</w:t>
      </w:r>
    </w:p>
    <w:p>
      <w:pPr>
        <w:spacing w:after="0" w:line="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Transfer restrictions applicable to founder shares, private Except with respect to permitted transferees as described herein under “</w:t>
      </w:r>
      <w:r>
        <w:rPr>
          <w:rFonts w:ascii="Times New Roman" w:cs="Times New Roman" w:eastAsia="Times New Roman" w:hAnsi="Times New Roman"/>
          <w:sz w:val="15"/>
          <w:szCs w:val="15"/>
          <w:i w:val="1"/>
          <w:iCs w:val="1"/>
          <w:color w:val="auto"/>
        </w:rPr>
        <w:t>Principal</w:t>
      </w:r>
    </w:p>
    <w:p>
      <w:pPr>
        <w:spacing w:after="0" w:line="25" w:lineRule="exact"/>
        <w:rPr>
          <w:sz w:val="20"/>
          <w:szCs w:val="20"/>
          <w:color w:val="auto"/>
        </w:rPr>
      </w:pPr>
    </w:p>
    <w:p>
      <w:pPr>
        <w:ind w:left="660"/>
        <w:spacing w:after="0"/>
        <w:tabs>
          <w:tab w:leader="none" w:pos="4140" w:val="left"/>
        </w:tabs>
        <w:rPr>
          <w:sz w:val="20"/>
          <w:szCs w:val="20"/>
          <w:color w:val="auto"/>
        </w:rPr>
      </w:pPr>
      <w:r>
        <w:rPr>
          <w:rFonts w:ascii="Times New Roman" w:cs="Times New Roman" w:eastAsia="Times New Roman" w:hAnsi="Times New Roman"/>
          <w:sz w:val="15"/>
          <w:szCs w:val="15"/>
          <w:color w:val="auto"/>
        </w:rPr>
        <w:t>placement units, private investor shares, private</w:t>
      </w:r>
      <w:r>
        <w:rPr>
          <w:sz w:val="20"/>
          <w:szCs w:val="20"/>
          <w:color w:val="auto"/>
        </w:rPr>
        <w:tab/>
      </w:r>
      <w:r>
        <w:rPr>
          <w:rFonts w:ascii="Times New Roman" w:cs="Times New Roman" w:eastAsia="Times New Roman" w:hAnsi="Times New Roman"/>
          <w:sz w:val="15"/>
          <w:szCs w:val="15"/>
          <w:i w:val="1"/>
          <w:iCs w:val="1"/>
          <w:color w:val="auto"/>
        </w:rPr>
        <w:t>Shareholders</w:t>
      </w:r>
      <w:r>
        <w:rPr>
          <w:rFonts w:ascii="Times New Roman" w:cs="Times New Roman" w:eastAsia="Times New Roman" w:hAnsi="Times New Roman"/>
          <w:sz w:val="15"/>
          <w:szCs w:val="15"/>
          <w:color w:val="auto"/>
        </w:rPr>
        <w:t>,” our initial shareholders have agreed not to transfer, assign or sell any of their</w:t>
      </w:r>
    </w:p>
    <w:p>
      <w:pPr>
        <w:spacing w:after="0" w:line="5" w:lineRule="exact"/>
        <w:rPr>
          <w:sz w:val="20"/>
          <w:szCs w:val="20"/>
          <w:color w:val="auto"/>
        </w:rPr>
      </w:pPr>
    </w:p>
    <w:p>
      <w:pPr>
        <w:ind w:left="660"/>
        <w:spacing w:after="0"/>
        <w:tabs>
          <w:tab w:leader="none" w:pos="4140" w:val="left"/>
        </w:tabs>
        <w:rPr>
          <w:sz w:val="20"/>
          <w:szCs w:val="20"/>
          <w:color w:val="auto"/>
        </w:rPr>
      </w:pPr>
      <w:r>
        <w:rPr>
          <w:rFonts w:ascii="Times New Roman" w:cs="Times New Roman" w:eastAsia="Times New Roman" w:hAnsi="Times New Roman"/>
          <w:sz w:val="15"/>
          <w:szCs w:val="15"/>
          <w:color w:val="auto"/>
        </w:rPr>
        <w:t>placement shares and private placement rights (and</w:t>
      </w:r>
      <w:r>
        <w:rPr>
          <w:sz w:val="20"/>
          <w:szCs w:val="20"/>
          <w:color w:val="auto"/>
        </w:rPr>
        <w:tab/>
      </w:r>
      <w:r>
        <w:rPr>
          <w:rFonts w:ascii="Times New Roman" w:cs="Times New Roman" w:eastAsia="Times New Roman" w:hAnsi="Times New Roman"/>
          <w:sz w:val="15"/>
          <w:szCs w:val="15"/>
          <w:color w:val="auto"/>
        </w:rPr>
        <w:t>respective founder shares and private investor shares until the earlier of (A) six months after</w:t>
      </w:r>
    </w:p>
    <w:p>
      <w:pPr>
        <w:spacing w:after="0" w:line="5" w:lineRule="exact"/>
        <w:rPr>
          <w:sz w:val="20"/>
          <w:szCs w:val="20"/>
          <w:color w:val="auto"/>
        </w:rPr>
      </w:pPr>
    </w:p>
    <w:p>
      <w:pPr>
        <w:ind w:left="660"/>
        <w:spacing w:after="0"/>
        <w:tabs>
          <w:tab w:leader="none" w:pos="4140" w:val="left"/>
        </w:tabs>
        <w:rPr>
          <w:sz w:val="20"/>
          <w:szCs w:val="20"/>
          <w:color w:val="auto"/>
        </w:rPr>
      </w:pPr>
      <w:r>
        <w:rPr>
          <w:rFonts w:ascii="Times New Roman" w:cs="Times New Roman" w:eastAsia="Times New Roman" w:hAnsi="Times New Roman"/>
          <w:sz w:val="15"/>
          <w:szCs w:val="15"/>
          <w:color w:val="auto"/>
        </w:rPr>
        <w:t>shares into which the rights convert)</w:t>
      </w:r>
      <w:r>
        <w:rPr>
          <w:sz w:val="20"/>
          <w:szCs w:val="20"/>
          <w:color w:val="auto"/>
        </w:rPr>
        <w:tab/>
      </w:r>
      <w:r>
        <w:rPr>
          <w:rFonts w:ascii="Times New Roman" w:cs="Times New Roman" w:eastAsia="Times New Roman" w:hAnsi="Times New Roman"/>
          <w:sz w:val="15"/>
          <w:szCs w:val="15"/>
          <w:color w:val="auto"/>
        </w:rPr>
        <w:t>the date of the consummation of our initial business combination or (B) subsequent to our</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initial business combination, (x) the date on which the last sale price of our ordinary shares</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equals or exceeds $11.50 per share (as adjusted for share divisions, share dividends,</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reorganizations, recapitalizations and the like) for any 20 trading days within any 30-trading</w:t>
      </w:r>
    </w:p>
    <w:p>
      <w:pPr>
        <w:spacing w:after="0" w:line="5" w:lineRule="exact"/>
        <w:rPr>
          <w:sz w:val="20"/>
          <w:szCs w:val="20"/>
          <w:color w:val="auto"/>
        </w:rPr>
      </w:pPr>
    </w:p>
    <w:p>
      <w:pPr>
        <w:ind w:left="4160" w:right="40"/>
        <w:spacing w:after="0" w:line="249" w:lineRule="auto"/>
        <w:rPr>
          <w:sz w:val="20"/>
          <w:szCs w:val="20"/>
          <w:color w:val="auto"/>
        </w:rPr>
      </w:pPr>
      <w:r>
        <w:rPr>
          <w:rFonts w:ascii="Times New Roman" w:cs="Times New Roman" w:eastAsia="Times New Roman" w:hAnsi="Times New Roman"/>
          <w:sz w:val="15"/>
          <w:szCs w:val="15"/>
          <w:color w:val="auto"/>
        </w:rPr>
        <w:t>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their private placement units, private placement shares, private placement rights and shares issued upon conversion of the private placement rights until thirty days after the consummation of the initial business combination.</w:t>
      </w:r>
    </w:p>
    <w:p>
      <w:pPr>
        <w:spacing w:after="0" w:line="93" w:lineRule="exact"/>
        <w:rPr>
          <w:sz w:val="20"/>
          <w:szCs w:val="20"/>
          <w:color w:val="auto"/>
        </w:rPr>
      </w:pPr>
    </w:p>
    <w:p>
      <w:pPr>
        <w:ind w:left="4160" w:right="40"/>
        <w:spacing w:after="0" w:line="284" w:lineRule="auto"/>
        <w:rPr>
          <w:sz w:val="20"/>
          <w:szCs w:val="20"/>
          <w:color w:val="auto"/>
        </w:rPr>
      </w:pPr>
      <w:r>
        <w:rPr>
          <w:rFonts w:ascii="Times New Roman" w:cs="Times New Roman" w:eastAsia="Times New Roman" w:hAnsi="Times New Roman"/>
          <w:sz w:val="15"/>
          <w:szCs w:val="15"/>
          <w:color w:val="auto"/>
        </w:rPr>
        <w:t>Notwithstanding the foregoing, the lock-up period of the non-managing investors shall not be longer than the sponsor’s lock-up</w:t>
      </w:r>
    </w:p>
    <w:p>
      <w:pPr>
        <w:spacing w:after="0" w:line="2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33</w:t>
      </w:r>
    </w:p>
    <w:p>
      <w:pPr>
        <w:sectPr>
          <w:pgSz w:w="11900" w:h="16840" w:orient="portrait"/>
          <w:cols w:equalWidth="0" w:num="1">
            <w:col w:w="9940"/>
          </w:cols>
          <w:pgMar w:left="660" w:top="874" w:right="1300" w:bottom="1440" w:gutter="0" w:footer="0" w:header="0"/>
        </w:sectPr>
      </w:pPr>
    </w:p>
    <w:bookmarkStart w:id="44" w:name="page45"/>
    <w:bookmarkEnd w:id="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4151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37275" cy="4415155"/>
                    </a:xfrm>
                    <a:prstGeom prst="rect">
                      <a:avLst/>
                    </a:prstGeom>
                    <a:noFill/>
                  </pic:spPr>
                </pic:pic>
              </a:graphicData>
            </a:graphic>
          </wp:anchor>
        </w:drawing>
      </w:r>
    </w:p>
    <w:p>
      <w:pPr>
        <w:sectPr>
          <w:pgSz w:w="11900" w:h="16840" w:orient="portrait"/>
          <w:cols w:equalWidth="0" w:num="1">
            <w:col w:w="9940"/>
          </w:cols>
          <w:pgMar w:left="660" w:top="874" w:right="13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58"/>
        <w:spacing w:after="0" w:line="284" w:lineRule="auto"/>
        <w:rPr>
          <w:sz w:val="20"/>
          <w:szCs w:val="20"/>
          <w:color w:val="auto"/>
        </w:rPr>
      </w:pPr>
      <w:r>
        <w:rPr>
          <w:rFonts w:ascii="Times New Roman" w:cs="Times New Roman" w:eastAsia="Times New Roman" w:hAnsi="Times New Roman"/>
          <w:sz w:val="15"/>
          <w:szCs w:val="15"/>
          <w:color w:val="auto"/>
        </w:rPr>
        <w:t>Conversion of founder shares and private investor shares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10" w:right="20"/>
        <w:spacing w:after="0" w:line="251" w:lineRule="auto"/>
        <w:rPr>
          <w:sz w:val="20"/>
          <w:szCs w:val="20"/>
          <w:color w:val="auto"/>
        </w:rPr>
      </w:pPr>
      <w:r>
        <w:rPr>
          <w:rFonts w:ascii="Times New Roman" w:cs="Times New Roman" w:eastAsia="Times New Roman" w:hAnsi="Times New Roman"/>
          <w:sz w:val="15"/>
          <w:szCs w:val="15"/>
          <w:color w:val="auto"/>
        </w:rPr>
        <w:t>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lock-up period or terminated, as the case may be. Further, if any such securityholder is released from the lock-up period subsequent to the consummation of an initial business combination, the company shall release the private investor shares, private placement shares and shares issued upon conversion of the private placement rights held by the non-managing investors from the lock-up provisions.</w:t>
      </w:r>
    </w:p>
    <w:p>
      <w:pPr>
        <w:spacing w:after="0" w:line="103" w:lineRule="exact"/>
        <w:rPr>
          <w:sz w:val="20"/>
          <w:szCs w:val="20"/>
          <w:color w:val="auto"/>
        </w:rPr>
      </w:pPr>
    </w:p>
    <w:p>
      <w:pPr>
        <w:ind w:left="10" w:right="120"/>
        <w:spacing w:after="0" w:line="256" w:lineRule="auto"/>
        <w:rPr>
          <w:sz w:val="20"/>
          <w:szCs w:val="20"/>
          <w:color w:val="auto"/>
        </w:rPr>
      </w:pPr>
      <w:r>
        <w:rPr>
          <w:rFonts w:ascii="Times New Roman" w:cs="Times New Roman" w:eastAsia="Times New Roman" w:hAnsi="Times New Roman"/>
          <w:sz w:val="15"/>
          <w:szCs w:val="15"/>
          <w:color w:val="auto"/>
        </w:rPr>
        <w:t>Any permitted transferees would be subject to the same restrictions and other agreements of our initial shareholders with respect to any founder shares, private investor shares, private placement units, private placement shares, private placement rights and shares issued upon conversion of the private placement rights. We refer to such transfer restrictions throughout this prospectus as the “lock-up.”</w:t>
      </w:r>
    </w:p>
    <w:p>
      <w:pPr>
        <w:spacing w:after="0" w:line="87" w:lineRule="exact"/>
        <w:rPr>
          <w:sz w:val="20"/>
          <w:szCs w:val="20"/>
          <w:color w:val="auto"/>
        </w:rPr>
      </w:pPr>
    </w:p>
    <w:p>
      <w:pPr>
        <w:ind w:left="10"/>
        <w:spacing w:after="0" w:line="249" w:lineRule="auto"/>
        <w:rPr>
          <w:sz w:val="20"/>
          <w:szCs w:val="20"/>
          <w:color w:val="auto"/>
        </w:rPr>
      </w:pPr>
      <w:r>
        <w:rPr>
          <w:rFonts w:ascii="Times New Roman" w:cs="Times New Roman" w:eastAsia="Times New Roman" w:hAnsi="Times New Roman"/>
          <w:sz w:val="15"/>
          <w:szCs w:val="15"/>
          <w:color w:val="auto"/>
        </w:rPr>
        <w:t>Subject to adjustment for share sub-divisions, share capitalizations, reorganizations, recapitalizations and the like, and subject to further adjustment as provided herein, the founder shares and private investor shares, which are designated as Class B ordinary shares, will be convertible at the option of the holder on a one- for-one basis or will automatically convert into Class A ordinary shares concurrently with or immediately following the consummation of our initial business combination at a ratio such that the number of Class A ordinary shares issuable upon conversion of all founder shares and private investor shares will equal, in the aggregate, on an as -converted basis,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w:t>
      </w:r>
    </w:p>
    <w:p>
      <w:pPr>
        <w:spacing w:after="0" w:line="2" w:lineRule="exact"/>
        <w:rPr>
          <w:sz w:val="20"/>
          <w:szCs w:val="20"/>
          <w:color w:val="auto"/>
        </w:rPr>
      </w:pPr>
    </w:p>
    <w:p>
      <w:pPr>
        <w:ind w:left="10" w:right="120" w:hanging="10"/>
        <w:spacing w:after="0" w:line="248" w:lineRule="auto"/>
        <w:tabs>
          <w:tab w:leader="none" w:pos="2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200" w:lineRule="exact"/>
        <w:rPr>
          <w:sz w:val="20"/>
          <w:szCs w:val="20"/>
          <w:color w:val="auto"/>
        </w:rPr>
      </w:pPr>
    </w:p>
    <w:p>
      <w:pPr>
        <w:sectPr>
          <w:pgSz w:w="11900" w:h="16840" w:orient="portrait"/>
          <w:cols w:equalWidth="0" w:num="2">
            <w:col w:w="4100" w:space="50"/>
            <w:col w:w="5790"/>
          </w:cols>
          <w:pgMar w:left="660" w:top="874" w:right="1300" w:bottom="1440" w:gutter="0" w:footer="0" w:header="0"/>
          <w:type w:val="continuous"/>
        </w:sectPr>
      </w:pPr>
    </w:p>
    <w:p>
      <w:pPr>
        <w:spacing w:after="0" w:line="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34</w:t>
      </w:r>
    </w:p>
    <w:p>
      <w:pPr>
        <w:sectPr>
          <w:pgSz w:w="11900" w:h="16840" w:orient="portrait"/>
          <w:cols w:equalWidth="0" w:num="1">
            <w:col w:w="9940"/>
          </w:cols>
          <w:pgMar w:left="660" w:top="874" w:right="1300" w:bottom="1440" w:gutter="0" w:footer="0" w:header="0"/>
          <w:type w:val="continuous"/>
        </w:sectPr>
      </w:pPr>
    </w:p>
    <w:bookmarkStart w:id="45" w:name="page46"/>
    <w:bookmarkEnd w:id="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106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37275" cy="4106545"/>
                    </a:xfrm>
                    <a:prstGeom prst="rect">
                      <a:avLst/>
                    </a:prstGeom>
                    <a:noFill/>
                  </pic:spPr>
                </pic:pic>
              </a:graphicData>
            </a:graphic>
          </wp:anchor>
        </w:drawing>
      </w:r>
    </w:p>
    <w:p>
      <w:pPr>
        <w:sectPr>
          <w:pgSz w:w="11900" w:h="16840" w:orient="portrait"/>
          <w:cols w:equalWidth="0" w:num="1">
            <w:col w:w="9960"/>
          </w:cols>
          <w:pgMar w:left="660" w:top="874"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58"/>
        <w:spacing w:after="0" w:line="284" w:lineRule="auto"/>
        <w:rPr>
          <w:sz w:val="20"/>
          <w:szCs w:val="20"/>
          <w:color w:val="auto"/>
        </w:rPr>
      </w:pPr>
      <w:r>
        <w:rPr>
          <w:rFonts w:ascii="Times New Roman" w:cs="Times New Roman" w:eastAsia="Times New Roman" w:hAnsi="Times New Roman"/>
          <w:sz w:val="15"/>
          <w:szCs w:val="15"/>
          <w:color w:val="auto"/>
        </w:rPr>
        <w:t>Voting arrangements with our sponsor, non-managing investors and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5"/>
          <w:szCs w:val="15"/>
          <w:color w:val="auto"/>
        </w:rPr>
        <w:t>Our sponsor, officers and directors will each enter into a letter agreement with us, pursuant to which they will agree: (1)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 from the closing of this offering; and (3) to waive their redemption rights with respect to their founder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 shareholders’ rights or pre-business combination activity. The non- managing investors have entered into written subscription agreements, pursuant to which they have agreed: (1) to waive their redemption rights with respect to their private investor shares and private placement shares held by them in connection with the consummation of our initial business combination or a tender offer conducted prior to a business combination or in connection with it; (2) to waive their rights to liquidating distributions from the trust account with respect to their private investor shares and private placement shares if we fail to complete our initial business combination within 24 months from the closing of this offering; and (3) to waive their redemption rights with respect to their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 shareholders’ rights or pre- business combination activity. Notwithstanding the foregoing, our initial shareholders will be entitled to liquidating distributions from the trust account with respect to any public shares purchased in this offering or on the open market after the completion of this offering if we fail to complete our initial business combination within the prescribed time frame.</w:t>
      </w:r>
    </w:p>
    <w:p>
      <w:pPr>
        <w:spacing w:after="0" w:line="200" w:lineRule="exact"/>
        <w:rPr>
          <w:sz w:val="20"/>
          <w:szCs w:val="20"/>
          <w:color w:val="auto"/>
        </w:rPr>
      </w:pPr>
    </w:p>
    <w:p>
      <w:pPr>
        <w:sectPr>
          <w:pgSz w:w="11900" w:h="16840" w:orient="portrait"/>
          <w:cols w:equalWidth="0" w:num="2">
            <w:col w:w="3920" w:space="240"/>
            <w:col w:w="5800"/>
          </w:cols>
          <w:pgMar w:left="660" w:top="874" w:right="1280" w:bottom="1440" w:gutter="0" w:footer="0" w:header="0"/>
          <w:type w:val="continuous"/>
        </w:sectPr>
      </w:pPr>
    </w:p>
    <w:p>
      <w:pPr>
        <w:spacing w:after="0" w:line="9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35</w:t>
      </w:r>
    </w:p>
    <w:p>
      <w:pPr>
        <w:sectPr>
          <w:pgSz w:w="11900" w:h="16840" w:orient="portrait"/>
          <w:cols w:equalWidth="0" w:num="1">
            <w:col w:w="9960"/>
          </w:cols>
          <w:pgMar w:left="660" w:top="874" w:right="1280" w:bottom="1440" w:gutter="0" w:footer="0" w:header="0"/>
          <w:type w:val="continuous"/>
        </w:sectPr>
      </w:pPr>
    </w:p>
    <w:bookmarkStart w:id="46" w:name="page47"/>
    <w:bookmarkEnd w:id="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470" w:type="dxa"/>
        <w:tblCellMar>
          <w:top w:w="0" w:type="dxa"/>
          <w:left w:w="0" w:type="dxa"/>
          <w:bottom w:w="0" w:type="dxa"/>
          <w:right w:w="0" w:type="dxa"/>
        </w:tblCellMar>
      </w:tblPr>
      <w:tr>
        <w:trPr>
          <w:trHeight w:val="321"/>
        </w:trPr>
        <w:tc>
          <w:tcPr>
            <w:tcW w:w="2600" w:type="dxa"/>
            <w:vAlign w:val="bottom"/>
            <w:tcBorders>
              <w:top w:val="single" w:sz="8" w:color="auto"/>
              <w:left w:val="single" w:sz="8" w:color="auto"/>
            </w:tcBorders>
          </w:tcPr>
          <w:p>
            <w:pPr>
              <w:spacing w:after="0"/>
              <w:rPr>
                <w:sz w:val="24"/>
                <w:szCs w:val="24"/>
                <w:color w:val="auto"/>
              </w:rPr>
            </w:pPr>
          </w:p>
        </w:tc>
        <w:tc>
          <w:tcPr>
            <w:tcW w:w="706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Any permitted transferees would be subject to the same restrictions and other agreements as</w:t>
            </w:r>
          </w:p>
        </w:tc>
      </w:tr>
      <w:tr>
        <w:trPr>
          <w:trHeight w:val="199"/>
        </w:trPr>
        <w:tc>
          <w:tcPr>
            <w:tcW w:w="260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the transferor.</w:t>
            </w:r>
          </w:p>
        </w:tc>
      </w:tr>
      <w:tr>
        <w:trPr>
          <w:trHeight w:val="251"/>
        </w:trPr>
        <w:tc>
          <w:tcPr>
            <w:tcW w:w="2600" w:type="dxa"/>
            <w:vAlign w:val="bottom"/>
            <w:tcBorders>
              <w:left w:val="single" w:sz="8" w:color="auto"/>
            </w:tcBorders>
          </w:tcPr>
          <w:p>
            <w:pPr>
              <w:spacing w:after="0"/>
              <w:rPr>
                <w:sz w:val="21"/>
                <w:szCs w:val="21"/>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If we submit an initial business combination to our shareholders for a vote, we will complete</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our initial business combination only if a majority of the ordinary shares, represented in</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person or by proxy and entitled to vote thereon, voted at a shareholder meeting, are voted in</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favor of the business combination. Our initial shareholders have agreed to vote their founder</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shares, private investor shares and private placement shares in favor of such initial business</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combination. However, our sponsor, officers and directors have also agreed to vote any</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public shares they may hold in favor of such initial business combination. As a result, in</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addition to the founder shares, private investor shares and private placement shares that our</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insiders and the non-managing investors have committed to purchase (as described above), we</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would need approximately 6,129,258 public shares, or approximately 27.9% of the</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22,000,000 public shares sold in this offering, to be voted in favor of a transaction (assuming</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all issued and outstanding shares are voted, the over-allotment option is not exercised and</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1,023,943 founder shares and 386,681 private investor shares have been forfeited) in order to</w:t>
            </w:r>
          </w:p>
        </w:tc>
      </w:tr>
      <w:tr>
        <w:trPr>
          <w:trHeight w:val="199"/>
        </w:trPr>
        <w:tc>
          <w:tcPr>
            <w:tcW w:w="260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have such initial business combination approved.</w:t>
            </w:r>
          </w:p>
        </w:tc>
      </w:tr>
      <w:tr>
        <w:trPr>
          <w:trHeight w:val="346"/>
        </w:trPr>
        <w:tc>
          <w:tcPr>
            <w:tcW w:w="2600" w:type="dxa"/>
            <w:vAlign w:val="bottom"/>
            <w:tcBorders>
              <w:left w:val="single" w:sz="8" w:color="auto"/>
            </w:tcBorders>
          </w:tcPr>
          <w:p>
            <w:pPr>
              <w:spacing w:after="0"/>
              <w:rPr>
                <w:sz w:val="24"/>
                <w:szCs w:val="24"/>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Assuming that only the holders of one-third of our issued and outstanding ordinary shares,</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representing a quorum under our amended and restated memorandum and articles of</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association, vote their shares, we will not need any public shares in addition to our founder</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shares held by our insiders to be voted in favor of an initial business combination in order to</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approve such initial business combination. In addition, if the non-managing investors</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purchase any public units, and assuming none of them will trade such public units after this</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offering, depending upon the amount of public units purchased by the non-managing</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investors, we may be able to have our initial shareholders approve our initial business</w:t>
            </w:r>
          </w:p>
        </w:tc>
      </w:tr>
      <w:tr>
        <w:trPr>
          <w:trHeight w:val="199"/>
        </w:trPr>
        <w:tc>
          <w:tcPr>
            <w:tcW w:w="260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combination without vote of the other public shareholders.</w:t>
            </w:r>
          </w:p>
        </w:tc>
      </w:tr>
      <w:tr>
        <w:trPr>
          <w:trHeight w:val="275"/>
        </w:trPr>
        <w:tc>
          <w:tcPr>
            <w:tcW w:w="26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Expression of Interest</w:t>
            </w: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None of the non-managing investors have currently expressed to us an interest in purchasing</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any of the public units in this offering and neither us nor the representatives have had</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discussions with any non-managing investors regarding any purchases of public units in this</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offering. However, we expect that some or all of the non-managing investors may seek to</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purchase public units in the offering, but if they do indicate an interest in doing so, that a</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smaller amount of the public units in this offering will be offered by the underwriters to the</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non-managing investors than the amount for which the non-managing investors may express</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an interest. Furthermore, we would not expect any of the non-managing investors to express</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an interest to purchase more than 9.9% of the public units to be sold in this offering. There</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can be no assurance that the non-managing investors will acquire any public units, either</w:t>
            </w:r>
          </w:p>
        </w:tc>
      </w:tr>
      <w:tr>
        <w:trPr>
          <w:trHeight w:val="178"/>
        </w:trPr>
        <w:tc>
          <w:tcPr>
            <w:tcW w:w="2600" w:type="dxa"/>
            <w:vAlign w:val="bottom"/>
            <w:tcBorders>
              <w:left w:val="single" w:sz="8" w:color="auto"/>
            </w:tcBorders>
          </w:tcPr>
          <w:p>
            <w:pPr>
              <w:spacing w:after="0"/>
              <w:rPr>
                <w:sz w:val="15"/>
                <w:szCs w:val="15"/>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directly or indirectly, in this offering, or as to the amount of the public units the non-managing</w:t>
            </w:r>
          </w:p>
        </w:tc>
      </w:tr>
      <w:tr>
        <w:trPr>
          <w:trHeight w:val="199"/>
        </w:trPr>
        <w:tc>
          <w:tcPr>
            <w:tcW w:w="260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5"/>
                <w:szCs w:val="15"/>
                <w:color w:val="auto"/>
              </w:rPr>
              <w:t>investors will retain, if any, prior to</w:t>
            </w:r>
          </w:p>
        </w:tc>
      </w:tr>
      <w:tr>
        <w:trPr>
          <w:trHeight w:val="132"/>
        </w:trPr>
        <w:tc>
          <w:tcPr>
            <w:tcW w:w="2600" w:type="dxa"/>
            <w:vAlign w:val="bottom"/>
            <w:tcBorders>
              <w:left w:val="single" w:sz="8" w:color="auto"/>
              <w:bottom w:val="single" w:sz="8" w:color="auto"/>
            </w:tcBorders>
          </w:tcPr>
          <w:p>
            <w:pPr>
              <w:spacing w:after="0"/>
              <w:rPr>
                <w:sz w:val="11"/>
                <w:szCs w:val="11"/>
                <w:color w:val="auto"/>
              </w:rPr>
            </w:pPr>
          </w:p>
        </w:tc>
        <w:tc>
          <w:tcPr>
            <w:tcW w:w="7060" w:type="dxa"/>
            <w:vAlign w:val="bottom"/>
            <w:tcBorders>
              <w:bottom w:val="single" w:sz="8" w:color="auto"/>
              <w:right w:val="single" w:sz="8" w:color="auto"/>
            </w:tcBorders>
          </w:tcPr>
          <w:p>
            <w:pPr>
              <w:spacing w:after="0"/>
              <w:rPr>
                <w:sz w:val="11"/>
                <w:szCs w:val="11"/>
                <w:color w:val="auto"/>
              </w:rPr>
            </w:pPr>
          </w:p>
        </w:tc>
      </w:tr>
      <w:tr>
        <w:trPr>
          <w:trHeight w:val="334"/>
        </w:trPr>
        <w:tc>
          <w:tcPr>
            <w:tcW w:w="2600" w:type="dxa"/>
            <w:vAlign w:val="bottom"/>
          </w:tcPr>
          <w:p>
            <w:pPr>
              <w:spacing w:after="0"/>
              <w:rPr>
                <w:sz w:val="24"/>
                <w:szCs w:val="24"/>
                <w:color w:val="auto"/>
              </w:rPr>
            </w:pPr>
          </w:p>
        </w:tc>
        <w:tc>
          <w:tcPr>
            <w:tcW w:w="706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36</w:t>
            </w:r>
          </w:p>
        </w:tc>
      </w:tr>
    </w:tbl>
    <w:p>
      <w:pPr>
        <w:sectPr>
          <w:pgSz w:w="11900" w:h="16840" w:orient="portrait"/>
          <w:cols w:equalWidth="0" w:num="1">
            <w:col w:w="10120"/>
          </w:cols>
          <w:pgMar w:left="660" w:top="874" w:right="1120" w:bottom="1440" w:gutter="0" w:footer="0" w:header="0"/>
        </w:sectPr>
      </w:pPr>
    </w:p>
    <w:bookmarkStart w:id="47" w:name="page48"/>
    <w:bookmarkEnd w:id="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482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37275" cy="448246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160"/>
        <w:spacing w:after="0" w:line="248" w:lineRule="auto"/>
        <w:rPr>
          <w:sz w:val="20"/>
          <w:szCs w:val="20"/>
          <w:color w:val="auto"/>
        </w:rPr>
      </w:pPr>
      <w:r>
        <w:rPr>
          <w:rFonts w:ascii="Times New Roman" w:cs="Times New Roman" w:eastAsia="Times New Roman" w:hAnsi="Times New Roman"/>
          <w:sz w:val="15"/>
          <w:szCs w:val="15"/>
          <w:color w:val="auto"/>
        </w:rPr>
        <w:t>or upon the consummation of our initial business combination. In addition, the underwriters have full discretion to allocate the public units to investors and may determine to sell a different number or no public units to the non- 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Nasdaq listing eligibility requirements.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 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w:t>
      </w:r>
    </w:p>
    <w:p>
      <w:pPr>
        <w:spacing w:after="0" w:line="200" w:lineRule="exact"/>
        <w:rPr>
          <w:sz w:val="20"/>
          <w:szCs w:val="20"/>
          <w:color w:val="auto"/>
        </w:rPr>
      </w:pPr>
    </w:p>
    <w:p>
      <w:pPr>
        <w:spacing w:after="0" w:line="2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37</w:t>
      </w:r>
    </w:p>
    <w:p>
      <w:pPr>
        <w:sectPr>
          <w:pgSz w:w="11900" w:h="16840" w:orient="portrait"/>
          <w:cols w:equalWidth="0" w:num="1">
            <w:col w:w="9960"/>
          </w:cols>
          <w:pgMar w:left="660" w:top="874" w:right="1280" w:bottom="1440" w:gutter="0" w:footer="0" w:header="0"/>
        </w:sectPr>
      </w:pPr>
    </w:p>
    <w:bookmarkStart w:id="48" w:name="page49"/>
    <w:bookmarkEnd w:id="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470" w:type="dxa"/>
        <w:tblCellMar>
          <w:top w:w="0" w:type="dxa"/>
          <w:left w:w="0" w:type="dxa"/>
          <w:bottom w:w="0" w:type="dxa"/>
          <w:right w:w="0" w:type="dxa"/>
        </w:tblCellMar>
      </w:tblPr>
      <w:tr>
        <w:trPr>
          <w:trHeight w:val="317"/>
        </w:trPr>
        <w:tc>
          <w:tcPr>
            <w:tcW w:w="3400" w:type="dxa"/>
            <w:vAlign w:val="bottom"/>
            <w:tcBorders>
              <w:top w:val="single" w:sz="8" w:color="auto"/>
              <w:left w:val="single" w:sz="8" w:color="auto"/>
            </w:tcBorders>
          </w:tcPr>
          <w:p>
            <w:pPr>
              <w:spacing w:after="0"/>
              <w:rPr>
                <w:sz w:val="24"/>
                <w:szCs w:val="24"/>
                <w:color w:val="auto"/>
              </w:rPr>
            </w:pPr>
          </w:p>
        </w:tc>
        <w:tc>
          <w:tcPr>
            <w:tcW w:w="626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profitable for other public shareholders. For more information on different interests between</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 xml:space="preserve">the non-managing investors and public shareholders, </w:t>
            </w:r>
            <w:r>
              <w:rPr>
                <w:rFonts w:ascii="Times New Roman" w:cs="Times New Roman" w:eastAsia="Times New Roman" w:hAnsi="Times New Roman"/>
                <w:sz w:val="15"/>
                <w:szCs w:val="15"/>
                <w:b w:val="1"/>
                <w:bCs w:val="1"/>
                <w:color w:val="auto"/>
              </w:rPr>
              <w:t>please see “</w:t>
            </w:r>
            <w:r>
              <w:rPr>
                <w:rFonts w:ascii="Times New Roman" w:cs="Times New Roman" w:eastAsia="Times New Roman" w:hAnsi="Times New Roman"/>
                <w:sz w:val="15"/>
                <w:szCs w:val="15"/>
                <w:b w:val="1"/>
                <w:bCs w:val="1"/>
                <w:i w:val="1"/>
                <w:iCs w:val="1"/>
                <w:color w:val="auto"/>
              </w:rPr>
              <w:t>Risk Factors — Risks</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Relating to Our Search for, and Consummation of or Inability to Consummate, a Business</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Combination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Our management team, the non-managing investors and our sponsor may</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make a profit on any initial business combination, even if any public shareholders who did</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not redeem their shares would experience a loss on that business combination. As a result,</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the economic interests of our management team, the non-managing investors and our</w:t>
            </w:r>
          </w:p>
        </w:tc>
      </w:tr>
      <w:tr>
        <w:trPr>
          <w:trHeight w:val="203"/>
        </w:trPr>
        <w:tc>
          <w:tcPr>
            <w:tcW w:w="3400" w:type="dxa"/>
            <w:vAlign w:val="bottom"/>
            <w:tcBorders>
              <w:left w:val="single" w:sz="8" w:color="auto"/>
            </w:tcBorders>
          </w:tcPr>
          <w:p>
            <w:pPr>
              <w:spacing w:after="0"/>
              <w:rPr>
                <w:sz w:val="17"/>
                <w:szCs w:val="17"/>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sponsor may not fully align with the economic interests of public shareholders.”</w:t>
            </w:r>
          </w:p>
        </w:tc>
      </w:tr>
      <w:tr>
        <w:trPr>
          <w:trHeight w:val="286"/>
        </w:trPr>
        <w:tc>
          <w:tcPr>
            <w:tcW w:w="3400" w:type="dxa"/>
            <w:vAlign w:val="bottom"/>
            <w:tcBorders>
              <w:left w:val="single" w:sz="8" w:color="auto"/>
            </w:tcBorders>
          </w:tcPr>
          <w:p>
            <w:pPr>
              <w:spacing w:after="0"/>
              <w:rPr>
                <w:sz w:val="24"/>
                <w:szCs w:val="24"/>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The non-managing investors are not granted any shareholder or other rights in addition to</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those afforded to our other public shareholders, and will only be issued the private investor</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shares and private placement units of our company. The non-managing investors are not</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required to (i) hold any public units, public shares or public rights they may purchase in this</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offering or thereafter for any amount of time, (ii) vote any public shares they may own at the</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applicable time in favor of our initial business combination (although the non-managing</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investors have agreed to vote their private investor shares and private placement shares in</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favor of an initial business combination), or (iii) refrain from exercising their right to redeem</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their public shares at the time of our initial business combination. The non-managing</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investors will have the same rights to the funds held in the trust account with respect to the</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public shares comprising part of the public units they may purchase in this offering or</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otherwise acquire as the rights afforded to our other public shareholders. However, if the</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non-managing investors purchase public units or public shares or otherwise hold a substantial</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number of our public units or public shares, then the non-managing investors will potentially</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have different interests than our other public shareholders in approving our initial business</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combination and otherwise exercising their rights as public shareholders because of their</w:t>
            </w:r>
          </w:p>
        </w:tc>
      </w:tr>
      <w:tr>
        <w:trPr>
          <w:trHeight w:val="199"/>
        </w:trPr>
        <w:tc>
          <w:tcPr>
            <w:tcW w:w="3400" w:type="dxa"/>
            <w:vAlign w:val="bottom"/>
            <w:tcBorders>
              <w:left w:val="single" w:sz="8" w:color="auto"/>
            </w:tcBorders>
          </w:tcPr>
          <w:p>
            <w:pPr>
              <w:spacing w:after="0"/>
              <w:rPr>
                <w:sz w:val="17"/>
                <w:szCs w:val="17"/>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ownership of private investor shares and private placement units.</w:t>
            </w:r>
          </w:p>
        </w:tc>
      </w:tr>
      <w:tr>
        <w:trPr>
          <w:trHeight w:val="271"/>
        </w:trPr>
        <w:tc>
          <w:tcPr>
            <w:tcW w:w="3400" w:type="dxa"/>
            <w:vAlign w:val="bottom"/>
            <w:tcBorders>
              <w:left w:val="single" w:sz="8" w:color="auto"/>
            </w:tcBorders>
          </w:tcPr>
          <w:p>
            <w:pPr>
              <w:spacing w:after="0"/>
              <w:rPr>
                <w:sz w:val="23"/>
                <w:szCs w:val="23"/>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For more information on additional financing we may raise in connection with our initial</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business combination and risks related thereto, see “</w:t>
            </w:r>
            <w:r>
              <w:rPr>
                <w:rFonts w:ascii="Times New Roman" w:cs="Times New Roman" w:eastAsia="Times New Roman" w:hAnsi="Times New Roman"/>
                <w:sz w:val="15"/>
                <w:szCs w:val="15"/>
                <w:b w:val="1"/>
                <w:bCs w:val="1"/>
                <w:i w:val="1"/>
                <w:iCs w:val="1"/>
                <w:color w:val="auto"/>
              </w:rPr>
              <w:t>Risk Factors — Risks Relating to Our</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Search for, and Consummation of or Inability to Consummate, a Business Combination </w:t>
            </w:r>
            <w:r>
              <w:rPr>
                <w:rFonts w:ascii="Times New Roman" w:cs="Times New Roman" w:eastAsia="Times New Roman" w:hAnsi="Times New Roman"/>
                <w:sz w:val="15"/>
                <w:szCs w:val="15"/>
                <w:color w:val="auto"/>
              </w:rPr>
              <w:t>—</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We may issue additional ordinary or preferred shares to complete our initial business</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combination or under an employee incentive plan upon or after consummation of our</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initial business combination, which would dilute the interest of our shareholders and likely</w:t>
            </w:r>
          </w:p>
        </w:tc>
      </w:tr>
      <w:tr>
        <w:trPr>
          <w:trHeight w:val="203"/>
        </w:trPr>
        <w:tc>
          <w:tcPr>
            <w:tcW w:w="3400" w:type="dxa"/>
            <w:vAlign w:val="bottom"/>
            <w:tcBorders>
              <w:left w:val="single" w:sz="8" w:color="auto"/>
            </w:tcBorders>
          </w:tcPr>
          <w:p>
            <w:pPr>
              <w:spacing w:after="0"/>
              <w:rPr>
                <w:sz w:val="17"/>
                <w:szCs w:val="17"/>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present other risks.”</w:t>
            </w:r>
          </w:p>
        </w:tc>
      </w:tr>
      <w:tr>
        <w:trPr>
          <w:trHeight w:val="275"/>
        </w:trPr>
        <w:tc>
          <w:tcPr>
            <w:tcW w:w="3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Offering proceeds to be held in the trust account</w:t>
            </w: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The Nasdaq rules provide that at least 90% of the gross proceeds from this offering and the</w:t>
            </w:r>
          </w:p>
        </w:tc>
      </w:tr>
      <w:tr>
        <w:trPr>
          <w:trHeight w:val="178"/>
        </w:trPr>
        <w:tc>
          <w:tcPr>
            <w:tcW w:w="340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sale of the public units be deposited in a trust account. Of the $220,000,000 gross proceeds</w:t>
            </w:r>
          </w:p>
        </w:tc>
      </w:tr>
      <w:tr>
        <w:trPr>
          <w:trHeight w:val="199"/>
        </w:trPr>
        <w:tc>
          <w:tcPr>
            <w:tcW w:w="3400" w:type="dxa"/>
            <w:vAlign w:val="bottom"/>
            <w:tcBorders>
              <w:left w:val="single" w:sz="8" w:color="auto"/>
            </w:tcBorders>
          </w:tcPr>
          <w:p>
            <w:pPr>
              <w:spacing w:after="0"/>
              <w:rPr>
                <w:sz w:val="17"/>
                <w:szCs w:val="17"/>
                <w:color w:val="auto"/>
              </w:rPr>
            </w:pPr>
          </w:p>
        </w:tc>
        <w:tc>
          <w:tcPr>
            <w:tcW w:w="62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we will receive from this offering and the sale of the private investor shares and private</w:t>
            </w:r>
          </w:p>
        </w:tc>
      </w:tr>
      <w:tr>
        <w:trPr>
          <w:trHeight w:val="132"/>
        </w:trPr>
        <w:tc>
          <w:tcPr>
            <w:tcW w:w="3400" w:type="dxa"/>
            <w:vAlign w:val="bottom"/>
            <w:tcBorders>
              <w:left w:val="single" w:sz="8" w:color="auto"/>
              <w:bottom w:val="single" w:sz="8" w:color="auto"/>
            </w:tcBorders>
          </w:tcPr>
          <w:p>
            <w:pPr>
              <w:spacing w:after="0"/>
              <w:rPr>
                <w:sz w:val="11"/>
                <w:szCs w:val="11"/>
                <w:color w:val="auto"/>
              </w:rPr>
            </w:pPr>
          </w:p>
        </w:tc>
        <w:tc>
          <w:tcPr>
            <w:tcW w:w="6260" w:type="dxa"/>
            <w:vAlign w:val="bottom"/>
            <w:tcBorders>
              <w:bottom w:val="single" w:sz="8" w:color="auto"/>
              <w:right w:val="single" w:sz="8" w:color="auto"/>
            </w:tcBorders>
          </w:tcPr>
          <w:p>
            <w:pPr>
              <w:spacing w:after="0"/>
              <w:rPr>
                <w:sz w:val="11"/>
                <w:szCs w:val="11"/>
                <w:color w:val="auto"/>
              </w:rPr>
            </w:pPr>
          </w:p>
        </w:tc>
      </w:tr>
      <w:tr>
        <w:trPr>
          <w:trHeight w:val="334"/>
        </w:trPr>
        <w:tc>
          <w:tcPr>
            <w:tcW w:w="3400" w:type="dxa"/>
            <w:vAlign w:val="bottom"/>
          </w:tcPr>
          <w:p>
            <w:pPr>
              <w:spacing w:after="0"/>
              <w:rPr>
                <w:sz w:val="24"/>
                <w:szCs w:val="24"/>
                <w:color w:val="auto"/>
              </w:rPr>
            </w:pPr>
          </w:p>
        </w:tc>
        <w:tc>
          <w:tcPr>
            <w:tcW w:w="626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38</w:t>
            </w:r>
          </w:p>
        </w:tc>
      </w:tr>
    </w:tbl>
    <w:p>
      <w:pPr>
        <w:sectPr>
          <w:pgSz w:w="11900" w:h="16840" w:orient="portrait"/>
          <w:cols w:equalWidth="0" w:num="1">
            <w:col w:w="10120"/>
          </w:cols>
          <w:pgMar w:left="660" w:top="874" w:right="1120" w:bottom="1440" w:gutter="0" w:footer="0" w:header="0"/>
        </w:sectPr>
      </w:pPr>
    </w:p>
    <w:bookmarkStart w:id="49" w:name="page50"/>
    <w:bookmarkEnd w:id="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671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37275" cy="46710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160" w:right="80"/>
        <w:spacing w:after="0" w:line="253" w:lineRule="auto"/>
        <w:rPr>
          <w:sz w:val="20"/>
          <w:szCs w:val="20"/>
          <w:color w:val="auto"/>
        </w:rPr>
      </w:pPr>
      <w:r>
        <w:rPr>
          <w:rFonts w:ascii="Times New Roman" w:cs="Times New Roman" w:eastAsia="Times New Roman" w:hAnsi="Times New Roman"/>
          <w:sz w:val="15"/>
          <w:szCs w:val="15"/>
          <w:color w:val="auto"/>
        </w:rPr>
        <w:t>placement units (or $253,000,000 if the over-allotment option is exercised in full), an aggregate of $220,000,000 (or $10.00 per unit), or $253,000,000 (or $10.00 per unit) if the over-allotment option is exercised in full, will be placed in a segregated trust account located in the United States maintained by Continental Stock Transfer &amp; Trust Company acting as trustee pursuant to an agreement to be signed on the date of this prospectus. The funds in the trust account will be invested only in specified U.S. government treasury bills or in specified money market funds.</w:t>
      </w:r>
    </w:p>
    <w:p>
      <w:pPr>
        <w:spacing w:after="0" w:line="89" w:lineRule="exact"/>
        <w:rPr>
          <w:sz w:val="20"/>
          <w:szCs w:val="20"/>
          <w:color w:val="auto"/>
        </w:rPr>
      </w:pPr>
    </w:p>
    <w:p>
      <w:pPr>
        <w:ind w:left="4160" w:right="20"/>
        <w:spacing w:after="0" w:line="250" w:lineRule="auto"/>
        <w:rPr>
          <w:sz w:val="20"/>
          <w:szCs w:val="20"/>
          <w:color w:val="auto"/>
        </w:rPr>
      </w:pPr>
      <w:r>
        <w:rPr>
          <w:rFonts w:ascii="Times New Roman" w:cs="Times New Roman" w:eastAsia="Times New Roman" w:hAnsi="Times New Roman"/>
          <w:sz w:val="15"/>
          <w:szCs w:val="15"/>
          <w:color w:val="auto"/>
        </w:rPr>
        <w:t>Except as set forth below, the proceeds held in the trust account will not be released until the earlier of: (1) the completion of our initial business combination within the required time period; (2) our redemption of 100% of the outstanding public shares if we have not completed an initial business combination in the required time period; or (3) our redemption of our public shares in connection with the approval of any amendment to the provisions of our amended and restated memorandum and articles of association governing our pre-initial business combination activity and related shareholders’ rights.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 The proceeds deposited in the trust account could become subject to the claims of our creditors, if any, which could have priority over the claims of our public shareholders.</w:t>
      </w:r>
    </w:p>
    <w:p>
      <w:pPr>
        <w:spacing w:after="0" w:line="272" w:lineRule="exact"/>
        <w:rPr>
          <w:sz w:val="20"/>
          <w:szCs w:val="20"/>
          <w:color w:val="auto"/>
        </w:rPr>
      </w:pPr>
    </w:p>
    <w:p>
      <w:pPr>
        <w:ind w:left="4160" w:right="160"/>
        <w:spacing w:after="0" w:line="254" w:lineRule="auto"/>
        <w:rPr>
          <w:sz w:val="20"/>
          <w:szCs w:val="20"/>
          <w:color w:val="auto"/>
        </w:rPr>
      </w:pPr>
      <w:r>
        <w:rPr>
          <w:rFonts w:ascii="Times New Roman" w:cs="Times New Roman" w:eastAsia="Times New Roman" w:hAnsi="Times New Roman"/>
          <w:sz w:val="15"/>
          <w:szCs w:val="15"/>
          <w:color w:val="auto"/>
        </w:rPr>
        <w:t>Unless and until we complete our initial business combination, no proceeds held in the trust account will be available for our use, except for permitted withdrawals. Based upon current interest rates, we expect the trust account to generate approximately $9,108,000 of interest annually (or $10,474,200 if the over-allotment option is exercised in full) (assuming an interest rate of 4.14% per year). Unless and until we complete our initial business combination, we may pay our expenses only from:</w:t>
      </w:r>
    </w:p>
    <w:p>
      <w:pPr>
        <w:spacing w:after="0" w:line="89" w:lineRule="exact"/>
        <w:rPr>
          <w:sz w:val="20"/>
          <w:szCs w:val="20"/>
          <w:color w:val="auto"/>
        </w:rPr>
      </w:pPr>
    </w:p>
    <w:p>
      <w:pPr>
        <w:ind w:left="4600" w:hanging="260"/>
        <w:spacing w:after="0" w:line="253" w:lineRule="auto"/>
        <w:tabs>
          <w:tab w:leader="none" w:pos="4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portion of the net proceeds of this offering not held in the trust account and cash held outside the trust account before the offering, which will be approximately $1,400,000 in working capital (or, if the underwriters exercise the over-allotment option in full, $1,507,000 in working capital) after the payment of approximately $1,957,006 in net offering expenses (or, if the underwriters exercise the over-allotment option in full, approximately $2,044,578 in net offering expenses), relating to this offering; and</w:t>
      </w:r>
    </w:p>
    <w:p>
      <w:pPr>
        <w:spacing w:after="0" w:line="271" w:lineRule="exact"/>
        <w:rPr>
          <w:rFonts w:ascii="Times New Roman" w:cs="Times New Roman" w:eastAsia="Times New Roman" w:hAnsi="Times New Roman"/>
          <w:sz w:val="15"/>
          <w:szCs w:val="15"/>
          <w:color w:val="auto"/>
        </w:rPr>
      </w:pPr>
    </w:p>
    <w:p>
      <w:pPr>
        <w:ind w:left="4600" w:right="80" w:hanging="260"/>
        <w:spacing w:after="0" w:line="259" w:lineRule="auto"/>
        <w:tabs>
          <w:tab w:leader="none" w:pos="4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loans or additional investments from our sponsor, members of our management team or any of their affiliates or other third parties, although they are under no obligation to loan funds or invest in us and provided that any such loans will not have any</w:t>
      </w:r>
    </w:p>
    <w:p>
      <w:pPr>
        <w:spacing w:after="0" w:line="2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39</w:t>
      </w:r>
    </w:p>
    <w:p>
      <w:pPr>
        <w:sectPr>
          <w:pgSz w:w="11900" w:h="16840" w:orient="portrait"/>
          <w:cols w:equalWidth="0" w:num="1">
            <w:col w:w="9960"/>
          </w:cols>
          <w:pgMar w:left="660" w:top="874" w:right="1280" w:bottom="1440" w:gutter="0" w:footer="0" w:header="0"/>
        </w:sectPr>
      </w:pPr>
    </w:p>
    <w:bookmarkStart w:id="50" w:name="page51"/>
    <w:bookmarkEnd w:id="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5129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37275" cy="45129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20" w:right="20"/>
        <w:spacing w:after="0" w:line="284" w:lineRule="auto"/>
        <w:rPr>
          <w:sz w:val="20"/>
          <w:szCs w:val="20"/>
          <w:color w:val="auto"/>
        </w:rPr>
      </w:pPr>
      <w:r>
        <w:rPr>
          <w:rFonts w:ascii="Times New Roman" w:cs="Times New Roman" w:eastAsia="Times New Roman" w:hAnsi="Times New Roman"/>
          <w:sz w:val="15"/>
          <w:szCs w:val="15"/>
          <w:color w:val="auto"/>
        </w:rPr>
        <w:t>claim on the proceeds held in the trust account unless such proceeds are released to us upon completion of our initial business combination.</w:t>
      </w:r>
    </w:p>
    <w:p>
      <w:pPr>
        <w:sectPr>
          <w:pgSz w:w="11900" w:h="16840" w:orient="portrait"/>
          <w:cols w:equalWidth="0" w:num="1">
            <w:col w:w="9940"/>
          </w:cols>
          <w:pgMar w:left="660" w:top="874" w:right="1300" w:bottom="1440" w:gutter="0" w:footer="0" w:header="0"/>
        </w:sectPr>
      </w:pPr>
    </w:p>
    <w:p>
      <w:pPr>
        <w:spacing w:after="0" w:line="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Limited payments to insiders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5"/>
          <w:szCs w:val="15"/>
          <w:color w:val="auto"/>
        </w:rPr>
        <w:t>There will be no fees, reimbursements or other cash payments paid to our sponsor, officers and directors, or their affiliates prior to, or for any services they render in order to effectuate, the consummation of our initial business combination (regardless of the type of transaction that it is) other than the following payments, none of which will be made from that portion of the proceeds of this offering prior to the consummation of our initial business combination:</w:t>
      </w:r>
    </w:p>
    <w:p>
      <w:pPr>
        <w:spacing w:after="0" w:line="87" w:lineRule="exact"/>
        <w:rPr>
          <w:sz w:val="20"/>
          <w:szCs w:val="20"/>
          <w:color w:val="auto"/>
        </w:rPr>
      </w:pPr>
    </w:p>
    <w:p>
      <w:pPr>
        <w:sectPr>
          <w:pgSz w:w="11900" w:h="16840" w:orient="portrait"/>
          <w:cols w:equalWidth="0" w:num="2">
            <w:col w:w="3440" w:space="720"/>
            <w:col w:w="5780"/>
          </w:cols>
          <w:pgMar w:left="660" w:top="874" w:right="1300"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ind w:right="280"/>
        <w:spacing w:after="0" w:line="265" w:lineRule="auto"/>
        <w:rPr>
          <w:sz w:val="20"/>
          <w:szCs w:val="20"/>
          <w:color w:val="auto"/>
        </w:rPr>
      </w:pPr>
      <w:r>
        <w:rPr>
          <w:rFonts w:ascii="Times New Roman" w:cs="Times New Roman" w:eastAsia="Times New Roman" w:hAnsi="Times New Roman"/>
          <w:sz w:val="15"/>
          <w:szCs w:val="15"/>
          <w:color w:val="auto"/>
        </w:rPr>
        <w:t>payment to an affiliate of our sponsor, GigManagement, LLC, of a monthly fee of $30,000 for office space and administrative and support services until the consummation of an initial business combination;</w:t>
      </w:r>
    </w:p>
    <w:p>
      <w:pPr>
        <w:spacing w:after="0" w:line="80" w:lineRule="exact"/>
        <w:rPr>
          <w:sz w:val="20"/>
          <w:szCs w:val="20"/>
          <w:color w:val="auto"/>
        </w:rPr>
      </w:pPr>
    </w:p>
    <w:p>
      <w:pPr>
        <w:sectPr>
          <w:pgSz w:w="11900" w:h="16840" w:orient="portrait"/>
          <w:cols w:equalWidth="0" w:num="2">
            <w:col w:w="4400" w:space="200"/>
            <w:col w:w="5340"/>
          </w:cols>
          <w:pgMar w:left="660" w:top="874" w:right="1300"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ind w:right="60"/>
        <w:spacing w:after="0" w:line="284" w:lineRule="auto"/>
        <w:rPr>
          <w:sz w:val="20"/>
          <w:szCs w:val="20"/>
          <w:color w:val="auto"/>
        </w:rPr>
      </w:pPr>
      <w:r>
        <w:rPr>
          <w:rFonts w:ascii="Times New Roman" w:cs="Times New Roman" w:eastAsia="Times New Roman" w:hAnsi="Times New Roman"/>
          <w:sz w:val="15"/>
          <w:szCs w:val="15"/>
          <w:color w:val="auto"/>
        </w:rPr>
        <w:t>payment to the company’s Chief Financial Officer of up to $15,000 per month for her services to the company;</w:t>
      </w:r>
    </w:p>
    <w:p>
      <w:pPr>
        <w:spacing w:after="0" w:line="66" w:lineRule="exact"/>
        <w:rPr>
          <w:sz w:val="20"/>
          <w:szCs w:val="20"/>
          <w:color w:val="auto"/>
        </w:rPr>
      </w:pPr>
    </w:p>
    <w:p>
      <w:pPr>
        <w:sectPr>
          <w:pgSz w:w="11900" w:h="16840" w:orient="portrait"/>
          <w:cols w:equalWidth="0" w:num="2">
            <w:col w:w="4400" w:space="200"/>
            <w:col w:w="5340"/>
          </w:cols>
          <w:pgMar w:left="660" w:top="874" w:right="1300"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Times New Roman" w:cs="Times New Roman" w:eastAsia="Times New Roman" w:hAnsi="Times New Roman"/>
          <w:sz w:val="15"/>
          <w:szCs w:val="15"/>
          <w:color w:val="auto"/>
        </w:rPr>
        <w:t>reimbursement of out- of-pocket expenses incurred by our executive officers and directors and advisory fees to directors in connection with certain activities on our behalf, such as identifying and investigating possible business targets and business combinations as well as advisory fees to directors pertaining to board committee service and extraordinary administrative and analytical services;</w:t>
      </w:r>
    </w:p>
    <w:p>
      <w:pPr>
        <w:spacing w:after="0" w:line="87" w:lineRule="exact"/>
        <w:rPr>
          <w:sz w:val="20"/>
          <w:szCs w:val="20"/>
          <w:color w:val="auto"/>
        </w:rPr>
      </w:pPr>
    </w:p>
    <w:p>
      <w:pPr>
        <w:sectPr>
          <w:pgSz w:w="11900" w:h="16840" w:orient="portrait"/>
          <w:cols w:equalWidth="0" w:num="2">
            <w:col w:w="4400" w:space="200"/>
            <w:col w:w="5340"/>
          </w:cols>
          <w:pgMar w:left="660" w:top="874" w:right="1300"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payment for analyst and consultant services as approved by our board of directors; and</w:t>
      </w:r>
    </w:p>
    <w:p>
      <w:pPr>
        <w:spacing w:after="0" w:line="124" w:lineRule="exact"/>
        <w:rPr>
          <w:sz w:val="20"/>
          <w:szCs w:val="20"/>
          <w:color w:val="auto"/>
        </w:rPr>
      </w:pPr>
    </w:p>
    <w:p>
      <w:pPr>
        <w:sectPr>
          <w:pgSz w:w="11900" w:h="16840" w:orient="portrait"/>
          <w:cols w:equalWidth="0" w:num="2">
            <w:col w:w="4400" w:space="200"/>
            <w:col w:w="5340"/>
          </w:cols>
          <w:pgMar w:left="660" w:top="874" w:right="1300"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5"/>
          <w:szCs w:val="15"/>
          <w:color w:val="auto"/>
        </w:rPr>
        <w:t>repayment upon consummation of our initial business combination of any loans which may be made by our sponsor, executive officers and directors, or their affiliates, to finance transaction costs in connection with an intended initial business combination. The terms of any such loans have not been determined nor have any written agreements been executed with respect thereto.</w:t>
      </w:r>
    </w:p>
    <w:p>
      <w:pPr>
        <w:spacing w:after="0" w:line="87" w:lineRule="exact"/>
        <w:rPr>
          <w:sz w:val="20"/>
          <w:szCs w:val="20"/>
          <w:color w:val="auto"/>
        </w:rPr>
      </w:pPr>
    </w:p>
    <w:p>
      <w:pPr>
        <w:sectPr>
          <w:pgSz w:w="11900" w:h="16840" w:orient="portrait"/>
          <w:cols w:equalWidth="0" w:num="2">
            <w:col w:w="4400" w:space="200"/>
            <w:col w:w="5340"/>
          </w:cols>
          <w:pgMar w:left="660" w:top="874" w:right="1300" w:bottom="1440" w:gutter="0" w:footer="0" w:header="0"/>
          <w:type w:val="continuous"/>
        </w:sectPr>
      </w:pPr>
    </w:p>
    <w:p>
      <w:pPr>
        <w:ind w:left="4160" w:right="20"/>
        <w:spacing w:after="0" w:line="259" w:lineRule="auto"/>
        <w:rPr>
          <w:sz w:val="20"/>
          <w:szCs w:val="20"/>
          <w:color w:val="auto"/>
        </w:rPr>
      </w:pPr>
      <w:r>
        <w:rPr>
          <w:rFonts w:ascii="Times New Roman" w:cs="Times New Roman" w:eastAsia="Times New Roman" w:hAnsi="Times New Roman"/>
          <w:sz w:val="15"/>
          <w:szCs w:val="15"/>
          <w:color w:val="auto"/>
        </w:rPr>
        <w:t>These payments may be funded using that portion of the net proceeds of this offering not held in the trust account, plus any working capital funded as a permitted withdrawal, or, upon completion of the initial business combination, from any amounts remaining from the proceeds of the trust account released to us in connection therewith.</w:t>
      </w:r>
    </w:p>
    <w:p>
      <w:pPr>
        <w:spacing w:after="0" w:line="85" w:lineRule="exact"/>
        <w:rPr>
          <w:sz w:val="20"/>
          <w:szCs w:val="20"/>
          <w:color w:val="auto"/>
        </w:rPr>
      </w:pPr>
    </w:p>
    <w:p>
      <w:pPr>
        <w:ind w:left="4160" w:right="340"/>
        <w:spacing w:after="0" w:line="284" w:lineRule="auto"/>
        <w:rPr>
          <w:sz w:val="20"/>
          <w:szCs w:val="20"/>
          <w:color w:val="auto"/>
        </w:rPr>
      </w:pPr>
      <w:r>
        <w:rPr>
          <w:rFonts w:ascii="Times New Roman" w:cs="Times New Roman" w:eastAsia="Times New Roman" w:hAnsi="Times New Roman"/>
          <w:sz w:val="15"/>
          <w:szCs w:val="15"/>
          <w:color w:val="auto"/>
        </w:rPr>
        <w:t>Our audit committee will review on a quarterly basis all payments that were made to our sponsor, executive officers or directors, or our or any of their affiliates.</w:t>
      </w:r>
    </w:p>
    <w:p>
      <w:pPr>
        <w:sectPr>
          <w:pgSz w:w="11900" w:h="16840" w:orient="portrait"/>
          <w:cols w:equalWidth="0" w:num="1">
            <w:col w:w="9940"/>
          </w:cols>
          <w:pgMar w:left="660" w:top="874" w:right="1300" w:bottom="1440" w:gutter="0" w:footer="0" w:header="0"/>
          <w:type w:val="continuous"/>
        </w:sectPr>
      </w:pPr>
    </w:p>
    <w:p>
      <w:pPr>
        <w:spacing w:after="0" w:line="101" w:lineRule="exact"/>
        <w:rPr>
          <w:sz w:val="20"/>
          <w:szCs w:val="20"/>
          <w:color w:val="auto"/>
        </w:rPr>
      </w:pPr>
    </w:p>
    <w:p>
      <w:pPr>
        <w:jc w:val="both"/>
        <w:ind w:left="600" w:right="180"/>
        <w:spacing w:after="0" w:line="265" w:lineRule="auto"/>
        <w:rPr>
          <w:sz w:val="20"/>
          <w:szCs w:val="20"/>
          <w:color w:val="auto"/>
        </w:rPr>
      </w:pPr>
      <w:r>
        <w:rPr>
          <w:rFonts w:ascii="Times New Roman" w:cs="Times New Roman" w:eastAsia="Times New Roman" w:hAnsi="Times New Roman"/>
          <w:sz w:val="15"/>
          <w:szCs w:val="15"/>
          <w:color w:val="auto"/>
        </w:rPr>
        <w:t>Our sponsor, officers and directors, or their affiliates, may have interests that differ from you in connection with the business combination, including the fact that they will receive payments for services rendered prior to, or in order to effectuate, the consummation of an initial business combination and accordingly, may have a</w:t>
      </w:r>
    </w:p>
    <w:p>
      <w:pPr>
        <w:spacing w:after="0" w:line="2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40</w:t>
      </w:r>
    </w:p>
    <w:p>
      <w:pPr>
        <w:sectPr>
          <w:pgSz w:w="11900" w:h="16840" w:orient="portrait"/>
          <w:cols w:equalWidth="0" w:num="1">
            <w:col w:w="9940"/>
          </w:cols>
          <w:pgMar w:left="660" w:top="874" w:right="1300" w:bottom="1440" w:gutter="0" w:footer="0" w:header="0"/>
          <w:type w:val="continuous"/>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480" w:type="dxa"/>
            <w:vAlign w:val="bottom"/>
            <w:tcBorders>
              <w:right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636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conflict of interest in determining whether a particular target business is an appropriate</w:t>
            </w:r>
          </w:p>
        </w:tc>
        <w:tc>
          <w:tcPr>
            <w:tcW w:w="480" w:type="dxa"/>
            <w:vAlign w:val="bottom"/>
          </w:tcPr>
          <w:p>
            <w:pPr>
              <w:spacing w:after="0"/>
              <w:rPr>
                <w:sz w:val="24"/>
                <w:szCs w:val="24"/>
                <w:color w:val="auto"/>
              </w:rPr>
            </w:pPr>
          </w:p>
        </w:tc>
      </w:tr>
      <w:tr>
        <w:trPr>
          <w:trHeight w:val="199"/>
        </w:trPr>
        <w:tc>
          <w:tcPr>
            <w:tcW w:w="48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business with which to effectuate our initial business combination.</w:t>
            </w:r>
          </w:p>
        </w:tc>
        <w:tc>
          <w:tcPr>
            <w:tcW w:w="480" w:type="dxa"/>
            <w:vAlign w:val="bottom"/>
          </w:tcPr>
          <w:p>
            <w:pPr>
              <w:spacing w:after="0"/>
              <w:rPr>
                <w:sz w:val="17"/>
                <w:szCs w:val="17"/>
                <w:color w:val="auto"/>
              </w:rPr>
            </w:pPr>
          </w:p>
        </w:tc>
      </w:tr>
      <w:tr>
        <w:trPr>
          <w:trHeight w:val="393"/>
        </w:trPr>
        <w:tc>
          <w:tcPr>
            <w:tcW w:w="480" w:type="dxa"/>
            <w:vAlign w:val="bottom"/>
            <w:tcBorders>
              <w:right w:val="single" w:sz="8" w:color="auto"/>
            </w:tcBorders>
          </w:tcPr>
          <w:p>
            <w:pPr>
              <w:spacing w:after="0"/>
              <w:rPr>
                <w:sz w:val="24"/>
                <w:szCs w:val="24"/>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Audit Committee</w:t>
            </w: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Prior to the effectiveness of this registration statement, we will have established and will</w:t>
            </w:r>
          </w:p>
        </w:tc>
        <w:tc>
          <w:tcPr>
            <w:tcW w:w="480" w:type="dxa"/>
            <w:vAlign w:val="bottom"/>
          </w:tcPr>
          <w:p>
            <w:pPr>
              <w:spacing w:after="0"/>
              <w:rPr>
                <w:sz w:val="24"/>
                <w:szCs w:val="24"/>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maintain an audit committee (which will be composed entirely of independent directors) to,</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among other things, monitor compliance with the terms described above and the other terms</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relating to this offering. If any noncompliance is identified, then the audit committee will be</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charged with the responsibility to immediately take all action necessary to rectify such</w:t>
            </w:r>
          </w:p>
        </w:tc>
        <w:tc>
          <w:tcPr>
            <w:tcW w:w="480" w:type="dxa"/>
            <w:vAlign w:val="bottom"/>
          </w:tcPr>
          <w:p>
            <w:pPr>
              <w:spacing w:after="0"/>
              <w:rPr>
                <w:sz w:val="15"/>
                <w:szCs w:val="15"/>
                <w:color w:val="auto"/>
              </w:rPr>
            </w:pPr>
          </w:p>
        </w:tc>
      </w:tr>
      <w:tr>
        <w:trPr>
          <w:trHeight w:val="174"/>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noncompliance or otherwise to cause compliance with the terms of this offering. For more</w:t>
            </w:r>
          </w:p>
        </w:tc>
        <w:tc>
          <w:tcPr>
            <w:tcW w:w="480" w:type="dxa"/>
            <w:vAlign w:val="bottom"/>
          </w:tcPr>
          <w:p>
            <w:pPr>
              <w:spacing w:after="0"/>
              <w:rPr>
                <w:sz w:val="15"/>
                <w:szCs w:val="15"/>
                <w:color w:val="auto"/>
              </w:rPr>
            </w:pPr>
          </w:p>
        </w:tc>
      </w:tr>
      <w:tr>
        <w:trPr>
          <w:trHeight w:val="203"/>
        </w:trPr>
        <w:tc>
          <w:tcPr>
            <w:tcW w:w="48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information, see “</w:t>
            </w:r>
            <w:r>
              <w:rPr>
                <w:rFonts w:ascii="Times New Roman" w:cs="Times New Roman" w:eastAsia="Times New Roman" w:hAnsi="Times New Roman"/>
                <w:sz w:val="15"/>
                <w:szCs w:val="15"/>
                <w:i w:val="1"/>
                <w:iCs w:val="1"/>
                <w:color w:val="auto"/>
              </w:rPr>
              <w:t>Management—Committees of the Board of Directors—Audit Committee</w:t>
            </w: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r>
      <w:tr>
        <w:trPr>
          <w:trHeight w:val="275"/>
        </w:trPr>
        <w:tc>
          <w:tcPr>
            <w:tcW w:w="480" w:type="dxa"/>
            <w:vAlign w:val="bottom"/>
            <w:tcBorders>
              <w:right w:val="single" w:sz="8" w:color="auto"/>
            </w:tcBorders>
          </w:tcPr>
          <w:p>
            <w:pPr>
              <w:spacing w:after="0"/>
              <w:rPr>
                <w:sz w:val="23"/>
                <w:szCs w:val="23"/>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Election of directors; Voting rights</w:t>
            </w: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Prior to the completion of our initial business combination, only holders of our founder shares</w:t>
            </w:r>
          </w:p>
        </w:tc>
        <w:tc>
          <w:tcPr>
            <w:tcW w:w="480" w:type="dxa"/>
            <w:vAlign w:val="bottom"/>
          </w:tcPr>
          <w:p>
            <w:pPr>
              <w:spacing w:after="0"/>
              <w:rPr>
                <w:sz w:val="23"/>
                <w:szCs w:val="23"/>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and private investor shares will have the right to vote on the appointment of directors (by a</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majority of votes cast by the holders of the founder shares, private investor shares and private</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placement shares). Holders of our public shares will not be entitled to vote on the election of</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directors during such time. These provisions of our amended and restated memorandum and</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articles of association may only be amended by a special resolution passed by a majority of at</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least 90% (or, where such amendment is proposed in respect of the consummation of our</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initial business combination, two-thirds) of our ordinary shares voting at the applicable</w:t>
            </w:r>
          </w:p>
        </w:tc>
        <w:tc>
          <w:tcPr>
            <w:tcW w:w="480" w:type="dxa"/>
            <w:vAlign w:val="bottom"/>
          </w:tcPr>
          <w:p>
            <w:pPr>
              <w:spacing w:after="0"/>
              <w:rPr>
                <w:sz w:val="15"/>
                <w:szCs w:val="15"/>
                <w:color w:val="auto"/>
              </w:rPr>
            </w:pPr>
          </w:p>
        </w:tc>
      </w:tr>
      <w:tr>
        <w:trPr>
          <w:trHeight w:val="199"/>
        </w:trPr>
        <w:tc>
          <w:tcPr>
            <w:tcW w:w="48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general meeting.</w:t>
            </w:r>
          </w:p>
        </w:tc>
        <w:tc>
          <w:tcPr>
            <w:tcW w:w="480" w:type="dxa"/>
            <w:vAlign w:val="bottom"/>
          </w:tcPr>
          <w:p>
            <w:pPr>
              <w:spacing w:after="0"/>
              <w:rPr>
                <w:sz w:val="17"/>
                <w:szCs w:val="17"/>
                <w:color w:val="auto"/>
              </w:rPr>
            </w:pPr>
          </w:p>
        </w:tc>
      </w:tr>
      <w:tr>
        <w:trPr>
          <w:trHeight w:val="275"/>
        </w:trPr>
        <w:tc>
          <w:tcPr>
            <w:tcW w:w="480" w:type="dxa"/>
            <w:vAlign w:val="bottom"/>
            <w:tcBorders>
              <w:right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With respect to any other matter submitted to a vote of our shareholders, including any vote in</w:t>
            </w:r>
          </w:p>
        </w:tc>
        <w:tc>
          <w:tcPr>
            <w:tcW w:w="480" w:type="dxa"/>
            <w:vAlign w:val="bottom"/>
          </w:tcPr>
          <w:p>
            <w:pPr>
              <w:spacing w:after="0"/>
              <w:rPr>
                <w:sz w:val="23"/>
                <w:szCs w:val="23"/>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connection with our initial business combination, except as required by law or the applicable</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rules of Nasdaq then in effect, holders of our founder shares, private investor shares and</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private placement shares and holders of our public shares will vote together as a single class,</w:t>
            </w:r>
          </w:p>
        </w:tc>
        <w:tc>
          <w:tcPr>
            <w:tcW w:w="480" w:type="dxa"/>
            <w:vAlign w:val="bottom"/>
          </w:tcPr>
          <w:p>
            <w:pPr>
              <w:spacing w:after="0"/>
              <w:rPr>
                <w:sz w:val="15"/>
                <w:szCs w:val="15"/>
                <w:color w:val="auto"/>
              </w:rPr>
            </w:pPr>
          </w:p>
        </w:tc>
      </w:tr>
      <w:tr>
        <w:trPr>
          <w:trHeight w:val="199"/>
        </w:trPr>
        <w:tc>
          <w:tcPr>
            <w:tcW w:w="48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with each share entitling the holder to one vote.</w:t>
            </w:r>
          </w:p>
        </w:tc>
        <w:tc>
          <w:tcPr>
            <w:tcW w:w="480" w:type="dxa"/>
            <w:vAlign w:val="bottom"/>
          </w:tcPr>
          <w:p>
            <w:pPr>
              <w:spacing w:after="0"/>
              <w:rPr>
                <w:sz w:val="17"/>
                <w:szCs w:val="17"/>
                <w:color w:val="auto"/>
              </w:rPr>
            </w:pPr>
          </w:p>
        </w:tc>
      </w:tr>
      <w:tr>
        <w:trPr>
          <w:trHeight w:val="275"/>
        </w:trPr>
        <w:tc>
          <w:tcPr>
            <w:tcW w:w="480" w:type="dxa"/>
            <w:vAlign w:val="bottom"/>
            <w:tcBorders>
              <w:right w:val="single" w:sz="8" w:color="auto"/>
            </w:tcBorders>
          </w:tcPr>
          <w:p>
            <w:pPr>
              <w:spacing w:after="0"/>
              <w:rPr>
                <w:sz w:val="23"/>
                <w:szCs w:val="23"/>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Conditions to completing our initial business</w:t>
            </w: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There is no limitation on our ability to raise funds privately or through loans in connection</w:t>
            </w:r>
          </w:p>
        </w:tc>
        <w:tc>
          <w:tcPr>
            <w:tcW w:w="480" w:type="dxa"/>
            <w:vAlign w:val="bottom"/>
          </w:tcPr>
          <w:p>
            <w:pPr>
              <w:spacing w:after="0"/>
              <w:rPr>
                <w:sz w:val="23"/>
                <w:szCs w:val="23"/>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combination</w:t>
            </w: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with our initial business combination. The Nasdaq rules require that our initial business</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combination must be with one or more operating businesses or assets with a fair market value</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equal to at least 80% of the net assets held in trust (less permitted withdrawals) at the time of</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our signing a definitive agreement in connection with our initial business combination. Such</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initial business combination must be approved by a majority of the company’s independent</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directors. We do not currently intend to purchase multiple businesses in unrelated industries</w:t>
            </w:r>
          </w:p>
        </w:tc>
        <w:tc>
          <w:tcPr>
            <w:tcW w:w="480" w:type="dxa"/>
            <w:vAlign w:val="bottom"/>
          </w:tcPr>
          <w:p>
            <w:pPr>
              <w:spacing w:after="0"/>
              <w:rPr>
                <w:sz w:val="15"/>
                <w:szCs w:val="15"/>
                <w:color w:val="auto"/>
              </w:rPr>
            </w:pPr>
          </w:p>
        </w:tc>
      </w:tr>
      <w:tr>
        <w:trPr>
          <w:trHeight w:val="199"/>
        </w:trPr>
        <w:tc>
          <w:tcPr>
            <w:tcW w:w="48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in conjunction with our initial business combination.</w:t>
            </w:r>
          </w:p>
        </w:tc>
        <w:tc>
          <w:tcPr>
            <w:tcW w:w="480" w:type="dxa"/>
            <w:vAlign w:val="bottom"/>
          </w:tcPr>
          <w:p>
            <w:pPr>
              <w:spacing w:after="0"/>
              <w:rPr>
                <w:sz w:val="17"/>
                <w:szCs w:val="17"/>
                <w:color w:val="auto"/>
              </w:rPr>
            </w:pPr>
          </w:p>
        </w:tc>
      </w:tr>
      <w:tr>
        <w:trPr>
          <w:trHeight w:val="275"/>
        </w:trPr>
        <w:tc>
          <w:tcPr>
            <w:tcW w:w="480" w:type="dxa"/>
            <w:vAlign w:val="bottom"/>
            <w:tcBorders>
              <w:right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If our board of directors is not able to independently determine the fair market value of the</w:t>
            </w:r>
          </w:p>
        </w:tc>
        <w:tc>
          <w:tcPr>
            <w:tcW w:w="480" w:type="dxa"/>
            <w:vAlign w:val="bottom"/>
          </w:tcPr>
          <w:p>
            <w:pPr>
              <w:spacing w:after="0"/>
              <w:rPr>
                <w:sz w:val="23"/>
                <w:szCs w:val="23"/>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acquisition target(s), we may obtain an opinion, in our sole discretion, from an independent</w:t>
            </w:r>
          </w:p>
        </w:tc>
        <w:tc>
          <w:tcPr>
            <w:tcW w:w="480" w:type="dxa"/>
            <w:vAlign w:val="bottom"/>
          </w:tcPr>
          <w:p>
            <w:pPr>
              <w:spacing w:after="0"/>
              <w:rPr>
                <w:sz w:val="15"/>
                <w:szCs w:val="15"/>
                <w:color w:val="auto"/>
              </w:rPr>
            </w:pPr>
          </w:p>
        </w:tc>
      </w:tr>
      <w:tr>
        <w:trPr>
          <w:trHeight w:val="199"/>
        </w:trPr>
        <w:tc>
          <w:tcPr>
            <w:tcW w:w="48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investment banking firm that is a member of FINRA, or from another</w:t>
            </w:r>
          </w:p>
        </w:tc>
        <w:tc>
          <w:tcPr>
            <w:tcW w:w="480" w:type="dxa"/>
            <w:vAlign w:val="bottom"/>
          </w:tcPr>
          <w:p>
            <w:pPr>
              <w:spacing w:after="0"/>
              <w:rPr>
                <w:sz w:val="17"/>
                <w:szCs w:val="17"/>
                <w:color w:val="auto"/>
              </w:rPr>
            </w:pPr>
          </w:p>
        </w:tc>
      </w:tr>
      <w:tr>
        <w:trPr>
          <w:trHeight w:val="132"/>
        </w:trPr>
        <w:tc>
          <w:tcPr>
            <w:tcW w:w="480" w:type="dxa"/>
            <w:vAlign w:val="bottom"/>
            <w:tcBorders>
              <w:right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6360" w:type="dxa"/>
            <w:vAlign w:val="bottom"/>
            <w:tcBorders>
              <w:bottom w:val="single" w:sz="8" w:color="auto"/>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r>
      <w:tr>
        <w:trPr>
          <w:trHeight w:val="334"/>
        </w:trPr>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36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41</w:t>
            </w:r>
          </w:p>
        </w:tc>
        <w:tc>
          <w:tcPr>
            <w:tcW w:w="480" w:type="dxa"/>
            <w:vAlign w:val="bottom"/>
          </w:tcPr>
          <w:p>
            <w:pPr>
              <w:spacing w:after="0"/>
              <w:rPr>
                <w:sz w:val="24"/>
                <w:szCs w:val="24"/>
                <w:color w:val="auto"/>
              </w:rPr>
            </w:pPr>
          </w:p>
        </w:tc>
      </w:tr>
      <w:tr>
        <w:trPr>
          <w:trHeight w:val="132"/>
        </w:trPr>
        <w:tc>
          <w:tcPr>
            <w:tcW w:w="1180" w:type="dxa"/>
            <w:vAlign w:val="bottom"/>
            <w:tcBorders>
              <w:bottom w:val="single" w:sz="8" w:color="EEEEEE"/>
            </w:tcBorders>
            <w:gridSpan w:val="2"/>
          </w:tcPr>
          <w:p>
            <w:pPr>
              <w:spacing w:after="0"/>
              <w:rPr>
                <w:sz w:val="11"/>
                <w:szCs w:val="11"/>
                <w:color w:val="auto"/>
              </w:rPr>
            </w:pPr>
          </w:p>
        </w:tc>
        <w:tc>
          <w:tcPr>
            <w:tcW w:w="2580" w:type="dxa"/>
            <w:vAlign w:val="bottom"/>
            <w:tcBorders>
              <w:bottom w:val="single" w:sz="8" w:color="EEEEEE"/>
            </w:tcBorders>
          </w:tcPr>
          <w:p>
            <w:pPr>
              <w:spacing w:after="0"/>
              <w:rPr>
                <w:sz w:val="11"/>
                <w:szCs w:val="11"/>
                <w:color w:val="auto"/>
              </w:rPr>
            </w:pPr>
          </w:p>
        </w:tc>
        <w:tc>
          <w:tcPr>
            <w:tcW w:w="6360" w:type="dxa"/>
            <w:vAlign w:val="bottom"/>
            <w:tcBorders>
              <w:bottom w:val="single" w:sz="8" w:color="EEEEEE"/>
            </w:tcBorders>
          </w:tcPr>
          <w:p>
            <w:pPr>
              <w:spacing w:after="0"/>
              <w:rPr>
                <w:sz w:val="11"/>
                <w:szCs w:val="11"/>
                <w:color w:val="auto"/>
              </w:rPr>
            </w:pPr>
          </w:p>
        </w:tc>
        <w:tc>
          <w:tcPr>
            <w:tcW w:w="480" w:type="dxa"/>
            <w:vAlign w:val="bottom"/>
            <w:tcBorders>
              <w:bottom w:val="single" w:sz="8" w:color="EEEEEE"/>
            </w:tcBorders>
          </w:tcPr>
          <w:p>
            <w:pPr>
              <w:spacing w:after="0"/>
              <w:rPr>
                <w:sz w:val="11"/>
                <w:szCs w:val="11"/>
                <w:color w:val="auto"/>
              </w:rPr>
            </w:pPr>
          </w:p>
        </w:tc>
      </w:tr>
      <w:tr>
        <w:trPr>
          <w:trHeight w:val="406"/>
        </w:trPr>
        <w:tc>
          <w:tcPr>
            <w:tcW w:w="3760" w:type="dxa"/>
            <w:vAlign w:val="bottom"/>
            <w:gridSpan w:val="3"/>
          </w:tcPr>
          <w:p>
            <w:pPr>
              <w:spacing w:after="0"/>
              <w:rPr>
                <w:rFonts w:ascii="Times New Roman" w:cs="Times New Roman" w:eastAsia="Times New Roman" w:hAnsi="Times New Roman"/>
                <w:sz w:val="15"/>
                <w:szCs w:val="15"/>
                <w:b w:val="1"/>
                <w:bCs w:val="1"/>
                <w:color w:val="0000EE"/>
              </w:rPr>
            </w:pPr>
            <w:hyperlink w:anchor="page10">
              <w:r>
                <w:rPr>
                  <w:rFonts w:ascii="Times New Roman" w:cs="Times New Roman" w:eastAsia="Times New Roman" w:hAnsi="Times New Roman"/>
                  <w:sz w:val="15"/>
                  <w:szCs w:val="15"/>
                  <w:b w:val="1"/>
                  <w:bCs w:val="1"/>
                  <w:color w:val="0000EE"/>
                </w:rPr>
                <w:t>Table of Contents</w:t>
              </w:r>
            </w:hyperlink>
          </w:p>
        </w:tc>
        <w:tc>
          <w:tcPr>
            <w:tcW w:w="6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64"/>
        </w:trPr>
        <w:tc>
          <w:tcPr>
            <w:tcW w:w="480" w:type="dxa"/>
            <w:vAlign w:val="bottom"/>
            <w:tcBorders>
              <w:top w:val="single" w:sz="8" w:color="0000EE"/>
            </w:tcBorders>
          </w:tcPr>
          <w:p>
            <w:pPr>
              <w:spacing w:after="0"/>
              <w:rPr>
                <w:sz w:val="22"/>
                <w:szCs w:val="22"/>
                <w:color w:val="auto"/>
              </w:rPr>
            </w:pPr>
          </w:p>
        </w:tc>
        <w:tc>
          <w:tcPr>
            <w:tcW w:w="700" w:type="dxa"/>
            <w:vAlign w:val="bottom"/>
            <w:tcBorders>
              <w:top w:val="single" w:sz="8" w:color="0000EE"/>
              <w:bottom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636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r>
      <w:tr>
        <w:trPr>
          <w:trHeight w:val="301"/>
        </w:trPr>
        <w:tc>
          <w:tcPr>
            <w:tcW w:w="48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independent entity. However, unless we consummate our initial business combination with an</w:t>
            </w:r>
          </w:p>
        </w:tc>
        <w:tc>
          <w:tcPr>
            <w:tcW w:w="480" w:type="dxa"/>
            <w:vAlign w:val="bottom"/>
          </w:tcPr>
          <w:p>
            <w:pPr>
              <w:spacing w:after="0"/>
              <w:rPr>
                <w:sz w:val="24"/>
                <w:szCs w:val="24"/>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affiliated entity, our board of directors is not required to obtain an opinion from an</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independent investment banking firm or another independent entity that the price we are</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paying is fair to our shareholders from a financial point of view. We will complete our initial</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business combination only if the post-transaction company in which our public shareholders</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own shares will own or acquire 50% or more of the issued and outstanding voting securities of</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the acquisition target or otherwise acquire a controlling interest in the acquisition target</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sufficient for it not to be required to register as an investment company under the Investment</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Company Act. Even if the post-transaction company owns or acquires 50% or more of the</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voting securities of the acquisition target, our shareholders prior to our initial business</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combination may collectively own a minority interest in the post-transaction company,</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depending on valuations ascribed to the acquisition target and us in our initial business</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combination transaction. If less than 100% of the equity interests or assets of a target</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business or businesses are owned or acquired by the post-transaction company, the portion of</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such business or businesses that is owned or acquired is what will be valued for purposes of</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the 80% of net assets test; provided that in the event that our initial business combination</w:t>
            </w:r>
          </w:p>
        </w:tc>
        <w:tc>
          <w:tcPr>
            <w:tcW w:w="480" w:type="dxa"/>
            <w:vAlign w:val="bottom"/>
          </w:tcPr>
          <w:p>
            <w:pPr>
              <w:spacing w:after="0"/>
              <w:rPr>
                <w:sz w:val="15"/>
                <w:szCs w:val="15"/>
                <w:color w:val="auto"/>
              </w:rPr>
            </w:pPr>
          </w:p>
        </w:tc>
      </w:tr>
      <w:tr>
        <w:trPr>
          <w:trHeight w:val="178"/>
        </w:trPr>
        <w:tc>
          <w:tcPr>
            <w:tcW w:w="4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involves more than one target business, the 80% of net assets test will be based on the</w:t>
            </w:r>
          </w:p>
        </w:tc>
        <w:tc>
          <w:tcPr>
            <w:tcW w:w="480" w:type="dxa"/>
            <w:vAlign w:val="bottom"/>
          </w:tcPr>
          <w:p>
            <w:pPr>
              <w:spacing w:after="0"/>
              <w:rPr>
                <w:sz w:val="15"/>
                <w:szCs w:val="15"/>
                <w:color w:val="auto"/>
              </w:rPr>
            </w:pPr>
          </w:p>
        </w:tc>
      </w:tr>
      <w:tr>
        <w:trPr>
          <w:trHeight w:val="199"/>
        </w:trPr>
        <w:tc>
          <w:tcPr>
            <w:tcW w:w="48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3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aggregate value of all of the acquisition targets.</w:t>
            </w:r>
          </w:p>
        </w:tc>
        <w:tc>
          <w:tcPr>
            <w:tcW w:w="480" w:type="dxa"/>
            <w:vAlign w:val="bottom"/>
          </w:tcPr>
          <w:p>
            <w:pPr>
              <w:spacing w:after="0"/>
              <w:rPr>
                <w:sz w:val="17"/>
                <w:szCs w:val="17"/>
                <w:color w:val="auto"/>
              </w:rPr>
            </w:pPr>
          </w:p>
        </w:tc>
      </w:tr>
      <w:tr>
        <w:trPr>
          <w:trHeight w:val="3330"/>
        </w:trPr>
        <w:tc>
          <w:tcPr>
            <w:tcW w:w="48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36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-4742815</wp:posOffset>
            </wp:positionV>
            <wp:extent cx="6749415" cy="62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49415" cy="62865"/>
                    </a:xfrm>
                    <a:prstGeom prst="rect">
                      <a:avLst/>
                    </a:prstGeom>
                    <a:noFill/>
                  </pic:spPr>
                </pic:pic>
              </a:graphicData>
            </a:graphic>
          </wp:anchor>
        </w:drawing>
      </w:r>
    </w:p>
    <w:p>
      <w:pPr>
        <w:sectPr>
          <w:pgSz w:w="11900" w:h="16840" w:orient="portrait"/>
          <w:cols w:equalWidth="0" w:num="1">
            <w:col w:w="10600"/>
          </w:cols>
          <w:pgMar w:left="660" w:top="874" w:right="640" w:bottom="11"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172"/>
        </w:trPr>
        <w:tc>
          <w:tcPr>
            <w:tcW w:w="35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Permitted purchases of public shares by our affiliates</w:t>
            </w: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If we seek shareholder approval of our initial business combination and we do not conduct</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redemptions in connection with our initial business combination pursuant to the tender offer</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rules, our sponsor, directors, executive officers, or any of their affiliates may purchase shares</w:t>
            </w:r>
          </w:p>
        </w:tc>
      </w:tr>
      <w:tr>
        <w:trPr>
          <w:trHeight w:val="174"/>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of our public shares in privately negotiated transactions or on the open market either prior to</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or following the completion of our initial business combination. Please see “</w:t>
            </w:r>
            <w:r>
              <w:rPr>
                <w:rFonts w:ascii="Times New Roman" w:cs="Times New Roman" w:eastAsia="Times New Roman" w:hAnsi="Times New Roman"/>
                <w:sz w:val="15"/>
                <w:szCs w:val="15"/>
                <w:i w:val="1"/>
                <w:iCs w:val="1"/>
                <w:color w:val="auto"/>
              </w:rPr>
              <w:t>Proposed</w:t>
            </w:r>
          </w:p>
        </w:tc>
      </w:tr>
      <w:tr>
        <w:trPr>
          <w:trHeight w:val="182"/>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i w:val="1"/>
                <w:iCs w:val="1"/>
                <w:color w:val="auto"/>
              </w:rPr>
              <w:t>Business—Initial Business Combination</w:t>
            </w:r>
            <w:r>
              <w:rPr>
                <w:rFonts w:ascii="Times New Roman" w:cs="Times New Roman" w:eastAsia="Times New Roman" w:hAnsi="Times New Roman"/>
                <w:sz w:val="15"/>
                <w:szCs w:val="15"/>
                <w:color w:val="auto"/>
              </w:rPr>
              <w:t>” for a description of how such persons will</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determine from which shareholders to seek to acquire shares. There is no limit on the number</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of shares such persons may purchase, or any restriction on the price that they may pay. Any</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such price per share may be different than the amount per share a public shareholder would</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receive if it elected to redeem its shares in connection with our initial business combination.</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However, such persons have no current commitments, plans or intentions to engage in such</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transactions and have not formulated any terms or conditions for any such transactions. In the</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event our sponsor, directors, executive officers, or any of their affiliates determine to make</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any such purchases at the time of a shareholder vote relating to our initial business</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combination, such purchases could have the effect of influencing the vote necessary to</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approve such transaction. None of the funds in the trust account will be used to purchase</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public shares in such transactions. If any of our sponsor, directors, executive officers, or any</w:t>
            </w:r>
          </w:p>
        </w:tc>
      </w:tr>
      <w:tr>
        <w:trPr>
          <w:trHeight w:val="178"/>
        </w:trPr>
        <w:tc>
          <w:tcPr>
            <w:tcW w:w="356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of their affiliates engages in such transactions, they will not make any such purchases when</w:t>
            </w:r>
          </w:p>
        </w:tc>
      </w:tr>
      <w:tr>
        <w:trPr>
          <w:trHeight w:val="199"/>
        </w:trPr>
        <w:tc>
          <w:tcPr>
            <w:tcW w:w="3560" w:type="dxa"/>
            <w:vAlign w:val="bottom"/>
            <w:tcBorders>
              <w:left w:val="single" w:sz="8" w:color="auto"/>
            </w:tcBorders>
          </w:tcPr>
          <w:p>
            <w:pPr>
              <w:spacing w:after="0"/>
              <w:rPr>
                <w:sz w:val="17"/>
                <w:szCs w:val="17"/>
                <w:color w:val="auto"/>
              </w:rPr>
            </w:pPr>
          </w:p>
        </w:tc>
        <w:tc>
          <w:tcPr>
            <w:tcW w:w="6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they are in possession of any</w:t>
            </w:r>
          </w:p>
        </w:tc>
      </w:tr>
      <w:tr>
        <w:trPr>
          <w:trHeight w:val="132"/>
        </w:trPr>
        <w:tc>
          <w:tcPr>
            <w:tcW w:w="3560" w:type="dxa"/>
            <w:vAlign w:val="bottom"/>
            <w:tcBorders>
              <w:left w:val="single" w:sz="8" w:color="auto"/>
              <w:bottom w:val="single" w:sz="8" w:color="auto"/>
            </w:tcBorders>
          </w:tcPr>
          <w:p>
            <w:pPr>
              <w:spacing w:after="0"/>
              <w:rPr>
                <w:sz w:val="11"/>
                <w:szCs w:val="11"/>
                <w:color w:val="auto"/>
              </w:rPr>
            </w:pPr>
          </w:p>
        </w:tc>
        <w:tc>
          <w:tcPr>
            <w:tcW w:w="6100" w:type="dxa"/>
            <w:vAlign w:val="bottom"/>
            <w:tcBorders>
              <w:bottom w:val="single" w:sz="8" w:color="auto"/>
              <w:right w:val="single" w:sz="8" w:color="auto"/>
            </w:tcBorders>
          </w:tcPr>
          <w:p>
            <w:pPr>
              <w:spacing w:after="0"/>
              <w:rPr>
                <w:sz w:val="11"/>
                <w:szCs w:val="11"/>
                <w:color w:val="auto"/>
              </w:rPr>
            </w:pPr>
          </w:p>
        </w:tc>
      </w:tr>
      <w:tr>
        <w:trPr>
          <w:trHeight w:val="334"/>
        </w:trPr>
        <w:tc>
          <w:tcPr>
            <w:tcW w:w="3560" w:type="dxa"/>
            <w:vAlign w:val="bottom"/>
          </w:tcPr>
          <w:p>
            <w:pPr>
              <w:spacing w:after="0"/>
              <w:rPr>
                <w:sz w:val="24"/>
                <w:szCs w:val="24"/>
                <w:color w:val="auto"/>
              </w:rPr>
            </w:pPr>
          </w:p>
        </w:tc>
        <w:tc>
          <w:tcPr>
            <w:tcW w:w="610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42</w:t>
            </w:r>
          </w:p>
        </w:tc>
      </w:tr>
    </w:tbl>
    <w:p>
      <w:pPr>
        <w:sectPr>
          <w:pgSz w:w="11900" w:h="16840" w:orient="portrait"/>
          <w:cols w:equalWidth="0" w:num="1">
            <w:col w:w="9660"/>
          </w:cols>
          <w:pgMar w:left="1120" w:top="564" w:right="1120" w:bottom="1440" w:gutter="0" w:footer="0" w:header="0"/>
        </w:sectPr>
      </w:pPr>
    </w:p>
    <w:bookmarkStart w:id="53" w:name="page54"/>
    <w:bookmarkEnd w:id="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640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37275" cy="4640580"/>
                    </a:xfrm>
                    <a:prstGeom prst="rect">
                      <a:avLst/>
                    </a:prstGeom>
                    <a:noFill/>
                  </pic:spPr>
                </pic:pic>
              </a:graphicData>
            </a:graphic>
          </wp:anchor>
        </w:drawing>
      </w:r>
    </w:p>
    <w:p>
      <w:pPr>
        <w:sectPr>
          <w:pgSz w:w="11900" w:h="16840" w:orient="portrait"/>
          <w:cols w:equalWidth="0" w:num="1">
            <w:col w:w="9960"/>
          </w:cols>
          <w:pgMar w:left="660" w:top="874"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left="600"/>
        <w:spacing w:after="0" w:line="284" w:lineRule="auto"/>
        <w:rPr>
          <w:sz w:val="20"/>
          <w:szCs w:val="20"/>
          <w:color w:val="auto"/>
        </w:rPr>
      </w:pPr>
      <w:r>
        <w:rPr>
          <w:rFonts w:ascii="Times New Roman" w:cs="Times New Roman" w:eastAsia="Times New Roman" w:hAnsi="Times New Roman"/>
          <w:sz w:val="15"/>
          <w:szCs w:val="15"/>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10" w:right="80"/>
        <w:spacing w:after="0" w:line="265" w:lineRule="auto"/>
        <w:rPr>
          <w:sz w:val="20"/>
          <w:szCs w:val="20"/>
          <w:color w:val="auto"/>
        </w:rPr>
      </w:pPr>
      <w:r>
        <w:rPr>
          <w:rFonts w:ascii="Times New Roman" w:cs="Times New Roman" w:eastAsia="Times New Roman" w:hAnsi="Times New Roman"/>
          <w:sz w:val="15"/>
          <w:szCs w:val="15"/>
          <w:color w:val="auto"/>
        </w:rPr>
        <w:t>material non-public information not disclosed to the seller or if such purchases are prohibited by Regulation M under the Securities Exchange Act of 1934, as amended (the “Exchange Act”).</w:t>
      </w:r>
    </w:p>
    <w:p>
      <w:pPr>
        <w:spacing w:after="0" w:line="92" w:lineRule="exact"/>
        <w:rPr>
          <w:sz w:val="20"/>
          <w:szCs w:val="20"/>
          <w:color w:val="auto"/>
        </w:rPr>
      </w:pPr>
    </w:p>
    <w:p>
      <w:pPr>
        <w:ind w:left="10" w:right="140"/>
        <w:spacing w:after="0" w:line="258" w:lineRule="auto"/>
        <w:rPr>
          <w:sz w:val="20"/>
          <w:szCs w:val="20"/>
          <w:color w:val="auto"/>
        </w:rPr>
      </w:pPr>
      <w:r>
        <w:rPr>
          <w:rFonts w:ascii="Times New Roman" w:cs="Times New Roman" w:eastAsia="Times New Roman" w:hAnsi="Times New Roman"/>
          <w:sz w:val="15"/>
          <w:szCs w:val="15"/>
          <w:color w:val="auto"/>
        </w:rPr>
        <w:t>Subsequent to the consummation of this offering, we will adopt an insider trading policy which will require insiders (hereinafter in this paragraph, as defined in the Exchange Act) to</w:t>
      </w:r>
    </w:p>
    <w:p>
      <w:pPr>
        <w:ind w:left="10" w:right="100" w:hanging="10"/>
        <w:spacing w:after="0" w:line="249" w:lineRule="auto"/>
        <w:tabs>
          <w:tab w:leader="none" w:pos="228"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refrain from purchasing securities during certain blackout periods and when they are in possession of any material non-public information and (2) clear all trades with our legal counsel prior to execution. We cannot currently determine whether any of our insiders will make such purchases pursuant to a Rule 10b5-1 plan, as that would be dependent upon several factors, including but not limited to, the timing and size of any such purchase. Depending on the circumstances, any of our insiders may decide to make purchases of our public shares pursuant to a Rule 10b5-1 plan or may determine that acting pursuant to such a plan is not required under the Exchange Act.</w:t>
      </w:r>
    </w:p>
    <w:p>
      <w:pPr>
        <w:spacing w:after="0" w:line="92" w:lineRule="exact"/>
        <w:rPr>
          <w:sz w:val="20"/>
          <w:szCs w:val="20"/>
          <w:color w:val="auto"/>
        </w:rPr>
      </w:pPr>
    </w:p>
    <w:p>
      <w:pPr>
        <w:ind w:left="10"/>
        <w:spacing w:after="0" w:line="252" w:lineRule="auto"/>
        <w:rPr>
          <w:sz w:val="20"/>
          <w:szCs w:val="20"/>
          <w:color w:val="auto"/>
        </w:rPr>
      </w:pPr>
      <w:r>
        <w:rPr>
          <w:rFonts w:ascii="Times New Roman" w:cs="Times New Roman" w:eastAsia="Times New Roman" w:hAnsi="Times New Roman"/>
          <w:sz w:val="15"/>
          <w:szCs w:val="15"/>
          <w:color w:val="auto"/>
        </w:rPr>
        <w:t>We do not currently anticipate that purchases of our public shares by any of our sponsor, directors, executive officers or any of their affiliates, if any, would constitute a tender offer subject to the tender offer rules under the Exchange Act or a going -private transaction subject to the going -private rules under the Exchange Act; however, if the purchasers determine at the time of any such purchases that the purchases are subject to such rules, the purchasers will comply with such rules. None of our sponsor, directors, officers or any of their affiliates will purchase public shares if such purchases would violate Section 9(a)(2) or Rule 10b-5 of the Exchange Act.</w:t>
      </w:r>
    </w:p>
    <w:p>
      <w:pPr>
        <w:spacing w:after="0" w:line="91"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15"/>
          <w:szCs w:val="15"/>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permitted withdrawals), divided by the number of then issued and outstanding public shares, subject to the limitations described herein.</w:t>
      </w:r>
    </w:p>
    <w:p>
      <w:pPr>
        <w:spacing w:after="0" w:line="89" w:lineRule="exact"/>
        <w:rPr>
          <w:sz w:val="20"/>
          <w:szCs w:val="20"/>
          <w:color w:val="auto"/>
        </w:rPr>
      </w:pPr>
    </w:p>
    <w:p>
      <w:pPr>
        <w:ind w:left="10" w:right="60"/>
        <w:spacing w:after="0" w:line="256" w:lineRule="auto"/>
        <w:rPr>
          <w:sz w:val="20"/>
          <w:szCs w:val="20"/>
          <w:color w:val="auto"/>
        </w:rPr>
      </w:pPr>
      <w:r>
        <w:rPr>
          <w:rFonts w:ascii="Times New Roman" w:cs="Times New Roman" w:eastAsia="Times New Roman" w:hAnsi="Times New Roman"/>
          <w:sz w:val="15"/>
          <w:szCs w:val="15"/>
          <w:color w:val="auto"/>
        </w:rPr>
        <w:t>The amount in the trust account is initially anticipated to be $10.00 per public share. Our initial shareholders have entered into agreements with us, pursuant to which they agree to waive their redemption rights with respect to their founder shares, private investor shares and any Class A ordinary shares issuable upon conversion thereof in connection with the consummation of our initial business combination.</w:t>
      </w:r>
    </w:p>
    <w:p>
      <w:pPr>
        <w:spacing w:after="0" w:line="87" w:lineRule="exact"/>
        <w:rPr>
          <w:sz w:val="20"/>
          <w:szCs w:val="20"/>
          <w:color w:val="auto"/>
        </w:rPr>
      </w:pPr>
    </w:p>
    <w:p>
      <w:pPr>
        <w:ind w:left="10" w:right="200"/>
        <w:spacing w:after="0" w:line="259" w:lineRule="auto"/>
        <w:rPr>
          <w:sz w:val="20"/>
          <w:szCs w:val="20"/>
          <w:color w:val="auto"/>
        </w:rPr>
      </w:pPr>
      <w:r>
        <w:rPr>
          <w:rFonts w:ascii="Times New Roman" w:cs="Times New Roman" w:eastAsia="Times New Roman" w:hAnsi="Times New Roman"/>
          <w:sz w:val="15"/>
          <w:szCs w:val="15"/>
          <w:color w:val="auto"/>
        </w:rPr>
        <w:t>The non-managing investors are not granted any shareholder or other rights in addition to those afforded to our other public shareholders, and will only be issued the private investor shares and private placement units of our company. The non-managing investors are not required to (i) hold any public units, public shares or public rights</w:t>
      </w:r>
    </w:p>
    <w:p>
      <w:pPr>
        <w:spacing w:after="0" w:line="200" w:lineRule="exact"/>
        <w:rPr>
          <w:sz w:val="20"/>
          <w:szCs w:val="20"/>
          <w:color w:val="auto"/>
        </w:rPr>
      </w:pPr>
    </w:p>
    <w:p>
      <w:pPr>
        <w:sectPr>
          <w:pgSz w:w="11900" w:h="16840" w:orient="portrait"/>
          <w:cols w:equalWidth="0" w:num="2">
            <w:col w:w="3560" w:space="590"/>
            <w:col w:w="5810"/>
          </w:cols>
          <w:pgMar w:left="660" w:top="874" w:right="1280" w:bottom="1440" w:gutter="0" w:footer="0" w:header="0"/>
          <w:type w:val="continuous"/>
        </w:sectPr>
      </w:pPr>
    </w:p>
    <w:p>
      <w:pPr>
        <w:spacing w:after="0" w:line="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43</w:t>
      </w:r>
    </w:p>
    <w:p>
      <w:pPr>
        <w:sectPr>
          <w:pgSz w:w="11900" w:h="16840" w:orient="portrait"/>
          <w:cols w:equalWidth="0" w:num="1">
            <w:col w:w="9960"/>
          </w:cols>
          <w:pgMar w:left="660" w:top="874" w:right="1280" w:bottom="1440" w:gutter="0" w:footer="0" w:header="0"/>
          <w:type w:val="continuous"/>
        </w:sectPr>
      </w:pPr>
    </w:p>
    <w:bookmarkStart w:id="54" w:name="page55"/>
    <w:bookmarkEnd w:id="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470" w:type="dxa"/>
        <w:tblCellMar>
          <w:top w:w="0" w:type="dxa"/>
          <w:left w:w="0" w:type="dxa"/>
          <w:bottom w:w="0" w:type="dxa"/>
          <w:right w:w="0" w:type="dxa"/>
        </w:tblCellMar>
      </w:tblPr>
      <w:tr>
        <w:trPr>
          <w:trHeight w:val="321"/>
        </w:trPr>
        <w:tc>
          <w:tcPr>
            <w:tcW w:w="3000" w:type="dxa"/>
            <w:vAlign w:val="bottom"/>
            <w:tcBorders>
              <w:top w:val="single" w:sz="8" w:color="auto"/>
              <w:left w:val="single" w:sz="8" w:color="auto"/>
            </w:tcBorders>
          </w:tcPr>
          <w:p>
            <w:pPr>
              <w:spacing w:after="0"/>
              <w:rPr>
                <w:sz w:val="24"/>
                <w:szCs w:val="24"/>
                <w:color w:val="auto"/>
              </w:rPr>
            </w:pPr>
          </w:p>
        </w:tc>
        <w:tc>
          <w:tcPr>
            <w:tcW w:w="666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they may purchase in this offering or thereafter for any amount of time, (ii) vote any public</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shares they may own at the applicable time in favor of our initial business combination</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(although the non-managing investors have agreed to vote their private investor shares and</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private placement shares in favor of an initial business combination), or (iii) refrain from</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exercising their right to redeem their public shares at the time of our initial business</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combination. The non-managing investors will have the same rights to the funds held in the</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trust account with respect to the public shares comprising part of the public units they may</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purchase in this offering or otherwise acquire as the rights afforded to our other public</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shareholders. However, if the non-managing investors purchase public units or public shares</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or otherwise hold a substantial number of our public units or public shares, then the</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non-managing investors will potentially have different interests than our other public</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shareholders in approving our initial business combination and otherwise exercising their</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rights as public shareholders because of their ownership of private investor shares and private</w:t>
            </w:r>
          </w:p>
        </w:tc>
      </w:tr>
      <w:tr>
        <w:trPr>
          <w:trHeight w:val="199"/>
        </w:trPr>
        <w:tc>
          <w:tcPr>
            <w:tcW w:w="30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placement units.</w:t>
            </w:r>
          </w:p>
        </w:tc>
      </w:tr>
      <w:tr>
        <w:trPr>
          <w:trHeight w:val="286"/>
        </w:trPr>
        <w:tc>
          <w:tcPr>
            <w:tcW w:w="30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Manner of conducting redemptions</w:t>
            </w: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We will provide our public shareholders with the opportunity to redeem all or a portion of</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their public shares upon the completion of our initial business combination either (1) in</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connection with a shareholder meeting called to approve the business combination or (2) by</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means of a tender offer. The decision as to whether we will seek shareholder approval of a</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proposed business combination or conduct a tender offer will be made by us, solely in our</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discretion, and will be based on a variety of factors such as the timing of the transaction and</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whether the terms of the transaction would require us to seek shareholder approval under</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applicable law or stock exchange listing requirement. Asset acquisitions and share purchases</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would not typically require shareholder approval while direct mergers with our company</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where we do not survive and any transactions where we issue more than 20% of our issued</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and outstanding ordinary shares or seek to amend our amended and restated memorandum</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and articles of association would require shareholder approval. We currently intend to</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conduct redemptions in connection with a shareholder vote unless shareholder approval is not</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required by applicable law or stock exchange rule or we choose to conduct redemptions</w:t>
            </w:r>
          </w:p>
        </w:tc>
      </w:tr>
      <w:tr>
        <w:trPr>
          <w:trHeight w:val="199"/>
        </w:trPr>
        <w:tc>
          <w:tcPr>
            <w:tcW w:w="30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pursuant to the tender offer rules of the SEC for business or other reasons.</w:t>
            </w:r>
          </w:p>
        </w:tc>
      </w:tr>
      <w:tr>
        <w:trPr>
          <w:trHeight w:val="275"/>
        </w:trPr>
        <w:tc>
          <w:tcPr>
            <w:tcW w:w="3000" w:type="dxa"/>
            <w:vAlign w:val="bottom"/>
            <w:tcBorders>
              <w:left w:val="single" w:sz="8" w:color="auto"/>
            </w:tcBorders>
          </w:tcPr>
          <w:p>
            <w:pPr>
              <w:spacing w:after="0"/>
              <w:rPr>
                <w:sz w:val="23"/>
                <w:szCs w:val="23"/>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If a shareholder vote is not required and we do not decide to hold a shareholder vote for</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business or other reasons, we will, pursuant to our amended and restated memorandum and</w:t>
            </w:r>
          </w:p>
        </w:tc>
      </w:tr>
      <w:tr>
        <w:trPr>
          <w:trHeight w:val="199"/>
        </w:trPr>
        <w:tc>
          <w:tcPr>
            <w:tcW w:w="30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5"/>
                <w:szCs w:val="15"/>
                <w:color w:val="auto"/>
              </w:rPr>
              <w:t>articles of association:</w:t>
            </w:r>
          </w:p>
        </w:tc>
      </w:tr>
      <w:tr>
        <w:trPr>
          <w:trHeight w:val="275"/>
        </w:trPr>
        <w:tc>
          <w:tcPr>
            <w:tcW w:w="3000" w:type="dxa"/>
            <w:vAlign w:val="bottom"/>
            <w:tcBorders>
              <w:left w:val="single" w:sz="8" w:color="auto"/>
            </w:tcBorders>
          </w:tcPr>
          <w:p>
            <w:pPr>
              <w:spacing w:after="0"/>
              <w:rPr>
                <w:sz w:val="23"/>
                <w:szCs w:val="23"/>
                <w:color w:val="auto"/>
              </w:rPr>
            </w:pPr>
          </w:p>
        </w:tc>
        <w:tc>
          <w:tcPr>
            <w:tcW w:w="6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5"/>
                <w:szCs w:val="15"/>
                <w:color w:val="auto"/>
              </w:rPr>
              <w:t>•   conduct the redemptions pursuant to Rule 13e-4 and Regulation 14E of the Exchange</w:t>
            </w:r>
          </w:p>
        </w:tc>
      </w:tr>
      <w:tr>
        <w:trPr>
          <w:trHeight w:val="199"/>
        </w:trPr>
        <w:tc>
          <w:tcPr>
            <w:tcW w:w="30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Act, which regulate issuer tender offers; and</w:t>
            </w:r>
          </w:p>
        </w:tc>
      </w:tr>
      <w:tr>
        <w:trPr>
          <w:trHeight w:val="275"/>
        </w:trPr>
        <w:tc>
          <w:tcPr>
            <w:tcW w:w="3000" w:type="dxa"/>
            <w:vAlign w:val="bottom"/>
            <w:tcBorders>
              <w:left w:val="single" w:sz="8" w:color="auto"/>
            </w:tcBorders>
          </w:tcPr>
          <w:p>
            <w:pPr>
              <w:spacing w:after="0"/>
              <w:rPr>
                <w:sz w:val="23"/>
                <w:szCs w:val="23"/>
                <w:color w:val="auto"/>
              </w:rPr>
            </w:pPr>
          </w:p>
        </w:tc>
        <w:tc>
          <w:tcPr>
            <w:tcW w:w="6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5"/>
                <w:szCs w:val="15"/>
                <w:color w:val="auto"/>
              </w:rPr>
              <w:t>•   file tender offer documents with the SEC prior to completing our initial business</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combination which contain substantially the same financial and other information</w:t>
            </w:r>
          </w:p>
        </w:tc>
      </w:tr>
      <w:tr>
        <w:trPr>
          <w:trHeight w:val="178"/>
        </w:trPr>
        <w:tc>
          <w:tcPr>
            <w:tcW w:w="300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about the initial business combination and the redemption rights as is required under</w:t>
            </w:r>
          </w:p>
        </w:tc>
      </w:tr>
      <w:tr>
        <w:trPr>
          <w:trHeight w:val="199"/>
        </w:trPr>
        <w:tc>
          <w:tcPr>
            <w:tcW w:w="30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Regulation 14A of the Exchange Act, which regulates the solicitation of proxies.</w:t>
            </w:r>
          </w:p>
        </w:tc>
      </w:tr>
      <w:tr>
        <w:trPr>
          <w:trHeight w:val="132"/>
        </w:trPr>
        <w:tc>
          <w:tcPr>
            <w:tcW w:w="3000" w:type="dxa"/>
            <w:vAlign w:val="bottom"/>
            <w:tcBorders>
              <w:left w:val="single" w:sz="8" w:color="auto"/>
              <w:bottom w:val="single" w:sz="8" w:color="auto"/>
            </w:tcBorders>
          </w:tcPr>
          <w:p>
            <w:pPr>
              <w:spacing w:after="0"/>
              <w:rPr>
                <w:sz w:val="11"/>
                <w:szCs w:val="11"/>
                <w:color w:val="auto"/>
              </w:rPr>
            </w:pPr>
          </w:p>
        </w:tc>
        <w:tc>
          <w:tcPr>
            <w:tcW w:w="6660" w:type="dxa"/>
            <w:vAlign w:val="bottom"/>
            <w:tcBorders>
              <w:bottom w:val="single" w:sz="8" w:color="auto"/>
              <w:right w:val="single" w:sz="8" w:color="auto"/>
            </w:tcBorders>
          </w:tcPr>
          <w:p>
            <w:pPr>
              <w:spacing w:after="0"/>
              <w:rPr>
                <w:sz w:val="11"/>
                <w:szCs w:val="11"/>
                <w:color w:val="auto"/>
              </w:rPr>
            </w:pPr>
          </w:p>
        </w:tc>
      </w:tr>
      <w:tr>
        <w:trPr>
          <w:trHeight w:val="334"/>
        </w:trPr>
        <w:tc>
          <w:tcPr>
            <w:tcW w:w="3000" w:type="dxa"/>
            <w:vAlign w:val="bottom"/>
          </w:tcPr>
          <w:p>
            <w:pPr>
              <w:spacing w:after="0"/>
              <w:rPr>
                <w:sz w:val="24"/>
                <w:szCs w:val="24"/>
                <w:color w:val="auto"/>
              </w:rPr>
            </w:pPr>
          </w:p>
        </w:tc>
        <w:tc>
          <w:tcPr>
            <w:tcW w:w="66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44</w:t>
            </w:r>
          </w:p>
        </w:tc>
      </w:tr>
    </w:tbl>
    <w:p>
      <w:pPr>
        <w:sectPr>
          <w:pgSz w:w="11900" w:h="16840" w:orient="portrait"/>
          <w:cols w:equalWidth="0" w:num="1">
            <w:col w:w="10120"/>
          </w:cols>
          <w:pgMar w:left="660" w:top="874" w:right="1120"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933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37275" cy="49339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160" w:right="220"/>
        <w:spacing w:after="0" w:line="256" w:lineRule="auto"/>
        <w:rPr>
          <w:sz w:val="20"/>
          <w:szCs w:val="20"/>
          <w:color w:val="auto"/>
        </w:rPr>
      </w:pPr>
      <w:r>
        <w:rPr>
          <w:rFonts w:ascii="Times New Roman" w:cs="Times New Roman" w:eastAsia="Times New Roman" w:hAnsi="Times New Roman"/>
          <w:sz w:val="15"/>
          <w:szCs w:val="15"/>
          <w:color w:val="auto"/>
        </w:rPr>
        <w:t>Upon the public announcement of our initial business combination, if we elect to conduct redemptions pursuant to the tender offer rules, we and our sponsor, directors and executive officers will terminate any plan established in accordance with Rule 10b5-1 under the Exchange Act to purchase public shares on the open market, in order to comply with Rule 14e-5 under the Exchange Act.</w:t>
      </w:r>
    </w:p>
    <w:p>
      <w:pPr>
        <w:spacing w:after="0" w:line="87" w:lineRule="exact"/>
        <w:rPr>
          <w:sz w:val="20"/>
          <w:szCs w:val="20"/>
          <w:color w:val="auto"/>
        </w:rPr>
      </w:pPr>
    </w:p>
    <w:p>
      <w:pPr>
        <w:ind w:left="4160"/>
        <w:spacing w:after="0" w:line="259" w:lineRule="auto"/>
        <w:rPr>
          <w:sz w:val="20"/>
          <w:szCs w:val="20"/>
          <w:color w:val="auto"/>
        </w:rPr>
      </w:pPr>
      <w:r>
        <w:rPr>
          <w:rFonts w:ascii="Times New Roman" w:cs="Times New Roman" w:eastAsia="Times New Roman" w:hAnsi="Times New Roman"/>
          <w:sz w:val="15"/>
          <w:szCs w:val="15"/>
          <w:color w:val="auto"/>
        </w:rPr>
        <w:t>In the event we conduct redemptions pursuant to the tender offer rules, our offer to redeem will remain open for at least 20 business days, in accordance with Rule 14e- 1(a) under the Exchange Act, and we will not be permitted to complete our initial business combination until the expiration of the tender offer period.</w:t>
      </w:r>
    </w:p>
    <w:p>
      <w:pPr>
        <w:spacing w:after="0" w:line="85" w:lineRule="exact"/>
        <w:rPr>
          <w:sz w:val="20"/>
          <w:szCs w:val="20"/>
          <w:color w:val="auto"/>
        </w:rPr>
      </w:pPr>
    </w:p>
    <w:p>
      <w:pPr>
        <w:jc w:val="both"/>
        <w:ind w:left="4160" w:right="280"/>
        <w:spacing w:after="0" w:line="265" w:lineRule="auto"/>
        <w:rPr>
          <w:sz w:val="20"/>
          <w:szCs w:val="20"/>
          <w:color w:val="auto"/>
        </w:rPr>
      </w:pPr>
      <w:r>
        <w:rPr>
          <w:rFonts w:ascii="Times New Roman" w:cs="Times New Roman" w:eastAsia="Times New Roman" w:hAnsi="Times New Roman"/>
          <w:sz w:val="15"/>
          <w:szCs w:val="15"/>
          <w:color w:val="auto"/>
        </w:rPr>
        <w:t>If, however, shareholder approval of the transaction is required by applicable law or stock exchange listing requirement, or we decide to obtain shareholder approval for business or other reasons, we will:</w:t>
      </w:r>
    </w:p>
    <w:p>
      <w:pPr>
        <w:spacing w:after="0" w:line="80" w:lineRule="exact"/>
        <w:rPr>
          <w:sz w:val="20"/>
          <w:szCs w:val="20"/>
          <w:color w:val="auto"/>
        </w:rPr>
      </w:pPr>
    </w:p>
    <w:p>
      <w:pPr>
        <w:ind w:left="4600" w:right="120" w:hanging="260"/>
        <w:spacing w:after="0" w:line="265" w:lineRule="auto"/>
        <w:tabs>
          <w:tab w:leader="none" w:pos="4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the redemptions in conjunction with a proxy solicitation pursuant to Regulation 14A of the Exchange Act, which regulates the solicitation of proxies, and not pursuant to the tender offer rules; and</w:t>
      </w:r>
    </w:p>
    <w:p>
      <w:pPr>
        <w:spacing w:after="0" w:line="80" w:lineRule="exact"/>
        <w:rPr>
          <w:rFonts w:ascii="Times New Roman" w:cs="Times New Roman" w:eastAsia="Times New Roman" w:hAnsi="Times New Roman"/>
          <w:sz w:val="15"/>
          <w:szCs w:val="15"/>
          <w:color w:val="auto"/>
        </w:rPr>
      </w:pPr>
    </w:p>
    <w:p>
      <w:pPr>
        <w:ind w:left="4600" w:hanging="260"/>
        <w:spacing w:after="0"/>
        <w:tabs>
          <w:tab w:leader="none" w:pos="4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 proxy materials with the SEC.</w:t>
      </w:r>
    </w:p>
    <w:p>
      <w:pPr>
        <w:spacing w:after="0" w:line="124" w:lineRule="exact"/>
        <w:rPr>
          <w:sz w:val="20"/>
          <w:szCs w:val="20"/>
          <w:color w:val="auto"/>
        </w:rPr>
      </w:pPr>
    </w:p>
    <w:p>
      <w:pPr>
        <w:ind w:left="4160" w:right="40"/>
        <w:spacing w:after="0" w:line="253" w:lineRule="auto"/>
        <w:rPr>
          <w:sz w:val="20"/>
          <w:szCs w:val="20"/>
          <w:color w:val="auto"/>
        </w:rPr>
      </w:pPr>
      <w:r>
        <w:rPr>
          <w:rFonts w:ascii="Times New Roman" w:cs="Times New Roman" w:eastAsia="Times New Roman" w:hAnsi="Times New Roman"/>
          <w:sz w:val="15"/>
          <w:szCs w:val="15"/>
          <w:color w:val="auto"/>
        </w:rPr>
        <w:t>We expect that a final proxy statement would be mailed to public shareholders at least 20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listings or Exchange Act registration.</w:t>
      </w:r>
    </w:p>
    <w:p>
      <w:pPr>
        <w:spacing w:after="0" w:line="89" w:lineRule="exact"/>
        <w:rPr>
          <w:sz w:val="20"/>
          <w:szCs w:val="20"/>
          <w:color w:val="auto"/>
        </w:rPr>
      </w:pPr>
    </w:p>
    <w:p>
      <w:pPr>
        <w:ind w:left="4160"/>
        <w:spacing w:after="0" w:line="249" w:lineRule="auto"/>
        <w:rPr>
          <w:sz w:val="20"/>
          <w:szCs w:val="20"/>
          <w:color w:val="auto"/>
        </w:rPr>
      </w:pPr>
      <w:r>
        <w:rPr>
          <w:rFonts w:ascii="Times New Roman" w:cs="Times New Roman" w:eastAsia="Times New Roman" w:hAnsi="Times New Roman"/>
          <w:sz w:val="15"/>
          <w:szCs w:val="15"/>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pursuant to the terms of agreements entered into with us, our initial shareholders will agree (and any of their permitted transferees will agree) to vote their founder shares, private investor shares and private placement shares held by them in favor of our initial business combination, but not any public shares that the non-managing investors may buy in this offering or after this offering on the open market. As a result, in addition to the founder shares, private investor shares and private placement shares that our insiders and the non-managing investors have purchased or committed to purchase (as described above), we would need approximately 6,129,258 public shares, or approximately 27.9% of the</w:t>
      </w:r>
    </w:p>
    <w:p>
      <w:pPr>
        <w:spacing w:after="0" w:line="2" w:lineRule="exact"/>
        <w:rPr>
          <w:sz w:val="20"/>
          <w:szCs w:val="20"/>
          <w:color w:val="auto"/>
        </w:rPr>
      </w:pPr>
    </w:p>
    <w:p>
      <w:pPr>
        <w:ind w:left="4160" w:right="80"/>
        <w:spacing w:after="0" w:line="252" w:lineRule="auto"/>
        <w:rPr>
          <w:sz w:val="20"/>
          <w:szCs w:val="20"/>
          <w:color w:val="auto"/>
        </w:rPr>
      </w:pPr>
      <w:r>
        <w:rPr>
          <w:rFonts w:ascii="Times New Roman" w:cs="Times New Roman" w:eastAsia="Times New Roman" w:hAnsi="Times New Roman"/>
          <w:sz w:val="15"/>
          <w:szCs w:val="15"/>
          <w:color w:val="auto"/>
        </w:rPr>
        <w:t>22,000,000 public shares sold in this offering, to be voted in favor of a transaction (assuming all issued and outstanding shares are voted, the over-allotment option is not exercised and 1,023,943 founder shares and 386,681 private investor shares have been forfeited) in order to have such initial business combination approved.</w:t>
      </w:r>
    </w:p>
    <w:p>
      <w:pPr>
        <w:spacing w:after="0" w:line="2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45</w:t>
      </w:r>
    </w:p>
    <w:p>
      <w:pPr>
        <w:sectPr>
          <w:pgSz w:w="11900" w:h="16840" w:orient="portrait"/>
          <w:cols w:equalWidth="0" w:num="1">
            <w:col w:w="9960"/>
          </w:cols>
          <w:pgMar w:left="660" w:top="874" w:right="1280"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3846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37275" cy="4384675"/>
                    </a:xfrm>
                    <a:prstGeom prst="rect">
                      <a:avLst/>
                    </a:prstGeom>
                    <a:noFill/>
                  </pic:spPr>
                </pic:pic>
              </a:graphicData>
            </a:graphic>
          </wp:anchor>
        </w:drawing>
      </w:r>
    </w:p>
    <w:p>
      <w:pPr>
        <w:sectPr>
          <w:pgSz w:w="11900" w:h="16840" w:orient="portrait"/>
          <w:cols w:equalWidth="0" w:num="1">
            <w:col w:w="9960"/>
          </w:cols>
          <w:pgMar w:left="660" w:top="874"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58"/>
        <w:spacing w:after="0" w:line="284" w:lineRule="auto"/>
        <w:rPr>
          <w:sz w:val="20"/>
          <w:szCs w:val="20"/>
          <w:color w:val="auto"/>
        </w:rPr>
      </w:pPr>
      <w:r>
        <w:rPr>
          <w:rFonts w:ascii="Times New Roman" w:cs="Times New Roman" w:eastAsia="Times New Roman" w:hAnsi="Times New Roman"/>
          <w:sz w:val="15"/>
          <w:szCs w:val="15"/>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5"/>
          <w:szCs w:val="15"/>
          <w:color w:val="auto"/>
        </w:rPr>
        <w:t>Assuming that only the holders of one-third of our issued and outstanding ordinary shares, representing a quorum under our amended and restated memorandum and articles of association, vote their shares, we will not need any public shares in addition to our founder shares held by our sponsor to be voted in favor of an initial business combination in order to approve an initial business combination. These voting thresholds, and the voting agreements of our initial shareholders may make it more likely that we will consummate our initial business combination. Each public shareholder may elect to redeem their public shares without voting, and if they do vote, irrespective of whether they vote for or against the proposed transaction. Our amended and restated memorandum and articles of association will require that at least five clear days’ notice will be given of any such shareholder meeting.</w:t>
      </w:r>
    </w:p>
    <w:p>
      <w:pPr>
        <w:spacing w:after="0" w:line="1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Redemptions of our public shares may also be subject to a cash requirement pursuant to an agreement relating to our initial business combination. For example, the proposed business combination may require: (1) cash consideration to be paid to the acquisition target or its owners; (2) cash to be transferred to the acquisition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would not complete the business combination or redeem any public shares, and all public shares submitted for redemption would be returned to the holders thereof.</w:t>
      </w:r>
    </w:p>
    <w:p>
      <w:pPr>
        <w:spacing w:after="0" w:line="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(2)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w:t>
      </w:r>
    </w:p>
    <w:p>
      <w:pPr>
        <w:spacing w:after="0" w:line="96" w:lineRule="exact"/>
        <w:rPr>
          <w:sz w:val="20"/>
          <w:szCs w:val="20"/>
          <w:color w:val="auto"/>
        </w:rPr>
      </w:pPr>
    </w:p>
    <w:p>
      <w:pPr>
        <w:sectPr>
          <w:pgSz w:w="11900" w:h="16840" w:orient="portrait"/>
          <w:cols w:equalWidth="0" w:num="2">
            <w:col w:w="4040" w:space="120"/>
            <w:col w:w="5800"/>
          </w:cols>
          <w:pgMar w:left="660" w:top="874" w:right="1280" w:bottom="1440" w:gutter="0" w:footer="0" w:header="0"/>
          <w:type w:val="continuous"/>
        </w:sectPr>
      </w:pPr>
    </w:p>
    <w:p>
      <w:pPr>
        <w:ind w:left="660" w:right="340" w:hanging="58"/>
        <w:spacing w:after="0" w:line="258" w:lineRule="auto"/>
        <w:rPr>
          <w:sz w:val="20"/>
          <w:szCs w:val="20"/>
          <w:color w:val="auto"/>
        </w:rPr>
      </w:pPr>
      <w:r>
        <w:rPr>
          <w:rFonts w:ascii="Times New Roman" w:cs="Times New Roman" w:eastAsia="Times New Roman" w:hAnsi="Times New Roman"/>
          <w:sz w:val="15"/>
          <w:szCs w:val="15"/>
          <w:color w:val="auto"/>
        </w:rPr>
        <w:t>Limitation on redemption rights of shareholders holding Notwithstanding the foregoing redemption rights, if we seek shareholder approval of our more than 15% of the public shares sold in this offering initial business combination and we do not conduct</w:t>
      </w:r>
    </w:p>
    <w:p>
      <w:pPr>
        <w:ind w:left="660"/>
        <w:spacing w:after="0"/>
        <w:rPr>
          <w:sz w:val="20"/>
          <w:szCs w:val="20"/>
          <w:color w:val="auto"/>
        </w:rPr>
      </w:pPr>
      <w:r>
        <w:rPr>
          <w:rFonts w:ascii="Times New Roman" w:cs="Times New Roman" w:eastAsia="Times New Roman" w:hAnsi="Times New Roman"/>
          <w:sz w:val="15"/>
          <w:szCs w:val="15"/>
          <w:color w:val="auto"/>
        </w:rPr>
        <w:t>if we hold a shareholder vote</w:t>
      </w:r>
    </w:p>
    <w:p>
      <w:pPr>
        <w:spacing w:after="0" w:line="3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46</w:t>
      </w:r>
    </w:p>
    <w:p>
      <w:pPr>
        <w:sectPr>
          <w:pgSz w:w="11900" w:h="16840" w:orient="portrait"/>
          <w:cols w:equalWidth="0" w:num="1">
            <w:col w:w="9960"/>
          </w:cols>
          <w:pgMar w:left="660" w:top="874" w:right="1280" w:bottom="1440" w:gutter="0" w:footer="0" w:header="0"/>
          <w:type w:val="continuous"/>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8285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37275" cy="4828540"/>
                    </a:xfrm>
                    <a:prstGeom prst="rect">
                      <a:avLst/>
                    </a:prstGeom>
                    <a:noFill/>
                  </pic:spPr>
                </pic:pic>
              </a:graphicData>
            </a:graphic>
          </wp:anchor>
        </w:drawing>
      </w:r>
    </w:p>
    <w:p>
      <w:pPr>
        <w:sectPr>
          <w:pgSz w:w="11900" w:h="16840" w:orient="portrait"/>
          <w:cols w:equalWidth="0" w:num="1">
            <w:col w:w="9960"/>
          </w:cols>
          <w:pgMar w:left="660" w:top="874" w:right="12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58"/>
        <w:spacing w:after="0" w:line="284" w:lineRule="auto"/>
        <w:rPr>
          <w:sz w:val="20"/>
          <w:szCs w:val="20"/>
          <w:color w:val="auto"/>
        </w:rPr>
      </w:pPr>
      <w:r>
        <w:rPr>
          <w:rFonts w:ascii="Times New Roman" w:cs="Times New Roman" w:eastAsia="Times New Roman" w:hAnsi="Times New Roman"/>
          <w:sz w:val="15"/>
          <w:szCs w:val="15"/>
          <w:color w:val="auto"/>
        </w:rPr>
        <w:t>Redemption rights in connection with proposed amendments to our charter documents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5"/>
          <w:szCs w:val="15"/>
          <w:color w:val="auto"/>
        </w:rPr>
        <w:t>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public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9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will provide that amendments to any its provisions relating to our pre-initial business combination activity and related shareholder rights, as well as any other provision of the amended and restated memorandum and articles of association, may be amended if approved by holders of a majority of our issued and outstanding ordinary shares, which attend and vote at a shareholder meeting of the company, subject to applicable stock exchange rules. If an amendment to any such provision is approved by the requisite shareholder vote, then the corresponding provisions of the trust agreement governing the release of funds from our trust account may be amended.</w:t>
      </w:r>
    </w:p>
    <w:p>
      <w:pPr>
        <w:spacing w:after="0" w:line="2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5"/>
          <w:szCs w:val="15"/>
          <w:color w:val="auto"/>
        </w:rPr>
        <w:t>After the completion of this offering, and prior to the consummation of our initial business combination, we may not issue any additional shares that would entitle the holders thereof to receive funds from the trust account or vote on an initial business combination, on any pre-business combination activity or on any amendment to the provisions of our amended and restated memorandum and articles of association relating to our pre-initial business combination activity and related shareholders’ rights.</w:t>
      </w:r>
    </w:p>
    <w:p>
      <w:pPr>
        <w:spacing w:after="0" w:line="8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5"/>
          <w:szCs w:val="15"/>
          <w:color w:val="auto"/>
        </w:rPr>
        <w:t>Our sponsor, executive officers and directors (and any of their permitted transferees), who will beneficially own approximately 17.8%</w:t>
      </w:r>
    </w:p>
    <w:p>
      <w:pPr>
        <w:spacing w:after="0" w:line="200" w:lineRule="exact"/>
        <w:rPr>
          <w:sz w:val="20"/>
          <w:szCs w:val="20"/>
          <w:color w:val="auto"/>
        </w:rPr>
      </w:pPr>
    </w:p>
    <w:p>
      <w:pPr>
        <w:sectPr>
          <w:pgSz w:w="11900" w:h="16840" w:orient="portrait"/>
          <w:cols w:equalWidth="0" w:num="2">
            <w:col w:w="3540" w:space="620"/>
            <w:col w:w="5800"/>
          </w:cols>
          <w:pgMar w:left="660" w:top="874" w:right="1280" w:bottom="1440" w:gutter="0" w:footer="0" w:header="0"/>
          <w:type w:val="continuous"/>
        </w:sectPr>
      </w:pPr>
    </w:p>
    <w:p>
      <w:pPr>
        <w:spacing w:after="0" w:line="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47</w:t>
      </w:r>
    </w:p>
    <w:p>
      <w:pPr>
        <w:sectPr>
          <w:pgSz w:w="11900" w:h="16840" w:orient="portrait"/>
          <w:cols w:equalWidth="0" w:num="1">
            <w:col w:w="9960"/>
          </w:cols>
          <w:pgMar w:left="660" w:top="874" w:right="1280" w:bottom="1440" w:gutter="0" w:footer="0" w:header="0"/>
          <w:type w:val="continuous"/>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4900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37275" cy="4490085"/>
                    </a:xfrm>
                    <a:prstGeom prst="rect">
                      <a:avLst/>
                    </a:prstGeom>
                    <a:noFill/>
                  </pic:spPr>
                </pic:pic>
              </a:graphicData>
            </a:graphic>
          </wp:anchor>
        </w:drawing>
      </w:r>
    </w:p>
    <w:p>
      <w:pPr>
        <w:sectPr>
          <w:pgSz w:w="11900" w:h="16840" w:orient="portrait"/>
          <w:cols w:equalWidth="0" w:num="1">
            <w:col w:w="9980"/>
          </w:cols>
          <w:pgMar w:left="660" w:top="874"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58"/>
        <w:spacing w:after="0" w:line="284" w:lineRule="auto"/>
        <w:rPr>
          <w:sz w:val="20"/>
          <w:szCs w:val="20"/>
          <w:color w:val="auto"/>
        </w:rPr>
      </w:pPr>
      <w:r>
        <w:rPr>
          <w:rFonts w:ascii="Times New Roman" w:cs="Times New Roman" w:eastAsia="Times New Roman" w:hAnsi="Times New Roman"/>
          <w:sz w:val="15"/>
          <w:szCs w:val="15"/>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right="460" w:hanging="58"/>
        <w:spacing w:after="0" w:line="284" w:lineRule="auto"/>
        <w:rPr>
          <w:sz w:val="20"/>
          <w:szCs w:val="20"/>
          <w:color w:val="auto"/>
        </w:rPr>
      </w:pPr>
      <w:r>
        <w:rPr>
          <w:rFonts w:ascii="Times New Roman" w:cs="Times New Roman" w:eastAsia="Times New Roman" w:hAnsi="Times New Roman"/>
          <w:sz w:val="15"/>
          <w:szCs w:val="15"/>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 xml:space="preserve">of our outstanding ordinary shares upon the closing of this offering (assuming they do not purchase public units in this offering and that the underwriters do not exercise their over-allotment option), may participate in any vote to amend our amended and restated memorandum and articles of association and will have the discretion to vote in any manner they choose;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each of them has agreed (and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w:t>
      </w:r>
    </w:p>
    <w:p>
      <w:pPr>
        <w:spacing w:after="0" w:line="2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Our initial shareholders will enter into agreements with us pursuant to which they will agree to waive their redemption rights with respect to their founder shares, private placement shares and any Class A ordinary shares issuable upon conversion thereof in connection with any amendment to the provisions of our amended and restated memorandum and articles of association relating to our pre-initial business combination activity and related shareholders’ rights.</w:t>
      </w:r>
    </w:p>
    <w:p>
      <w:pPr>
        <w:spacing w:after="0" w:line="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On the completion of our initial business combination, the funds held in the trust account will be used to pay amounts due to any public shareholders who exercise their redemption rights as described above under “</w:t>
      </w:r>
      <w:r>
        <w:rPr>
          <w:rFonts w:ascii="Times New Roman" w:cs="Times New Roman" w:eastAsia="Times New Roman" w:hAnsi="Times New Roman"/>
          <w:sz w:val="15"/>
          <w:szCs w:val="15"/>
          <w:i w:val="1"/>
          <w:iCs w:val="1"/>
          <w:color w:val="auto"/>
        </w:rPr>
        <w:t>Redemption rights for public shareholders upon completion of our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initial business combination </w:t>
      </w:r>
      <w:r>
        <w:rPr>
          <w:rFonts w:ascii="Times New Roman" w:cs="Times New Roman" w:eastAsia="Times New Roman" w:hAnsi="Times New Roman"/>
          <w:sz w:val="15"/>
          <w:szCs w:val="15"/>
          <w:color w:val="auto"/>
        </w:rPr>
        <w:t>,” to pay all or a portion of the consideration payable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acquisition target or owners of the acquisition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9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5"/>
          <w:szCs w:val="15"/>
          <w:color w:val="auto"/>
        </w:rPr>
        <w:t>We will have only 24 months from the closing of this offering to complete our initial business combination. If we anticipate that we may be unable to consummate our initial business combination within such</w:t>
      </w:r>
    </w:p>
    <w:p>
      <w:pPr>
        <w:spacing w:after="0" w:line="200" w:lineRule="exact"/>
        <w:rPr>
          <w:sz w:val="20"/>
          <w:szCs w:val="20"/>
          <w:color w:val="auto"/>
        </w:rPr>
      </w:pPr>
    </w:p>
    <w:p>
      <w:pPr>
        <w:sectPr>
          <w:pgSz w:w="11900" w:h="16840" w:orient="portrait"/>
          <w:cols w:equalWidth="0" w:num="2">
            <w:col w:w="4100" w:space="60"/>
            <w:col w:w="5820"/>
          </w:cols>
          <w:pgMar w:left="660" w:top="874" w:right="1260" w:bottom="1440" w:gutter="0" w:footer="0" w:header="0"/>
          <w:type w:val="continuous"/>
        </w:sectPr>
      </w:pPr>
    </w:p>
    <w:p>
      <w:pPr>
        <w:spacing w:after="0" w:line="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48</w:t>
      </w:r>
    </w:p>
    <w:p>
      <w:pPr>
        <w:sectPr>
          <w:pgSz w:w="11900" w:h="16840" w:orient="portrait"/>
          <w:cols w:equalWidth="0" w:num="1">
            <w:col w:w="9980"/>
          </w:cols>
          <w:pgMar w:left="660" w:top="874" w:right="1260" w:bottom="1440" w:gutter="0" w:footer="0" w:header="0"/>
          <w:type w:val="continuous"/>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745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37275" cy="47459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160" w:right="40"/>
        <w:spacing w:after="0" w:line="248" w:lineRule="auto"/>
        <w:rPr>
          <w:sz w:val="20"/>
          <w:szCs w:val="20"/>
          <w:color w:val="auto"/>
        </w:rPr>
      </w:pPr>
      <w:r>
        <w:rPr>
          <w:rFonts w:ascii="Times New Roman" w:cs="Times New Roman" w:eastAsia="Times New Roman" w:hAnsi="Times New Roman"/>
          <w:sz w:val="15"/>
          <w:szCs w:val="15"/>
          <w:color w:val="auto"/>
        </w:rPr>
        <w:t>24-month period, we may seek shareholder approval to amend our amended and restated memorandum and articles of association to extend the date by which we must consummate our initial business combination. While we do not currently intend to seek such shareholder approval, we may elect to do so in the future. There is no limit on the number of extensions that we may seek; however, we do not expect to extend the completion window beyond 36 months from the closing of this offering.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our insiders’ investment in our founder shares and our private placement units, including the component securities thereof, will be worthless. If we are unable to complete our initial business combination within the completion window, we will:</w:t>
      </w:r>
    </w:p>
    <w:p>
      <w:pPr>
        <w:spacing w:after="0" w:line="8" w:lineRule="exact"/>
        <w:rPr>
          <w:sz w:val="20"/>
          <w:szCs w:val="20"/>
          <w:color w:val="auto"/>
        </w:rPr>
      </w:pPr>
    </w:p>
    <w:p>
      <w:pPr>
        <w:ind w:left="4160" w:hanging="10"/>
        <w:spacing w:after="0" w:line="248" w:lineRule="auto"/>
        <w:tabs>
          <w:tab w:leader="none" w:pos="4378"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286" w:lineRule="exact"/>
        <w:rPr>
          <w:sz w:val="20"/>
          <w:szCs w:val="20"/>
          <w:color w:val="auto"/>
        </w:rPr>
      </w:pPr>
    </w:p>
    <w:p>
      <w:pPr>
        <w:ind w:left="4160" w:right="180"/>
        <w:spacing w:after="0" w:line="256" w:lineRule="auto"/>
        <w:rPr>
          <w:sz w:val="20"/>
          <w:szCs w:val="20"/>
          <w:color w:val="auto"/>
        </w:rPr>
      </w:pPr>
      <w:r>
        <w:rPr>
          <w:rFonts w:ascii="Times New Roman" w:cs="Times New Roman" w:eastAsia="Times New Roman" w:hAnsi="Times New Roman"/>
          <w:sz w:val="15"/>
          <w:szCs w:val="15"/>
          <w:color w:val="auto"/>
        </w:rPr>
        <w:t>We may, however, raise funds through the issuance of equity -linked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minimum cash requirements.</w:t>
      </w:r>
    </w:p>
    <w:p>
      <w:pPr>
        <w:spacing w:after="0" w:line="75" w:lineRule="exact"/>
        <w:rPr>
          <w:sz w:val="20"/>
          <w:szCs w:val="20"/>
          <w:color w:val="auto"/>
        </w:rPr>
      </w:pPr>
    </w:p>
    <w:p>
      <w:pPr>
        <w:ind w:left="4160" w:right="40"/>
        <w:spacing w:after="0" w:line="252" w:lineRule="auto"/>
        <w:rPr>
          <w:sz w:val="20"/>
          <w:szCs w:val="20"/>
          <w:color w:val="auto"/>
        </w:rPr>
      </w:pPr>
      <w:r>
        <w:rPr>
          <w:rFonts w:ascii="Times New Roman" w:cs="Times New Roman" w:eastAsia="Times New Roman" w:hAnsi="Times New Roman"/>
          <w:sz w:val="15"/>
          <w:szCs w:val="15"/>
          <w:color w:val="auto"/>
        </w:rPr>
        <w:t>Our initial shareholders have entered into agreements with us, pursuant to which they have waived their rights to liquidating distributions from the trust account with respect to their founder shares, private investor shares and private placement shares if we fail to complete our initial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initial business combination within the 24-month time frame.</w:t>
      </w:r>
    </w:p>
    <w:p>
      <w:pPr>
        <w:spacing w:after="0" w:line="200" w:lineRule="exact"/>
        <w:rPr>
          <w:sz w:val="20"/>
          <w:szCs w:val="20"/>
          <w:color w:val="auto"/>
        </w:rPr>
      </w:pPr>
    </w:p>
    <w:p>
      <w:pPr>
        <w:spacing w:after="0" w:line="2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49</w:t>
      </w:r>
    </w:p>
    <w:p>
      <w:pPr>
        <w:sectPr>
          <w:pgSz w:w="11900" w:h="16840" w:orient="portrait"/>
          <w:cols w:equalWidth="0" w:num="1">
            <w:col w:w="9980"/>
          </w:cols>
          <w:pgMar w:left="660" w:top="874" w:right="1260"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470" w:type="dxa"/>
        <w:tblCellMar>
          <w:top w:w="0" w:type="dxa"/>
          <w:left w:w="0" w:type="dxa"/>
          <w:bottom w:w="0" w:type="dxa"/>
          <w:right w:w="0" w:type="dxa"/>
        </w:tblCellMar>
      </w:tblPr>
      <w:tr>
        <w:trPr>
          <w:trHeight w:val="321"/>
        </w:trPr>
        <w:tc>
          <w:tcPr>
            <w:tcW w:w="254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Conflicts of Interest</w:t>
            </w:r>
          </w:p>
        </w:tc>
        <w:tc>
          <w:tcPr>
            <w:tcW w:w="712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Each of our officers and directors presently has, and any of them in the future may have</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additional, fiduciary, contractual or other obligations or duties to one or more other entities</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pursuant to which such officer or director is or will be required to present a business</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combination opportunity to such entities. Accordingly, if any of our officers or directors</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becomes aware of a business combination opportunity which is suitable for an entity to which</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he or she has then current fiduciary or contractual obligations, he or she will honor his or her</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fiduciary or contractual obligations to present such business combination opportunity to such</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other entity, subject to their fiduciary duties under Cayman Islands law. Our amended and</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restated memorandum and articles of association provide that, to the fullest extent permitted</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by law: (i) no individual serving as a director or an officer, among other persons, shall have</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any duty, except and to the extent expressly assumed by contract, to refrain from engaging</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directly or indirectly in the same or similar business activities or lines of business as us, and</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(ii) we renounce any interest or expectancy in, or in being offered an opportunity to</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participate in, any potential transaction or matter which (a) may be a corporate opportunity for</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any director or officer, on the one hand, and us, on the other or (b) the presentation of which</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would breach an existing legal obligation of a director or officer to any other entity. We do</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not believe, however, that the fiduciary duties or contractual obligations of our officers or</w:t>
            </w:r>
          </w:p>
        </w:tc>
      </w:tr>
      <w:tr>
        <w:trPr>
          <w:trHeight w:val="199"/>
        </w:trPr>
        <w:tc>
          <w:tcPr>
            <w:tcW w:w="254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directors will materially affect our ability to complete our initial business combination.</w:t>
            </w:r>
          </w:p>
        </w:tc>
      </w:tr>
      <w:tr>
        <w:trPr>
          <w:trHeight w:val="275"/>
        </w:trPr>
        <w:tc>
          <w:tcPr>
            <w:tcW w:w="2540" w:type="dxa"/>
            <w:vAlign w:val="bottom"/>
            <w:tcBorders>
              <w:left w:val="single" w:sz="8" w:color="auto"/>
            </w:tcBorders>
          </w:tcPr>
          <w:p>
            <w:pPr>
              <w:spacing w:after="0"/>
              <w:rPr>
                <w:sz w:val="23"/>
                <w:szCs w:val="23"/>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Our sponsor, officers or directors may sponsor or form other special purpose acquisition</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companies similar to ours or may pursue other business or investment ventures during the</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period in which we are seeking an initial business combination. As a result, our sponsor,</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officers and directors could have conflicts of interest in determining whether to present</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business combination opportunities to us or to any other special purpose acquisition company</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with which they may become involved. Any such companies, businesses or investments may</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present additional conflicts of interest in pursuing an initial business combination target. As</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the number of special purpose acquisition companies increases, the competition for available</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targets with attractive business models and strong financial presence intensifies, which could</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cause targets companies to demand improved acquisition terms. This could affect our ability</w:t>
            </w:r>
          </w:p>
        </w:tc>
      </w:tr>
      <w:tr>
        <w:trPr>
          <w:trHeight w:val="174"/>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to find and consummate an initial business combination or negotiate favorable to us</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 xml:space="preserve">provisions. </w:t>
            </w: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Risk Factors — We may engage in our initial business combination with</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one or more target businesses that have relationships with entities that may be affiliated</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with our sponsor, executive officers or directors, which may raise potential conflicts of</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interest.</w:t>
            </w:r>
            <w:r>
              <w:rPr>
                <w:rFonts w:ascii="Times New Roman" w:cs="Times New Roman" w:eastAsia="Times New Roman" w:hAnsi="Times New Roman"/>
                <w:sz w:val="15"/>
                <w:szCs w:val="15"/>
                <w:b w:val="1"/>
                <w:bCs w:val="1"/>
                <w:color w:val="auto"/>
              </w:rPr>
              <w:t>” and “—</w:t>
            </w:r>
            <w:r>
              <w:rPr>
                <w:rFonts w:ascii="Times New Roman" w:cs="Times New Roman" w:eastAsia="Times New Roman" w:hAnsi="Times New Roman"/>
                <w:sz w:val="15"/>
                <w:szCs w:val="15"/>
                <w:b w:val="1"/>
                <w:bCs w:val="1"/>
                <w:i w:val="1"/>
                <w:iCs w:val="1"/>
                <w:color w:val="auto"/>
              </w:rPr>
              <w:t xml:space="preserve"> As the number of special purpose acquisition companies evaluating</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targets increases, and other issued SPAC entities may come to market with superior terms</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for the acquisition targets, attractive targets may become scarcer and there may be more</w:t>
            </w:r>
          </w:p>
        </w:tc>
      </w:tr>
      <w:tr>
        <w:trPr>
          <w:trHeight w:val="178"/>
        </w:trPr>
        <w:tc>
          <w:tcPr>
            <w:tcW w:w="2540" w:type="dxa"/>
            <w:vAlign w:val="bottom"/>
            <w:tcBorders>
              <w:left w:val="single" w:sz="8" w:color="auto"/>
            </w:tcBorders>
          </w:tcPr>
          <w:p>
            <w:pPr>
              <w:spacing w:after="0"/>
              <w:rPr>
                <w:sz w:val="15"/>
                <w:szCs w:val="15"/>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competition for attractive targets. This could increase the cost of our initial business</w:t>
            </w:r>
          </w:p>
        </w:tc>
      </w:tr>
      <w:tr>
        <w:trPr>
          <w:trHeight w:val="203"/>
        </w:trPr>
        <w:tc>
          <w:tcPr>
            <w:tcW w:w="254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combination and could even result in our</w:t>
            </w:r>
          </w:p>
        </w:tc>
      </w:tr>
      <w:tr>
        <w:trPr>
          <w:trHeight w:val="132"/>
        </w:trPr>
        <w:tc>
          <w:tcPr>
            <w:tcW w:w="2540" w:type="dxa"/>
            <w:vAlign w:val="bottom"/>
            <w:tcBorders>
              <w:left w:val="single" w:sz="8" w:color="auto"/>
              <w:bottom w:val="single" w:sz="8" w:color="auto"/>
            </w:tcBorders>
          </w:tcPr>
          <w:p>
            <w:pPr>
              <w:spacing w:after="0"/>
              <w:rPr>
                <w:sz w:val="11"/>
                <w:szCs w:val="11"/>
                <w:color w:val="auto"/>
              </w:rPr>
            </w:pPr>
          </w:p>
        </w:tc>
        <w:tc>
          <w:tcPr>
            <w:tcW w:w="7120" w:type="dxa"/>
            <w:vAlign w:val="bottom"/>
            <w:tcBorders>
              <w:bottom w:val="single" w:sz="8" w:color="auto"/>
              <w:right w:val="single" w:sz="8" w:color="auto"/>
            </w:tcBorders>
          </w:tcPr>
          <w:p>
            <w:pPr>
              <w:spacing w:after="0"/>
              <w:rPr>
                <w:sz w:val="11"/>
                <w:szCs w:val="11"/>
                <w:color w:val="auto"/>
              </w:rPr>
            </w:pPr>
          </w:p>
        </w:tc>
      </w:tr>
      <w:tr>
        <w:trPr>
          <w:trHeight w:val="334"/>
        </w:trPr>
        <w:tc>
          <w:tcPr>
            <w:tcW w:w="2540" w:type="dxa"/>
            <w:vAlign w:val="bottom"/>
          </w:tcPr>
          <w:p>
            <w:pPr>
              <w:spacing w:after="0"/>
              <w:rPr>
                <w:sz w:val="24"/>
                <w:szCs w:val="24"/>
                <w:color w:val="auto"/>
              </w:rPr>
            </w:pPr>
          </w:p>
        </w:tc>
        <w:tc>
          <w:tcPr>
            <w:tcW w:w="712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50</w:t>
            </w:r>
          </w:p>
        </w:tc>
      </w:tr>
    </w:tbl>
    <w:p>
      <w:pPr>
        <w:sectPr>
          <w:pgSz w:w="11900" w:h="16840" w:orient="portrait"/>
          <w:cols w:equalWidth="0" w:num="1">
            <w:col w:w="10120"/>
          </w:cols>
          <w:pgMar w:left="660" w:top="874" w:right="1120"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415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37275" cy="4415155"/>
                    </a:xfrm>
                    <a:prstGeom prst="rect">
                      <a:avLst/>
                    </a:prstGeom>
                    <a:noFill/>
                  </pic:spPr>
                </pic:pic>
              </a:graphicData>
            </a:graphic>
          </wp:anchor>
        </w:drawing>
      </w:r>
    </w:p>
    <w:p>
      <w:pPr>
        <w:spacing w:after="0" w:line="400" w:lineRule="exact"/>
        <w:rPr>
          <w:sz w:val="20"/>
          <w:szCs w:val="20"/>
          <w:color w:val="auto"/>
        </w:rPr>
      </w:pPr>
    </w:p>
    <w:p>
      <w:pPr>
        <w:ind w:left="4160" w:right="2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inability to find a target or to consummate an initial business combination.” </w:t>
      </w:r>
      <w:r>
        <w:rPr>
          <w:rFonts w:ascii="Times New Roman" w:cs="Times New Roman" w:eastAsia="Times New Roman" w:hAnsi="Times New Roman"/>
          <w:sz w:val="15"/>
          <w:szCs w:val="15"/>
          <w:color w:val="auto"/>
        </w:rPr>
        <w:t>However, we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do not believe that any such potential conflicts would materially affect our ability to complete our initial business combination.</w:t>
      </w:r>
    </w:p>
    <w:p>
      <w:pPr>
        <w:spacing w:after="0" w:line="89" w:lineRule="exact"/>
        <w:rPr>
          <w:sz w:val="20"/>
          <w:szCs w:val="20"/>
          <w:color w:val="auto"/>
        </w:rPr>
      </w:pPr>
    </w:p>
    <w:p>
      <w:pPr>
        <w:ind w:left="4160" w:right="20"/>
        <w:spacing w:after="0" w:line="254" w:lineRule="auto"/>
        <w:rPr>
          <w:sz w:val="20"/>
          <w:szCs w:val="20"/>
          <w:color w:val="auto"/>
        </w:rPr>
      </w:pPr>
      <w:r>
        <w:rPr>
          <w:rFonts w:ascii="Times New Roman" w:cs="Times New Roman" w:eastAsia="Times New Roman" w:hAnsi="Times New Roman"/>
          <w:sz w:val="15"/>
          <w:szCs w:val="15"/>
          <w:color w:val="auto"/>
        </w:rPr>
        <w:t>Our executive officers and our directors may have interests that differ from you in connection with the business combination, including the fact that they may lose their entire investment in us if our initial business combination is not completed, except to the extent they receive liquidating distributions from assets outside the trust account, and accordingly, may have a conflict of interest in determining whether a particular target business is an appropriate business with which to effectuate our initial business combination.</w:t>
      </w:r>
    </w:p>
    <w:p>
      <w:pPr>
        <w:spacing w:after="0" w:line="89" w:lineRule="exact"/>
        <w:rPr>
          <w:sz w:val="20"/>
          <w:szCs w:val="20"/>
          <w:color w:val="auto"/>
        </w:rPr>
      </w:pPr>
    </w:p>
    <w:p>
      <w:pPr>
        <w:ind w:left="4160"/>
        <w:spacing w:after="0" w:line="248" w:lineRule="auto"/>
        <w:rPr>
          <w:sz w:val="20"/>
          <w:szCs w:val="20"/>
          <w:color w:val="auto"/>
        </w:rPr>
      </w:pPr>
      <w:r>
        <w:rPr>
          <w:rFonts w:ascii="Times New Roman" w:cs="Times New Roman" w:eastAsia="Times New Roman" w:hAnsi="Times New Roman"/>
          <w:sz w:val="15"/>
          <w:szCs w:val="15"/>
          <w:color w:val="auto"/>
        </w:rPr>
        <w:t>Our sponsor, which is owned by two of our directors, Dr. Raluca Dinu and Dr. Avi S. Katz, and four of our other directors, James Greene, Luis Machuca, Bryan Timm, and Raanan Horowitz, will directly or indirectly own our securities following this offering, and accordingly, they may have a conflict of interest in determining whether a particular target business is an appropriate business with which to effectuate our initial business combination, including the fact that they may lose their entire investment in us if our initial business combination is not completed, except to the extent they receive liquidating distributions from assets outside the trust account or are entitled to receive liquidating distributions from the trust account in the event they choose to purchase public shares. Upon the closing of this offering, assuming the underwriters’ over -allotment option is not exercised, our sponsor and the four directors will have invested in us an aggregate of $452,000.48, comprised of $2,626 paid by the sponsor for 6,058,167 founder shares (after giving effect to the sales of shares to the four directors and Lynrock) (or $0.000434 per share), $9,244 paid by the four directors for the aggregate of 375,397 founder shares (or $0.02462 per share) and the $440,130.48 purchase price for the private placement units (or $9.7374 per unit). In addition, 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 Accordingly, our management team may be more willing to pursue a business combination with a riskier or less-established target business than would be the case if our insiders had paid the same per share price for the founder shares as our public shareholders paid for their public shares in this offering, as our sponsor and members of our management team would likely not receive any financial benefit unless we consummated such business combination. These interests of our sponsor, executive officers and directors may affect the</w:t>
      </w:r>
    </w:p>
    <w:p>
      <w:pPr>
        <w:spacing w:after="0" w:line="200" w:lineRule="exact"/>
        <w:rPr>
          <w:sz w:val="20"/>
          <w:szCs w:val="20"/>
          <w:color w:val="auto"/>
        </w:rPr>
      </w:pPr>
    </w:p>
    <w:p>
      <w:pPr>
        <w:spacing w:after="0" w:line="2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51</w:t>
      </w:r>
    </w:p>
    <w:p>
      <w:pPr>
        <w:sectPr>
          <w:pgSz w:w="11900" w:h="16840" w:orient="portrait"/>
          <w:cols w:equalWidth="0" w:num="1">
            <w:col w:w="9940"/>
          </w:cols>
          <w:pgMar w:left="660" w:top="874" w:right="1300"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460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37275" cy="44602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160" w:right="140"/>
        <w:spacing w:after="0" w:line="284" w:lineRule="auto"/>
        <w:rPr>
          <w:sz w:val="20"/>
          <w:szCs w:val="20"/>
          <w:color w:val="auto"/>
        </w:rPr>
      </w:pPr>
      <w:r>
        <w:rPr>
          <w:rFonts w:ascii="Times New Roman" w:cs="Times New Roman" w:eastAsia="Times New Roman" w:hAnsi="Times New Roman"/>
          <w:sz w:val="15"/>
          <w:szCs w:val="15"/>
          <w:color w:val="auto"/>
        </w:rPr>
        <w:t>consideration paid, terms, conditions and timing relating to a business combination in a way that conflicts with the interests of our public shareholders.</w:t>
      </w:r>
    </w:p>
    <w:p>
      <w:pPr>
        <w:spacing w:after="0" w:line="77" w:lineRule="exact"/>
        <w:rPr>
          <w:sz w:val="20"/>
          <w:szCs w:val="20"/>
          <w:color w:val="auto"/>
        </w:rPr>
      </w:pPr>
    </w:p>
    <w:p>
      <w:pPr>
        <w:ind w:left="4160"/>
        <w:spacing w:after="0" w:line="249" w:lineRule="auto"/>
        <w:rPr>
          <w:sz w:val="20"/>
          <w:szCs w:val="20"/>
          <w:color w:val="auto"/>
        </w:rPr>
      </w:pPr>
      <w:r>
        <w:rPr>
          <w:rFonts w:ascii="Times New Roman" w:cs="Times New Roman" w:eastAsia="Times New Roman" w:hAnsi="Times New Roman"/>
          <w:sz w:val="15"/>
          <w:szCs w:val="15"/>
          <w:color w:val="auto"/>
        </w:rPr>
        <w:t>Additionally, the personal and financial interests of our directors and executive officers may influence their motivation in timely identifying and pursuing an initial business combination or completing our initial business combination. In the event we do not consummate a business combination within the completion window, and unless the time for us to consummate a business combination has been extended, the founder shares, private investor shares and the private placement units will expire worthless, which could create an incentive to our officers and directors to complete a transaction even if the company selects an acquisition target that subsequently declines in value and is unprofitable for public investors.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w:t>
      </w:r>
    </w:p>
    <w:p>
      <w:pPr>
        <w:spacing w:after="0" w:line="99" w:lineRule="exact"/>
        <w:rPr>
          <w:sz w:val="20"/>
          <w:szCs w:val="20"/>
          <w:color w:val="auto"/>
        </w:rPr>
      </w:pPr>
    </w:p>
    <w:p>
      <w:pPr>
        <w:ind w:left="4160"/>
        <w:spacing w:after="0" w:line="252" w:lineRule="auto"/>
        <w:rPr>
          <w:sz w:val="20"/>
          <w:szCs w:val="20"/>
          <w:color w:val="auto"/>
        </w:rPr>
      </w:pPr>
      <w:r>
        <w:rPr>
          <w:rFonts w:ascii="Times New Roman" w:cs="Times New Roman" w:eastAsia="Times New Roman" w:hAnsi="Times New Roman"/>
          <w:sz w:val="15"/>
          <w:szCs w:val="15"/>
          <w:color w:val="auto"/>
        </w:rPr>
        <w:t xml:space="preserve">In addition to the above, our officers and directors are not required to commit any specified amount of time to our affairs, and, accordingly, may have conflicts of interest in allocating management time among various business activities, including selecting a business combination target and monitoring the related due diligence. </w:t>
      </w: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Risk Factors — Our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r>
        <w:rPr>
          <w:rFonts w:ascii="Times New Roman" w:cs="Times New Roman" w:eastAsia="Times New Roman" w:hAnsi="Times New Roman"/>
          <w:sz w:val="15"/>
          <w:szCs w:val="15"/>
          <w:b w:val="1"/>
          <w:bCs w:val="1"/>
          <w:color w:val="auto"/>
        </w:rPr>
        <w:t>”</w:t>
      </w:r>
    </w:p>
    <w:p>
      <w:pPr>
        <w:spacing w:after="0" w:line="308" w:lineRule="exact"/>
        <w:rPr>
          <w:sz w:val="20"/>
          <w:szCs w:val="20"/>
          <w:color w:val="auto"/>
        </w:rPr>
      </w:pPr>
    </w:p>
    <w:p>
      <w:pPr>
        <w:ind w:left="600" w:right="20"/>
        <w:spacing w:after="0" w:line="254" w:lineRule="auto"/>
        <w:rPr>
          <w:sz w:val="20"/>
          <w:szCs w:val="20"/>
          <w:color w:val="auto"/>
        </w:rPr>
      </w:pPr>
      <w:r>
        <w:rPr>
          <w:rFonts w:ascii="Times New Roman" w:cs="Times New Roman" w:eastAsia="Times New Roman" w:hAnsi="Times New Roman"/>
          <w:sz w:val="15"/>
          <w:szCs w:val="15"/>
          <w:color w:val="auto"/>
        </w:rPr>
        <w:t>Additionally, our sponsor and executive officers and directors have agreed to waive their redemption rights with respect to any founder shares, private placement units and any public shares held by them in connection with the consummation of our initial business combination. Further, our sponsor and executive officers and directors have agreed to waive their redemption rights with respect to any founder shares and private placement units held by them if we are unable to complete our initial business combination within 24 months from the closing of this offering or by such earlier liquidation date as our board of directors may approve. If we do not complete our initial business combination within the completion window, the proceeds of the sale of the private placement units held in the trust account will be used to fund the redemption of our public shares, and the rights may expire worthless.</w:t>
      </w:r>
    </w:p>
    <w:p>
      <w:pPr>
        <w:spacing w:after="0" w:line="243" w:lineRule="exact"/>
        <w:rPr>
          <w:sz w:val="20"/>
          <w:szCs w:val="20"/>
          <w:color w:val="auto"/>
        </w:rPr>
      </w:pPr>
    </w:p>
    <w:p>
      <w:pPr>
        <w:ind w:left="4160" w:right="40"/>
        <w:spacing w:after="0" w:line="265" w:lineRule="auto"/>
        <w:rPr>
          <w:sz w:val="20"/>
          <w:szCs w:val="20"/>
          <w:color w:val="auto"/>
        </w:rPr>
      </w:pPr>
      <w:r>
        <w:rPr>
          <w:rFonts w:ascii="Times New Roman" w:cs="Times New Roman" w:eastAsia="Times New Roman" w:hAnsi="Times New Roman"/>
          <w:sz w:val="15"/>
          <w:szCs w:val="15"/>
          <w:color w:val="auto"/>
        </w:rPr>
        <w:t>With certain limited exceptions, the founder shares will not be transferable, assignable or salable by our sponsor or its permitted transferees until The earlier of (A) six months after the date of the</w:t>
      </w:r>
    </w:p>
    <w:p>
      <w:pPr>
        <w:spacing w:after="0" w:line="2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52</w:t>
      </w:r>
    </w:p>
    <w:p>
      <w:pPr>
        <w:sectPr>
          <w:pgSz w:w="11900" w:h="16840" w:orient="portrait"/>
          <w:cols w:equalWidth="0" w:num="1">
            <w:col w:w="9960"/>
          </w:cols>
          <w:pgMar w:left="660" w:top="874" w:right="1280" w:bottom="1440" w:gutter="0" w:footer="0" w:header="0"/>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9041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37275" cy="49041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160" w:right="20"/>
        <w:spacing w:after="0" w:line="249" w:lineRule="auto"/>
        <w:rPr>
          <w:sz w:val="20"/>
          <w:szCs w:val="20"/>
          <w:color w:val="auto"/>
        </w:rPr>
      </w:pPr>
      <w:r>
        <w:rPr>
          <w:rFonts w:ascii="Times New Roman" w:cs="Times New Roman" w:eastAsia="Times New Roman" w:hAnsi="Times New Roman"/>
          <w:sz w:val="15"/>
          <w:szCs w:val="15"/>
          <w:color w:val="auto"/>
        </w:rPr>
        <w:t>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30 -trading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With certain limited exceptions, the private placement units (including the securities comprising such units) will not be transferable, assignable or salable by our sponsor or its permitted transferees until 30 days after the completion of our initial business combination. Since our sponsor and executive officers and directors may directly or indirectly own ordinary shares and rights following this offering, our executive officers and directors may have a conflict of interest in determining whether a particular target business is an appropriate business with which to effectuate our initial business combination because of their financial interest in completing an initial business combination within the completion window or by such earlier liquidation date as our board of directors may approve.</w:t>
      </w:r>
    </w:p>
    <w:p>
      <w:pPr>
        <w:spacing w:after="0" w:line="108" w:lineRule="exact"/>
        <w:rPr>
          <w:sz w:val="20"/>
          <w:szCs w:val="20"/>
          <w:color w:val="auto"/>
        </w:rPr>
      </w:pPr>
    </w:p>
    <w:p>
      <w:pPr>
        <w:ind w:left="4160" w:right="20"/>
        <w:spacing w:after="0" w:line="253" w:lineRule="auto"/>
        <w:rPr>
          <w:sz w:val="20"/>
          <w:szCs w:val="20"/>
          <w:color w:val="auto"/>
        </w:rPr>
      </w:pPr>
      <w:r>
        <w:rPr>
          <w:rFonts w:ascii="Times New Roman" w:cs="Times New Roman" w:eastAsia="Times New Roman" w:hAnsi="Times New Roman"/>
          <w:sz w:val="15"/>
          <w:szCs w:val="15"/>
          <w:color w:val="auto"/>
        </w:rPr>
        <w:t>Our insiders, officers, advisors and directors, or any of their respective affiliates, will be reimbursed for any out-of -pocket expenses incurred in connection with activities on our behalf such as identifying and investigation potential target businesses, performing business due diligence on suitable target businesses and business combinations. There is no limit on the amount of out-of-pocket expenses reimbursable by us provided, however, to the extent such expenses exceed the available proceeds not deposited in the trust account, such expenses would not be reimbursed by us unless we consummate an initial business combination.</w:t>
      </w:r>
    </w:p>
    <w:p>
      <w:pPr>
        <w:spacing w:after="0" w:line="89" w:lineRule="exact"/>
        <w:rPr>
          <w:sz w:val="20"/>
          <w:szCs w:val="20"/>
          <w:color w:val="auto"/>
        </w:rPr>
      </w:pPr>
    </w:p>
    <w:p>
      <w:pPr>
        <w:ind w:left="4160" w:right="20"/>
        <w:spacing w:after="0" w:line="256" w:lineRule="auto"/>
        <w:rPr>
          <w:sz w:val="20"/>
          <w:szCs w:val="20"/>
          <w:color w:val="auto"/>
        </w:rPr>
      </w:pPr>
      <w:r>
        <w:rPr>
          <w:rFonts w:ascii="Times New Roman" w:cs="Times New Roman" w:eastAsia="Times New Roman" w:hAnsi="Times New Roman"/>
          <w:sz w:val="15"/>
          <w:szCs w:val="15"/>
          <w:color w:val="auto"/>
        </w:rPr>
        <w:t>In the event our sponsor or members of our management team provide loans to us to finance transaction costs in connection with an initial business combination, such persons may have a conflict of interest in determining whether a particular target business is an appropriate business with which to effectuate our initial business combination as such loans may not be repaid unless we consummate such business combination.</w:t>
      </w:r>
    </w:p>
    <w:p>
      <w:pPr>
        <w:spacing w:after="0" w:line="87" w:lineRule="exact"/>
        <w:rPr>
          <w:sz w:val="20"/>
          <w:szCs w:val="20"/>
          <w:color w:val="auto"/>
        </w:rPr>
      </w:pPr>
    </w:p>
    <w:p>
      <w:pPr>
        <w:ind w:left="4160"/>
        <w:spacing w:after="0" w:line="254" w:lineRule="auto"/>
        <w:rPr>
          <w:sz w:val="20"/>
          <w:szCs w:val="20"/>
          <w:color w:val="auto"/>
        </w:rPr>
      </w:pPr>
      <w:r>
        <w:rPr>
          <w:rFonts w:ascii="Times New Roman" w:cs="Times New Roman" w:eastAsia="Times New Roman" w:hAnsi="Times New Roman"/>
          <w:sz w:val="15"/>
          <w:szCs w:val="15"/>
          <w:color w:val="auto"/>
        </w:rPr>
        <w:t>Similarly, if we agree to pay our sponsor or a member of our management team a finder’s fee, advisory fee, consulting fee or success fee in order to effectuate the completion of our initial business combination, such persons may have a conflict of interest in determining whether a particular target business is an appropriate business with which to effectuate our initial business combination as any such fee may not be paid unless we consummate such business combination.</w:t>
      </w:r>
    </w:p>
    <w:p>
      <w:pPr>
        <w:spacing w:after="0" w:line="89" w:lineRule="exact"/>
        <w:rPr>
          <w:sz w:val="20"/>
          <w:szCs w:val="20"/>
          <w:color w:val="auto"/>
        </w:rPr>
      </w:pPr>
    </w:p>
    <w:p>
      <w:pPr>
        <w:ind w:left="4160" w:right="140"/>
        <w:spacing w:after="0" w:line="259" w:lineRule="auto"/>
        <w:rPr>
          <w:sz w:val="20"/>
          <w:szCs w:val="20"/>
          <w:color w:val="auto"/>
        </w:rPr>
      </w:pPr>
      <w:r>
        <w:rPr>
          <w:rFonts w:ascii="Times New Roman" w:cs="Times New Roman" w:eastAsia="Times New Roman" w:hAnsi="Times New Roman"/>
          <w:sz w:val="15"/>
          <w:szCs w:val="15"/>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accordingly, such affiliated person(s) may have a conflict of interest in</w:t>
      </w:r>
    </w:p>
    <w:p>
      <w:pPr>
        <w:spacing w:after="0" w:line="2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53</w:t>
      </w:r>
    </w:p>
    <w:p>
      <w:pPr>
        <w:sectPr>
          <w:pgSz w:w="11900" w:h="16840" w:orient="portrait"/>
          <w:cols w:equalWidth="0" w:num="1">
            <w:col w:w="9940"/>
          </w:cols>
          <w:pgMar w:left="660" w:top="874" w:right="1300"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470" w:type="dxa"/>
        <w:tblCellMar>
          <w:top w:w="0" w:type="dxa"/>
          <w:left w:w="0" w:type="dxa"/>
          <w:bottom w:w="0" w:type="dxa"/>
          <w:right w:w="0" w:type="dxa"/>
        </w:tblCellMar>
      </w:tblPr>
      <w:tr>
        <w:trPr>
          <w:trHeight w:val="321"/>
        </w:trPr>
        <w:tc>
          <w:tcPr>
            <w:tcW w:w="2240" w:type="dxa"/>
            <w:vAlign w:val="bottom"/>
            <w:tcBorders>
              <w:top w:val="single" w:sz="8" w:color="auto"/>
              <w:left w:val="single" w:sz="8" w:color="auto"/>
            </w:tcBorders>
          </w:tcPr>
          <w:p>
            <w:pPr>
              <w:spacing w:after="0"/>
              <w:rPr>
                <w:sz w:val="24"/>
                <w:szCs w:val="24"/>
                <w:color w:val="auto"/>
              </w:rPr>
            </w:pPr>
          </w:p>
        </w:tc>
        <w:tc>
          <w:tcPr>
            <w:tcW w:w="7420" w:type="dxa"/>
            <w:vAlign w:val="bottom"/>
            <w:tcBorders>
              <w:top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determining whether a particular target business is an appropriate business with which to</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effectuate our initial business combination as such affiliated person(s) would have interests</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different from our public shareholders and would likely not receive any financial benefit</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unless we consummated such business combination. In the event we seek to complete our</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initial business combination with a target business that is affiliated (as defined in our amended</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and restated memorandum and articles of association) with our sponsor (including its</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members), officers or directors, we, or a committee of independent directors, will obtain an</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opinion from an independent investment banking firm or another independent entity that</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commonly renders valuation opinions, stating that the consideration to be paid by us in such</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an initial business combination is fair to our company from a financial point of view. We are</w:t>
            </w:r>
          </w:p>
        </w:tc>
      </w:tr>
      <w:tr>
        <w:trPr>
          <w:trHeight w:val="199"/>
        </w:trPr>
        <w:tc>
          <w:tcPr>
            <w:tcW w:w="224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not required to obtain such an opinion in any other context.</w:t>
            </w:r>
          </w:p>
        </w:tc>
      </w:tr>
      <w:tr>
        <w:trPr>
          <w:trHeight w:val="308"/>
        </w:trPr>
        <w:tc>
          <w:tcPr>
            <w:tcW w:w="2240" w:type="dxa"/>
            <w:vAlign w:val="bottom"/>
            <w:tcBorders>
              <w:left w:val="single" w:sz="8" w:color="auto"/>
            </w:tcBorders>
          </w:tcPr>
          <w:p>
            <w:pPr>
              <w:spacing w:after="0"/>
              <w:rPr>
                <w:sz w:val="24"/>
                <w:szCs w:val="24"/>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For more information, see the section entitled “Management—Conflicts of Interest.”</w:t>
            </w:r>
          </w:p>
        </w:tc>
      </w:tr>
      <w:tr>
        <w:trPr>
          <w:trHeight w:val="275"/>
        </w:trPr>
        <w:tc>
          <w:tcPr>
            <w:tcW w:w="2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Indemnity</w:t>
            </w: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Our sponsor has agreed that it will be liable to us, if and to the extent any claims by any third</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party for services rendered or products sold to us, or a prospective target business with which</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we have entered into an acquisition agreement, reduce the amounts in the trust account to</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below $10.00 per share (whether or not the underwriter’s over-allotment option is exercised in</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full), except as to any claims by a third party who executed a waiver of any and all rights to</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seek access to the trust account and except as to any claims under our indemnity of the</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underwriters of this offering against certain liabilities, including liabilities under the</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Securities Act. In the event that an executed waiver is deemed to be unenforceable against a</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third party, our sponsor will not be responsible to the extent of any liability for such third-</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party claims. We have not independently verified whether our sponsor has sufficient funds to</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satisfy their indemnity obligations. We believe, however, the likelihood of our sponsor having</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to indemnify the trust account is limited because we will endeavor to have all third-party</w:t>
            </w:r>
          </w:p>
        </w:tc>
      </w:tr>
      <w:tr>
        <w:trPr>
          <w:trHeight w:val="178"/>
        </w:trPr>
        <w:tc>
          <w:tcPr>
            <w:tcW w:w="2240" w:type="dxa"/>
            <w:vAlign w:val="bottom"/>
            <w:tcBorders>
              <w:left w:val="single" w:sz="8" w:color="auto"/>
            </w:tcBorders>
          </w:tcPr>
          <w:p>
            <w:pPr>
              <w:spacing w:after="0"/>
              <w:rPr>
                <w:sz w:val="15"/>
                <w:szCs w:val="15"/>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vendors and prospective target businesses as well as other entities execute agreements with us</w:t>
            </w:r>
          </w:p>
        </w:tc>
      </w:tr>
      <w:tr>
        <w:trPr>
          <w:trHeight w:val="199"/>
        </w:trPr>
        <w:tc>
          <w:tcPr>
            <w:tcW w:w="224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5"/>
                <w:szCs w:val="15"/>
                <w:color w:val="auto"/>
              </w:rPr>
              <w:t>waiving any right, title, interest or claim of any kind in or to monies held in the trust account.</w:t>
            </w:r>
          </w:p>
        </w:tc>
      </w:tr>
      <w:tr>
        <w:trPr>
          <w:trHeight w:val="132"/>
        </w:trPr>
        <w:tc>
          <w:tcPr>
            <w:tcW w:w="2240" w:type="dxa"/>
            <w:vAlign w:val="bottom"/>
            <w:tcBorders>
              <w:left w:val="single" w:sz="8" w:color="auto"/>
              <w:bottom w:val="single" w:sz="8" w:color="auto"/>
            </w:tcBorders>
          </w:tcPr>
          <w:p>
            <w:pPr>
              <w:spacing w:after="0"/>
              <w:rPr>
                <w:sz w:val="11"/>
                <w:szCs w:val="11"/>
                <w:color w:val="auto"/>
              </w:rPr>
            </w:pPr>
          </w:p>
        </w:tc>
        <w:tc>
          <w:tcPr>
            <w:tcW w:w="7420" w:type="dxa"/>
            <w:vAlign w:val="bottom"/>
            <w:tcBorders>
              <w:bottom w:val="single" w:sz="8" w:color="auto"/>
              <w:right w:val="single" w:sz="8" w:color="auto"/>
            </w:tcBorders>
          </w:tcPr>
          <w:p>
            <w:pPr>
              <w:spacing w:after="0"/>
              <w:rPr>
                <w:sz w:val="11"/>
                <w:szCs w:val="11"/>
                <w:color w:val="auto"/>
              </w:rPr>
            </w:pPr>
          </w:p>
        </w:tc>
      </w:tr>
      <w:tr>
        <w:trPr>
          <w:trHeight w:val="334"/>
        </w:trPr>
        <w:tc>
          <w:tcPr>
            <w:tcW w:w="2240" w:type="dxa"/>
            <w:vAlign w:val="bottom"/>
          </w:tcPr>
          <w:p>
            <w:pPr>
              <w:spacing w:after="0"/>
              <w:rPr>
                <w:sz w:val="24"/>
                <w:szCs w:val="24"/>
                <w:color w:val="auto"/>
              </w:rPr>
            </w:pPr>
          </w:p>
        </w:tc>
        <w:tc>
          <w:tcPr>
            <w:tcW w:w="7420" w:type="dxa"/>
            <w:vAlign w:val="bottom"/>
          </w:tcPr>
          <w:p>
            <w:pPr>
              <w:ind w:left="2520"/>
              <w:spacing w:after="0"/>
              <w:rPr>
                <w:sz w:val="20"/>
                <w:szCs w:val="20"/>
                <w:color w:val="auto"/>
              </w:rPr>
            </w:pPr>
            <w:r>
              <w:rPr>
                <w:rFonts w:ascii="Times New Roman" w:cs="Times New Roman" w:eastAsia="Times New Roman" w:hAnsi="Times New Roman"/>
                <w:sz w:val="15"/>
                <w:szCs w:val="15"/>
                <w:color w:val="auto"/>
              </w:rPr>
              <w:t>54</w:t>
            </w:r>
          </w:p>
        </w:tc>
      </w:tr>
    </w:tbl>
    <w:p>
      <w:pPr>
        <w:sectPr>
          <w:pgSz w:w="11900" w:h="16840" w:orient="portrait"/>
          <w:cols w:equalWidth="0" w:num="1">
            <w:col w:w="10120"/>
          </w:cols>
          <w:pgMar w:left="660" w:top="874" w:right="1120"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3286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37275" cy="3286760"/>
                    </a:xfrm>
                    <a:prstGeom prst="rect">
                      <a:avLst/>
                    </a:prstGeom>
                    <a:noFill/>
                  </pic:spPr>
                </pic:pic>
              </a:graphicData>
            </a:graphic>
          </wp:anchor>
        </w:drawing>
      </w:r>
    </w:p>
    <w:p>
      <w:pPr>
        <w:spacing w:after="0" w:line="40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5"/>
          <w:szCs w:val="15"/>
          <w:b w:val="1"/>
          <w:bCs w:val="1"/>
          <w:color w:val="auto"/>
        </w:rPr>
        <w:t>SUMMARY FINANCIAL DATA</w:t>
      </w:r>
    </w:p>
    <w:p>
      <w:pPr>
        <w:spacing w:after="0" w:line="199" w:lineRule="exact"/>
        <w:rPr>
          <w:sz w:val="20"/>
          <w:szCs w:val="20"/>
          <w:color w:val="auto"/>
        </w:rPr>
      </w:pPr>
    </w:p>
    <w:p>
      <w:pPr>
        <w:ind w:left="600" w:right="100" w:firstLine="367"/>
        <w:spacing w:after="0" w:line="284" w:lineRule="auto"/>
        <w:rPr>
          <w:sz w:val="20"/>
          <w:szCs w:val="20"/>
          <w:color w:val="auto"/>
        </w:rPr>
      </w:pPr>
      <w:r>
        <w:rPr>
          <w:rFonts w:ascii="Times New Roman" w:cs="Times New Roman" w:eastAsia="Times New Roman" w:hAnsi="Times New Roman"/>
          <w:sz w:val="15"/>
          <w:szCs w:val="15"/>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70" w:lineRule="exact"/>
        <w:rPr>
          <w:sz w:val="20"/>
          <w:szCs w:val="20"/>
          <w:color w:val="auto"/>
        </w:rPr>
      </w:pPr>
    </w:p>
    <w:tbl>
      <w:tblPr>
        <w:tblLayout w:type="fixed"/>
        <w:tblInd w:w="1740" w:type="dxa"/>
        <w:tblCellMar>
          <w:top w:w="0" w:type="dxa"/>
          <w:left w:w="0" w:type="dxa"/>
          <w:bottom w:w="0" w:type="dxa"/>
          <w:right w:w="0" w:type="dxa"/>
        </w:tblCellMar>
      </w:tblPr>
      <w:tr>
        <w:trPr>
          <w:trHeight w:val="168"/>
        </w:trPr>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July 21, 2025</w:t>
            </w:r>
          </w:p>
        </w:tc>
      </w:tr>
      <w:tr>
        <w:trPr>
          <w:trHeight w:val="146"/>
        </w:trPr>
        <w:tc>
          <w:tcPr>
            <w:tcW w:w="4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560"/>
              <w:spacing w:after="0" w:line="146" w:lineRule="exact"/>
              <w:rPr>
                <w:sz w:val="20"/>
                <w:szCs w:val="20"/>
                <w:color w:val="auto"/>
              </w:rPr>
            </w:pPr>
            <w:r>
              <w:rPr>
                <w:rFonts w:ascii="Times New Roman" w:cs="Times New Roman" w:eastAsia="Times New Roman" w:hAnsi="Times New Roman"/>
                <w:sz w:val="13"/>
                <w:szCs w:val="13"/>
                <w:b w:val="1"/>
                <w:bCs w:val="1"/>
                <w:color w:val="auto"/>
              </w:rPr>
              <w:t>Actual</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5"/>
              <w:spacing w:after="0" w:line="146" w:lineRule="exact"/>
              <w:rPr>
                <w:sz w:val="20"/>
                <w:szCs w:val="20"/>
                <w:color w:val="auto"/>
              </w:rPr>
            </w:pPr>
            <w:r>
              <w:rPr>
                <w:rFonts w:ascii="Times New Roman" w:cs="Times New Roman" w:eastAsia="Times New Roman" w:hAnsi="Times New Roman"/>
                <w:sz w:val="13"/>
                <w:szCs w:val="13"/>
                <w:b w:val="1"/>
                <w:bCs w:val="1"/>
                <w:color w:val="auto"/>
                <w:w w:val="96"/>
              </w:rPr>
              <w:t>As Adjusted</w:t>
            </w:r>
          </w:p>
        </w:tc>
        <w:tc>
          <w:tcPr>
            <w:tcW w:w="140" w:type="dxa"/>
            <w:vAlign w:val="bottom"/>
          </w:tcPr>
          <w:p>
            <w:pPr>
              <w:spacing w:after="0"/>
              <w:rPr>
                <w:sz w:val="12"/>
                <w:szCs w:val="12"/>
                <w:color w:val="auto"/>
              </w:rPr>
            </w:pPr>
          </w:p>
        </w:tc>
      </w:tr>
      <w:tr>
        <w:trPr>
          <w:trHeight w:val="158"/>
        </w:trPr>
        <w:tc>
          <w:tcPr>
            <w:tcW w:w="424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5"/>
                <w:szCs w:val="15"/>
                <w:color w:val="auto"/>
              </w:rPr>
              <w:t>Balance Sheet Data:</w:t>
            </w: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r>
      <w:tr>
        <w:trPr>
          <w:trHeight w:val="178"/>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Working capital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5,668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1,066,468</w:t>
            </w:r>
            <w:r>
              <w:rPr>
                <w:rFonts w:ascii="Times New Roman" w:cs="Times New Roman" w:eastAsia="Times New Roman" w:hAnsi="Times New Roman"/>
                <w:sz w:val="9"/>
                <w:szCs w:val="9"/>
                <w:color w:val="auto"/>
              </w:rPr>
              <w:t>(1)</w:t>
            </w:r>
          </w:p>
        </w:tc>
      </w:tr>
      <w:tr>
        <w:trPr>
          <w:trHeight w:val="17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w w:val="98"/>
              </w:rPr>
              <w:t>125,000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221,525,000</w:t>
            </w:r>
            <w:r>
              <w:rPr>
                <w:rFonts w:ascii="Times New Roman" w:cs="Times New Roman" w:eastAsia="Times New Roman" w:hAnsi="Times New Roman"/>
                <w:sz w:val="9"/>
                <w:szCs w:val="9"/>
                <w:color w:val="auto"/>
              </w:rPr>
              <w:t>(2)</w:t>
            </w:r>
          </w:p>
        </w:tc>
      </w:tr>
      <w:tr>
        <w:trPr>
          <w:trHeight w:val="178"/>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w w:val="98"/>
              </w:rPr>
              <w:t>119,332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458,532</w:t>
            </w:r>
            <w:r>
              <w:rPr>
                <w:rFonts w:ascii="Times New Roman" w:cs="Times New Roman" w:eastAsia="Times New Roman" w:hAnsi="Times New Roman"/>
                <w:sz w:val="9"/>
                <w:szCs w:val="9"/>
                <w:color w:val="auto"/>
              </w:rPr>
              <w:t>(3)</w:t>
            </w:r>
          </w:p>
        </w:tc>
      </w:tr>
      <w:tr>
        <w:trPr>
          <w:trHeight w:val="17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Value of Class A ordinary shares subject to redemption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220,000,000</w:t>
            </w:r>
            <w:r>
              <w:rPr>
                <w:rFonts w:ascii="Times New Roman" w:cs="Times New Roman" w:eastAsia="Times New Roman" w:hAnsi="Times New Roman"/>
                <w:sz w:val="9"/>
                <w:szCs w:val="9"/>
                <w:color w:val="auto"/>
              </w:rPr>
              <w:t>(4)</w:t>
            </w:r>
          </w:p>
        </w:tc>
      </w:tr>
      <w:tr>
        <w:trPr>
          <w:trHeight w:val="199"/>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5,668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1,066,468</w:t>
            </w:r>
            <w:r>
              <w:rPr>
                <w:rFonts w:ascii="Times New Roman" w:cs="Times New Roman" w:eastAsia="Times New Roman" w:hAnsi="Times New Roman"/>
                <w:sz w:val="9"/>
                <w:szCs w:val="9"/>
                <w:color w:val="auto"/>
              </w:rPr>
              <w:t>(5)</w:t>
            </w:r>
          </w:p>
        </w:tc>
      </w:tr>
    </w:tbl>
    <w:p>
      <w:pPr>
        <w:spacing w:after="0" w:line="192" w:lineRule="exact"/>
        <w:rPr>
          <w:sz w:val="20"/>
          <w:szCs w:val="20"/>
          <w:color w:val="auto"/>
        </w:rPr>
      </w:pPr>
    </w:p>
    <w:p>
      <w:pPr>
        <w:ind w:left="980" w:right="260" w:hanging="371"/>
        <w:spacing w:after="0" w:line="258" w:lineRule="auto"/>
        <w:tabs>
          <w:tab w:leader="none" w:pos="9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 adjusted” calculation equals the actual working capital of $5,668, plus $1,400,000 held outside the trust account less $339,200 for the overallotment liability.</w:t>
      </w:r>
    </w:p>
    <w:p>
      <w:pPr>
        <w:ind w:left="980" w:hanging="371"/>
        <w:spacing w:after="0" w:line="247" w:lineRule="auto"/>
        <w:tabs>
          <w:tab w:leader="none" w:pos="9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 adjusted” calculation equals the actual total assets of $125,000 plus $220,000,000 cash held in trust from the proceeds of this offering and the sale of the private investor shares and the private placement units, plus the $1,400,000 held outside the trust account.</w:t>
      </w:r>
    </w:p>
    <w:p>
      <w:pPr>
        <w:ind w:left="980" w:right="40" w:hanging="371"/>
        <w:spacing w:after="0" w:line="247" w:lineRule="auto"/>
        <w:tabs>
          <w:tab w:leader="none" w:pos="9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 adjusted” calculation equals the “as adjusted” total liabilities, plus $339,200 for the overallotment liability. The $339,200 over-allotment liability represents the value of the 45-day over-allotment option granted to the underwriters and non-managing investors to purchase up to 3,300,000 and 19,982 units, respectively, at the initial offering price, less the underwriting commissions. This over-allotment option is considered a freestanding financial instrument, indexed on the contingently redeemable shares, and is accounted for as a liability in accordance with Accounting Standards Codification 480, Distinguishing Liabilities from Equity.</w:t>
      </w:r>
    </w:p>
    <w:p>
      <w:pPr>
        <w:ind w:left="980" w:hanging="371"/>
        <w:spacing w:after="0"/>
        <w:tabs>
          <w:tab w:leader="none" w:pos="9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Equals 22,000,000 public shares at $10 per share.</w:t>
      </w:r>
    </w:p>
    <w:p>
      <w:pPr>
        <w:spacing w:after="0" w:line="5" w:lineRule="exact"/>
        <w:rPr>
          <w:rFonts w:ascii="Times New Roman" w:cs="Times New Roman" w:eastAsia="Times New Roman" w:hAnsi="Times New Roman"/>
          <w:sz w:val="15"/>
          <w:szCs w:val="15"/>
          <w:color w:val="auto"/>
        </w:rPr>
      </w:pPr>
    </w:p>
    <w:p>
      <w:pPr>
        <w:ind w:left="980" w:right="60" w:hanging="371"/>
        <w:spacing w:after="0" w:line="254" w:lineRule="auto"/>
        <w:tabs>
          <w:tab w:leader="none" w:pos="9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22,000,000 public shares purchased in the public market which are subject to conversion in connection with our initial business combination. The “as adjusted” calculation equals the “as adjusted” total assets, less the “as adjusted” total liabilities, less the “as adjusted” value of Class A ordinary shares which may be redeemed in connection with our initial business combination ($10.00 per share).</w:t>
      </w:r>
    </w:p>
    <w:p>
      <w:pPr>
        <w:spacing w:after="0" w:line="27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55</w:t>
      </w:r>
    </w:p>
    <w:p>
      <w:pPr>
        <w:sectPr>
          <w:pgSz w:w="11900" w:h="16840" w:orient="portrait"/>
          <w:cols w:equalWidth="0" w:num="1">
            <w:col w:w="9980"/>
          </w:cols>
          <w:pgMar w:left="660" w:top="874" w:right="1260" w:bottom="1440" w:gutter="0" w:footer="0" w:header="0"/>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55657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37275" cy="5565775"/>
                    </a:xfrm>
                    <a:prstGeom prst="rect">
                      <a:avLst/>
                    </a:prstGeom>
                    <a:noFill/>
                  </pic:spPr>
                </pic:pic>
              </a:graphicData>
            </a:graphic>
          </wp:anchor>
        </w:drawing>
      </w:r>
    </w:p>
    <w:p>
      <w:pPr>
        <w:spacing w:after="0" w:line="40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99" w:lineRule="exact"/>
        <w:rPr>
          <w:sz w:val="20"/>
          <w:szCs w:val="20"/>
          <w:color w:val="auto"/>
        </w:rPr>
      </w:pPr>
    </w:p>
    <w:p>
      <w:pPr>
        <w:ind w:left="600" w:firstLine="367"/>
        <w:spacing w:after="0" w:line="252" w:lineRule="auto"/>
        <w:rPr>
          <w:sz w:val="20"/>
          <w:szCs w:val="20"/>
          <w:color w:val="auto"/>
        </w:rPr>
      </w:pPr>
      <w:r>
        <w:rPr>
          <w:rFonts w:ascii="Times New Roman" w:cs="Times New Roman" w:eastAsia="Times New Roman" w:hAnsi="Times New Roman"/>
          <w:sz w:val="15"/>
          <w:szCs w:val="15"/>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91" w:lineRule="exact"/>
        <w:rPr>
          <w:sz w:val="20"/>
          <w:szCs w:val="20"/>
          <w:color w:val="auto"/>
        </w:rPr>
      </w:pPr>
    </w:p>
    <w:p>
      <w:pPr>
        <w:ind w:left="1420" w:hanging="349"/>
        <w:spacing w:after="0"/>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complete our initial business combination;</w:t>
      </w:r>
    </w:p>
    <w:p>
      <w:pPr>
        <w:spacing w:after="0" w:line="123" w:lineRule="exact"/>
        <w:rPr>
          <w:rFonts w:ascii="Times New Roman" w:cs="Times New Roman" w:eastAsia="Times New Roman" w:hAnsi="Times New Roman"/>
          <w:sz w:val="15"/>
          <w:szCs w:val="15"/>
          <w:color w:val="auto"/>
        </w:rPr>
      </w:pPr>
    </w:p>
    <w:p>
      <w:pPr>
        <w:ind w:left="1420" w:right="440" w:hanging="349"/>
        <w:spacing w:after="0" w:line="284" w:lineRule="auto"/>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success in retaining or recruiting, or changes required in, our officers, key employees or directors following our initial business combination;</w:t>
      </w:r>
    </w:p>
    <w:p>
      <w:pPr>
        <w:spacing w:after="0" w:line="65" w:lineRule="exact"/>
        <w:rPr>
          <w:rFonts w:ascii="Times New Roman" w:cs="Times New Roman" w:eastAsia="Times New Roman" w:hAnsi="Times New Roman"/>
          <w:sz w:val="15"/>
          <w:szCs w:val="15"/>
          <w:color w:val="auto"/>
        </w:rPr>
      </w:pPr>
    </w:p>
    <w:p>
      <w:pPr>
        <w:ind w:left="1420" w:right="100" w:hanging="349"/>
        <w:spacing w:after="0" w:line="284" w:lineRule="auto"/>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executive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65"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potential ability to obtain the required funds to complete our offering and working capital expenses;</w:t>
      </w:r>
    </w:p>
    <w:p>
      <w:pPr>
        <w:spacing w:after="0" w:line="123"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potential ability to obtain additional financing to complete our initial business combination;</w:t>
      </w:r>
    </w:p>
    <w:p>
      <w:pPr>
        <w:spacing w:after="0" w:line="123"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pool of prospective target businesses, including their industry and geographic location;</w:t>
      </w:r>
    </w:p>
    <w:p>
      <w:pPr>
        <w:spacing w:after="0" w:line="123"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executive officers and directors to generate a number of potential investment opportunities;</w:t>
      </w:r>
    </w:p>
    <w:p>
      <w:pPr>
        <w:spacing w:after="0" w:line="123" w:lineRule="exact"/>
        <w:rPr>
          <w:rFonts w:ascii="Times New Roman" w:cs="Times New Roman" w:eastAsia="Times New Roman" w:hAnsi="Times New Roman"/>
          <w:sz w:val="15"/>
          <w:szCs w:val="15"/>
          <w:color w:val="auto"/>
        </w:rPr>
      </w:pPr>
    </w:p>
    <w:p>
      <w:pPr>
        <w:ind w:left="1420" w:right="500" w:hanging="349"/>
        <w:spacing w:after="0" w:line="284" w:lineRule="auto"/>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list or delisting of our securities from Nasdaq or an inability to have our securities listed on Nasdaq following a business combination;</w:t>
      </w:r>
    </w:p>
    <w:p>
      <w:pPr>
        <w:spacing w:after="0" w:line="65"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public securities’ potential liquidity and trading;</w:t>
      </w:r>
    </w:p>
    <w:p>
      <w:pPr>
        <w:spacing w:after="0" w:line="123"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a market for our securities; or</w:t>
      </w:r>
    </w:p>
    <w:p>
      <w:pPr>
        <w:spacing w:after="0" w:line="123"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performance following this offering.</w:t>
      </w:r>
    </w:p>
    <w:p>
      <w:pPr>
        <w:spacing w:after="0" w:line="195" w:lineRule="exact"/>
        <w:rPr>
          <w:sz w:val="20"/>
          <w:szCs w:val="20"/>
          <w:color w:val="auto"/>
        </w:rPr>
      </w:pPr>
    </w:p>
    <w:p>
      <w:pPr>
        <w:ind w:left="600" w:right="100" w:firstLine="367"/>
        <w:spacing w:after="0" w:line="256" w:lineRule="auto"/>
        <w:rPr>
          <w:sz w:val="20"/>
          <w:szCs w:val="20"/>
          <w:color w:val="auto"/>
        </w:rPr>
      </w:pPr>
      <w:r>
        <w:rPr>
          <w:rFonts w:ascii="Times New Roman" w:cs="Times New Roman" w:eastAsia="Times New Roman" w:hAnsi="Times New Roman"/>
          <w:sz w:val="15"/>
          <w:szCs w:val="15"/>
          <w:color w:val="auto"/>
        </w:rPr>
        <w:t>The forward -looking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jc w:val="both"/>
        <w:ind w:left="600" w:right="420" w:firstLine="367"/>
        <w:spacing w:after="0" w:line="265" w:lineRule="auto"/>
        <w:rPr>
          <w:sz w:val="20"/>
          <w:szCs w:val="20"/>
          <w:color w:val="auto"/>
        </w:rPr>
      </w:pPr>
      <w:r>
        <w:rPr>
          <w:rFonts w:ascii="Times New Roman" w:cs="Times New Roman" w:eastAsia="Times New Roman" w:hAnsi="Times New Roman"/>
          <w:sz w:val="15"/>
          <w:szCs w:val="15"/>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51" w:lineRule="exact"/>
        <w:rPr>
          <w:sz w:val="20"/>
          <w:szCs w:val="20"/>
          <w:color w:val="auto"/>
        </w:rPr>
      </w:pPr>
    </w:p>
    <w:p>
      <w:pPr>
        <w:ind w:left="600" w:right="40" w:firstLine="367"/>
        <w:spacing w:after="0" w:line="257" w:lineRule="auto"/>
        <w:rPr>
          <w:sz w:val="20"/>
          <w:szCs w:val="20"/>
          <w:color w:val="auto"/>
        </w:rPr>
      </w:pPr>
      <w:r>
        <w:rPr>
          <w:rFonts w:ascii="Times New Roman" w:cs="Times New Roman" w:eastAsia="Times New Roman" w:hAnsi="Times New Roman"/>
          <w:sz w:val="15"/>
          <w:szCs w:val="15"/>
          <w:color w:val="auto"/>
        </w:rPr>
        <w:t>In addition, statements that contain “we believe” and similar statements reflect our beliefs and opinions on the relevant subject. These statements are based on information available to us as of the date of this prospectus. Although we believe that this information provides a reasonable basis for these statements, this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5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56</w:t>
      </w:r>
    </w:p>
    <w:p>
      <w:pPr>
        <w:sectPr>
          <w:pgSz w:w="11900" w:h="16840" w:orient="portrait"/>
          <w:cols w:equalWidth="0" w:num="1">
            <w:col w:w="9940"/>
          </w:cols>
          <w:pgMar w:left="660" w:top="874" w:right="1300" w:bottom="1440" w:gutter="0" w:footer="0" w:header="0"/>
        </w:sectPr>
      </w:pPr>
    </w:p>
    <w:bookmarkStart w:id="67" w:name="page68"/>
    <w:bookmarkEnd w:id="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5031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37275" cy="5031740"/>
                    </a:xfrm>
                    <a:prstGeom prst="rect">
                      <a:avLst/>
                    </a:prstGeom>
                    <a:noFill/>
                  </pic:spPr>
                </pic:pic>
              </a:graphicData>
            </a:graphic>
          </wp:anchor>
        </w:drawing>
      </w:r>
    </w:p>
    <w:p>
      <w:pPr>
        <w:spacing w:after="0" w:line="40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5"/>
          <w:szCs w:val="15"/>
          <w:b w:val="1"/>
          <w:bCs w:val="1"/>
          <w:color w:val="auto"/>
        </w:rPr>
        <w:t>RISKS</w:t>
      </w:r>
    </w:p>
    <w:p>
      <w:pPr>
        <w:spacing w:after="0" w:line="199" w:lineRule="exact"/>
        <w:rPr>
          <w:sz w:val="20"/>
          <w:szCs w:val="20"/>
          <w:color w:val="auto"/>
        </w:rPr>
      </w:pPr>
    </w:p>
    <w:p>
      <w:pPr>
        <w:ind w:left="600" w:right="40" w:firstLine="367"/>
        <w:spacing w:after="0" w:line="253" w:lineRule="auto"/>
        <w:rPr>
          <w:sz w:val="20"/>
          <w:szCs w:val="20"/>
          <w:color w:val="auto"/>
        </w:rPr>
      </w:pPr>
      <w:r>
        <w:rPr>
          <w:rFonts w:ascii="Times New Roman" w:cs="Times New Roman" w:eastAsia="Times New Roman" w:hAnsi="Times New Roman"/>
          <w:sz w:val="15"/>
          <w:szCs w:val="15"/>
          <w:color w:val="auto"/>
        </w:rPr>
        <w:t xml:space="preserve">We are a recently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Please see “ </w:t>
      </w:r>
      <w:r>
        <w:rPr>
          <w:rFonts w:ascii="Times New Roman" w:cs="Times New Roman" w:eastAsia="Times New Roman" w:hAnsi="Times New Roman"/>
          <w:sz w:val="15"/>
          <w:szCs w:val="15"/>
          <w:i w:val="1"/>
          <w:iCs w:val="1"/>
          <w:color w:val="auto"/>
        </w:rPr>
        <w:t>Proposed Business — Comparison of This Offering to Those of Blank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Check Companies Subject to Rule 419</w:t>
      </w:r>
      <w:r>
        <w:rPr>
          <w:rFonts w:ascii="Times New Roman" w:cs="Times New Roman" w:eastAsia="Times New Roman" w:hAnsi="Times New Roman"/>
          <w:sz w:val="15"/>
          <w:szCs w:val="15"/>
          <w:color w:val="auto"/>
        </w:rPr>
        <w:t>” for additional information concerning how Rule 419 blank check offerings differ from this offering. You</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should carefully consider these and the other risks set forth in the section entitled “Risk Factors” in this prospectus.</w:t>
      </w:r>
    </w:p>
    <w:p>
      <w:pPr>
        <w:spacing w:after="0" w:line="2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Summary of Risk Factors</w:t>
      </w:r>
    </w:p>
    <w:p>
      <w:pPr>
        <w:spacing w:after="0" w:line="104" w:lineRule="exact"/>
        <w:rPr>
          <w:sz w:val="20"/>
          <w:szCs w:val="20"/>
          <w:color w:val="auto"/>
        </w:rPr>
      </w:pPr>
    </w:p>
    <w:p>
      <w:pPr>
        <w:ind w:left="600" w:right="100" w:firstLine="367"/>
        <w:spacing w:after="0" w:line="259" w:lineRule="auto"/>
        <w:rPr>
          <w:sz w:val="20"/>
          <w:szCs w:val="20"/>
          <w:color w:val="auto"/>
        </w:rPr>
      </w:pPr>
      <w:r>
        <w:rPr>
          <w:rFonts w:ascii="Times New Roman" w:cs="Times New Roman" w:eastAsia="Times New Roman" w:hAnsi="Times New Roman"/>
          <w:sz w:val="15"/>
          <w:szCs w:val="15"/>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85" w:lineRule="exact"/>
        <w:rPr>
          <w:sz w:val="20"/>
          <w:szCs w:val="20"/>
          <w:color w:val="auto"/>
        </w:rPr>
      </w:pPr>
    </w:p>
    <w:p>
      <w:pPr>
        <w:ind w:left="1420" w:right="340" w:hanging="349"/>
        <w:spacing w:after="0" w:line="284" w:lineRule="auto"/>
        <w:tabs>
          <w:tab w:leader="none" w:pos="1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 blank check company with no operating history and no revenues, and you have no basis on which to evaluate our ability to achieve our business objective.</w:t>
      </w:r>
    </w:p>
    <w:p>
      <w:pPr>
        <w:spacing w:after="0" w:line="65" w:lineRule="exact"/>
        <w:rPr>
          <w:rFonts w:ascii="Times New Roman" w:cs="Times New Roman" w:eastAsia="Times New Roman" w:hAnsi="Times New Roman"/>
          <w:sz w:val="15"/>
          <w:szCs w:val="15"/>
          <w:color w:val="auto"/>
        </w:rPr>
      </w:pPr>
    </w:p>
    <w:p>
      <w:pPr>
        <w:jc w:val="both"/>
        <w:ind w:left="1420" w:right="160" w:hanging="349"/>
        <w:spacing w:after="0" w:line="265" w:lineRule="auto"/>
        <w:tabs>
          <w:tab w:leader="none" w:pos="1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public shareholders may not be afforded an opportunity to vote on our proposed business combination, and even if we hold a vote, our initial shareholders will participate in such vote, which means we may consummate our initial business combination even though a majority of our public shareholders do not support such a combination.</w:t>
      </w:r>
    </w:p>
    <w:p>
      <w:pPr>
        <w:spacing w:after="0" w:line="80" w:lineRule="exact"/>
        <w:rPr>
          <w:rFonts w:ascii="Times New Roman" w:cs="Times New Roman" w:eastAsia="Times New Roman" w:hAnsi="Times New Roman"/>
          <w:sz w:val="15"/>
          <w:szCs w:val="15"/>
          <w:color w:val="auto"/>
        </w:rPr>
      </w:pPr>
    </w:p>
    <w:p>
      <w:pPr>
        <w:ind w:left="1420" w:hanging="349"/>
        <w:spacing w:after="0" w:line="252" w:lineRule="auto"/>
        <w:tabs>
          <w:tab w:leader="none" w:pos="1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90" w:lineRule="exact"/>
        <w:rPr>
          <w:rFonts w:ascii="Times New Roman" w:cs="Times New Roman" w:eastAsia="Times New Roman" w:hAnsi="Times New Roman"/>
          <w:sz w:val="15"/>
          <w:szCs w:val="15"/>
          <w:color w:val="auto"/>
        </w:rPr>
      </w:pPr>
    </w:p>
    <w:p>
      <w:pPr>
        <w:ind w:left="1420" w:right="220" w:hanging="349"/>
        <w:spacing w:after="0" w:line="284" w:lineRule="auto"/>
        <w:tabs>
          <w:tab w:leader="none" w:pos="1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only opportunity to effect your investment decision regarding a potential business combination may be limited to the exercise of your right to redeem your shares from us for cash.</w:t>
      </w:r>
    </w:p>
    <w:p>
      <w:pPr>
        <w:spacing w:after="0" w:line="65" w:lineRule="exact"/>
        <w:rPr>
          <w:rFonts w:ascii="Times New Roman" w:cs="Times New Roman" w:eastAsia="Times New Roman" w:hAnsi="Times New Roman"/>
          <w:sz w:val="15"/>
          <w:szCs w:val="15"/>
          <w:color w:val="auto"/>
        </w:rPr>
      </w:pPr>
    </w:p>
    <w:p>
      <w:pPr>
        <w:ind w:left="1420" w:right="40" w:hanging="349"/>
        <w:spacing w:after="0" w:line="265" w:lineRule="auto"/>
        <w:tabs>
          <w:tab w:leader="none" w:pos="1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requirement that we complete our initial business combination within 24 months from the closing of this offering may give potential target businesses leverage over us in negotiating our initial business combination which could undermine our ability to consummate our initial business combination on terms that would produce value for our shareholders.</w:t>
      </w:r>
    </w:p>
    <w:p>
      <w:pPr>
        <w:spacing w:after="0" w:line="80" w:lineRule="exact"/>
        <w:rPr>
          <w:rFonts w:ascii="Times New Roman" w:cs="Times New Roman" w:eastAsia="Times New Roman" w:hAnsi="Times New Roman"/>
          <w:sz w:val="15"/>
          <w:szCs w:val="15"/>
          <w:color w:val="auto"/>
        </w:rPr>
      </w:pPr>
    </w:p>
    <w:p>
      <w:pPr>
        <w:ind w:left="1420" w:right="180" w:hanging="349"/>
        <w:spacing w:after="0" w:line="284" w:lineRule="auto"/>
        <w:tabs>
          <w:tab w:leader="none" w:pos="1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65" w:lineRule="exact"/>
        <w:rPr>
          <w:rFonts w:ascii="Times New Roman" w:cs="Times New Roman" w:eastAsia="Times New Roman" w:hAnsi="Times New Roman"/>
          <w:sz w:val="15"/>
          <w:szCs w:val="15"/>
          <w:color w:val="auto"/>
        </w:rPr>
      </w:pPr>
    </w:p>
    <w:p>
      <w:pPr>
        <w:ind w:left="1420" w:right="220" w:hanging="349"/>
        <w:spacing w:after="0" w:line="284" w:lineRule="auto"/>
        <w:tabs>
          <w:tab w:leader="none" w:pos="1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the number of SPACs evaluating targets increases, and other issued SPAC entities may come to market with superior terms for the acquisition targets, attractive targets may become scarcer and there</w:t>
      </w:r>
    </w:p>
    <w:p>
      <w:pPr>
        <w:spacing w:after="0" w:line="2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57</w:t>
      </w:r>
    </w:p>
    <w:p>
      <w:pPr>
        <w:sectPr>
          <w:pgSz w:w="11900" w:h="16840" w:orient="portrait"/>
          <w:cols w:equalWidth="0" w:num="1">
            <w:col w:w="9900"/>
          </w:cols>
          <w:pgMar w:left="660" w:top="874" w:right="1340" w:bottom="1440" w:gutter="0" w:footer="0" w:header="0"/>
        </w:sectPr>
      </w:pPr>
    </w:p>
    <w:bookmarkStart w:id="68" w:name="page69"/>
    <w:bookmarkEnd w:id="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49568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37275" cy="495681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40" w:right="360"/>
        <w:spacing w:after="0" w:line="284" w:lineRule="auto"/>
        <w:rPr>
          <w:sz w:val="20"/>
          <w:szCs w:val="20"/>
          <w:color w:val="auto"/>
        </w:rPr>
      </w:pPr>
      <w:r>
        <w:rPr>
          <w:rFonts w:ascii="Times New Roman" w:cs="Times New Roman" w:eastAsia="Times New Roman" w:hAnsi="Times New Roman"/>
          <w:sz w:val="15"/>
          <w:szCs w:val="15"/>
          <w:color w:val="auto"/>
        </w:rPr>
        <w:t>may be more competition for attractive targets. potentially increasing the cost of, or impairing our ability to consummate, our initial business combination.</w:t>
      </w:r>
    </w:p>
    <w:p>
      <w:pPr>
        <w:spacing w:after="0" w:line="66" w:lineRule="exact"/>
        <w:rPr>
          <w:sz w:val="20"/>
          <w:szCs w:val="20"/>
          <w:color w:val="auto"/>
        </w:rPr>
      </w:pPr>
    </w:p>
    <w:p>
      <w:pPr>
        <w:ind w:left="1420" w:right="180" w:hanging="349"/>
        <w:spacing w:after="0" w:line="265"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p>
    <w:p>
      <w:pPr>
        <w:spacing w:after="0" w:line="80" w:lineRule="exact"/>
        <w:rPr>
          <w:rFonts w:ascii="Times New Roman" w:cs="Times New Roman" w:eastAsia="Times New Roman" w:hAnsi="Times New Roman"/>
          <w:sz w:val="15"/>
          <w:szCs w:val="15"/>
          <w:color w:val="auto"/>
        </w:rPr>
      </w:pPr>
    </w:p>
    <w:p>
      <w:pPr>
        <w:ind w:left="1420" w:hanging="349"/>
        <w:spacing w:after="0" w:line="259"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only receive approximately $10.00 per share, or less in certain circumstances, on our redemption of their shares, and our rights will expire worthless.</w:t>
      </w:r>
    </w:p>
    <w:p>
      <w:pPr>
        <w:spacing w:after="0" w:line="84" w:lineRule="exact"/>
        <w:rPr>
          <w:rFonts w:ascii="Times New Roman" w:cs="Times New Roman" w:eastAsia="Times New Roman" w:hAnsi="Times New Roman"/>
          <w:sz w:val="15"/>
          <w:szCs w:val="15"/>
          <w:color w:val="auto"/>
        </w:rPr>
      </w:pPr>
    </w:p>
    <w:p>
      <w:pPr>
        <w:ind w:left="1420" w:right="20" w:hanging="349"/>
        <w:spacing w:after="0" w:line="259"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 offering not to trade any public shares that they acquire in the offering or otherwise, and it may adversely affect the trading price of our public shares.</w:t>
      </w:r>
    </w:p>
    <w:p>
      <w:pPr>
        <w:spacing w:after="0" w:line="84" w:lineRule="exact"/>
        <w:rPr>
          <w:rFonts w:ascii="Times New Roman" w:cs="Times New Roman" w:eastAsia="Times New Roman" w:hAnsi="Times New Roman"/>
          <w:sz w:val="15"/>
          <w:szCs w:val="15"/>
          <w:color w:val="auto"/>
        </w:rPr>
      </w:pPr>
    </w:p>
    <w:p>
      <w:pPr>
        <w:ind w:left="1420" w:right="80" w:hanging="349"/>
        <w:spacing w:after="0" w:line="259"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w:t>
      </w:r>
    </w:p>
    <w:p>
      <w:pPr>
        <w:spacing w:after="0" w:line="84" w:lineRule="exact"/>
        <w:rPr>
          <w:rFonts w:ascii="Times New Roman" w:cs="Times New Roman" w:eastAsia="Times New Roman" w:hAnsi="Times New Roman"/>
          <w:sz w:val="15"/>
          <w:szCs w:val="15"/>
          <w:color w:val="auto"/>
        </w:rPr>
      </w:pPr>
    </w:p>
    <w:p>
      <w:pPr>
        <w:ind w:left="1420" w:right="100" w:hanging="349"/>
        <w:spacing w:after="0" w:line="284"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third parties bring claims against the company, the proceeds held in trust could be reduced and theper-share redemption price received by shareholders may be less than $10.00 per share.</w:t>
      </w:r>
    </w:p>
    <w:p>
      <w:pPr>
        <w:spacing w:after="0" w:line="101" w:lineRule="exact"/>
        <w:rPr>
          <w:rFonts w:ascii="Times New Roman" w:cs="Times New Roman" w:eastAsia="Times New Roman" w:hAnsi="Times New Roman"/>
          <w:sz w:val="15"/>
          <w:szCs w:val="15"/>
          <w:color w:val="auto"/>
        </w:rPr>
      </w:pPr>
    </w:p>
    <w:p>
      <w:pPr>
        <w:ind w:left="1420" w:right="120" w:hanging="349"/>
        <w:spacing w:after="0" w:line="284"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registration rights to our initial shareholders, including the non-managing investors, may make it more difficult to complete our initial business combination, and the future exercise of such rights may adversely affect the market price of our public shares.</w:t>
      </w:r>
    </w:p>
    <w:p>
      <w:pPr>
        <w:spacing w:after="0" w:line="65" w:lineRule="exact"/>
        <w:rPr>
          <w:rFonts w:ascii="Times New Roman" w:cs="Times New Roman" w:eastAsia="Times New Roman" w:hAnsi="Times New Roman"/>
          <w:sz w:val="15"/>
          <w:szCs w:val="15"/>
          <w:color w:val="auto"/>
        </w:rPr>
      </w:pPr>
    </w:p>
    <w:p>
      <w:pPr>
        <w:ind w:left="1420" w:right="200" w:hanging="349"/>
        <w:spacing w:after="0" w:line="284"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p>
    <w:p>
      <w:pPr>
        <w:spacing w:after="0" w:line="65" w:lineRule="exact"/>
        <w:rPr>
          <w:rFonts w:ascii="Times New Roman" w:cs="Times New Roman" w:eastAsia="Times New Roman" w:hAnsi="Times New Roman"/>
          <w:sz w:val="15"/>
          <w:szCs w:val="15"/>
          <w:color w:val="auto"/>
        </w:rPr>
      </w:pPr>
    </w:p>
    <w:p>
      <w:pPr>
        <w:ind w:left="1420" w:right="160" w:hanging="349"/>
        <w:spacing w:after="0" w:line="265"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w:t>
      </w:r>
    </w:p>
    <w:p>
      <w:pPr>
        <w:spacing w:after="0" w:line="80" w:lineRule="exact"/>
        <w:rPr>
          <w:rFonts w:ascii="Times New Roman" w:cs="Times New Roman" w:eastAsia="Times New Roman" w:hAnsi="Times New Roman"/>
          <w:sz w:val="15"/>
          <w:szCs w:val="15"/>
          <w:color w:val="auto"/>
        </w:rPr>
      </w:pPr>
    </w:p>
    <w:p>
      <w:pPr>
        <w:ind w:left="1420" w:right="100" w:hanging="349"/>
        <w:spacing w:after="0" w:line="265"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p>
    <w:p>
      <w:pPr>
        <w:spacing w:after="0" w:line="80"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initial shareholders will control a substantial interest in us and thus may influence certain actions requiring a shareholder vote.</w:t>
      </w:r>
    </w:p>
    <w:p>
      <w:pPr>
        <w:spacing w:after="0" w:line="123" w:lineRule="exact"/>
        <w:rPr>
          <w:rFonts w:ascii="Times New Roman" w:cs="Times New Roman" w:eastAsia="Times New Roman" w:hAnsi="Times New Roman"/>
          <w:sz w:val="15"/>
          <w:szCs w:val="15"/>
          <w:color w:val="auto"/>
        </w:rPr>
      </w:pPr>
    </w:p>
    <w:p>
      <w:pPr>
        <w:ind w:left="1420" w:right="160" w:hanging="349"/>
        <w:spacing w:after="0" w:line="284"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Redeeming shareholders may be unable to sell their securities when they wish to in the event that the proposed business combination is not approved.</w:t>
      </w:r>
    </w:p>
    <w:p>
      <w:pPr>
        <w:spacing w:after="0" w:line="65" w:lineRule="exact"/>
        <w:rPr>
          <w:rFonts w:ascii="Times New Roman" w:cs="Times New Roman" w:eastAsia="Times New Roman" w:hAnsi="Times New Roman"/>
          <w:sz w:val="15"/>
          <w:szCs w:val="15"/>
          <w:color w:val="auto"/>
        </w:rPr>
      </w:pPr>
    </w:p>
    <w:p>
      <w:pPr>
        <w:ind w:left="1420" w:right="320" w:hanging="349"/>
        <w:spacing w:after="0" w:line="284"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likely to be treated as a passive foreign investment company (“PFIC”), which could result in adverse U.S. federal income tax consequences to U.S. investors.</w:t>
      </w:r>
    </w:p>
    <w:p>
      <w:pPr>
        <w:spacing w:after="0" w:line="2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58</w:t>
      </w:r>
    </w:p>
    <w:p>
      <w:pPr>
        <w:sectPr>
          <w:pgSz w:w="11900" w:h="16840" w:orient="portrait"/>
          <w:cols w:equalWidth="0" w:num="1">
            <w:col w:w="9920"/>
          </w:cols>
          <w:pgMar w:left="660" w:top="874" w:right="1320" w:bottom="1440" w:gutter="0" w:footer="0" w:header="0"/>
        </w:sectPr>
      </w:pPr>
    </w:p>
    <w:bookmarkStart w:id="69" w:name="page70"/>
    <w:bookmarkEnd w:id="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178435</wp:posOffset>
            </wp:positionV>
            <wp:extent cx="6137275" cy="17373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37275" cy="17373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420" w:right="640" w:hanging="349"/>
        <w:spacing w:after="0" w:line="284" w:lineRule="auto"/>
        <w:tabs>
          <w:tab w:leader="none" w:pos="14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consummate our initial business combination within 24 months from the closing of this offering, our public shareholders may be forced to wait beyond such period before redemption from our trust account.</w:t>
      </w:r>
    </w:p>
    <w:p>
      <w:pPr>
        <w:spacing w:after="0" w:line="65" w:lineRule="exact"/>
        <w:rPr>
          <w:rFonts w:ascii="Times New Roman" w:cs="Times New Roman" w:eastAsia="Times New Roman" w:hAnsi="Times New Roman"/>
          <w:sz w:val="15"/>
          <w:szCs w:val="15"/>
          <w:color w:val="auto"/>
        </w:rPr>
      </w:pPr>
    </w:p>
    <w:p>
      <w:pPr>
        <w:jc w:val="both"/>
        <w:ind w:left="1420" w:hanging="349"/>
        <w:spacing w:after="0" w:line="265" w:lineRule="auto"/>
        <w:tabs>
          <w:tab w:leader="none" w:pos="14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p>
    <w:p>
      <w:pPr>
        <w:spacing w:after="0" w:line="80" w:lineRule="exact"/>
        <w:rPr>
          <w:rFonts w:ascii="Times New Roman" w:cs="Times New Roman" w:eastAsia="Times New Roman" w:hAnsi="Times New Roman"/>
          <w:sz w:val="15"/>
          <w:szCs w:val="15"/>
          <w:color w:val="auto"/>
        </w:rPr>
      </w:pPr>
    </w:p>
    <w:p>
      <w:pPr>
        <w:ind w:left="1420" w:hanging="349"/>
        <w:spacing w:after="0" w:line="284" w:lineRule="auto"/>
        <w:tabs>
          <w:tab w:leader="none" w:pos="14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investment in our securities, and certain subsequent transactions with respect to our securities, may result in uncertain or adverse U.S. federal income tax consequences for an investor.</w:t>
      </w:r>
    </w:p>
    <w:p>
      <w:pPr>
        <w:spacing w:after="0" w:line="65" w:lineRule="exact"/>
        <w:rPr>
          <w:rFonts w:ascii="Times New Roman" w:cs="Times New Roman" w:eastAsia="Times New Roman" w:hAnsi="Times New Roman"/>
          <w:sz w:val="15"/>
          <w:szCs w:val="15"/>
          <w:color w:val="auto"/>
        </w:rPr>
      </w:pPr>
    </w:p>
    <w:p>
      <w:pPr>
        <w:ind w:left="1420" w:right="80" w:hanging="349"/>
        <w:spacing w:after="0" w:line="265" w:lineRule="auto"/>
        <w:tabs>
          <w:tab w:leader="none" w:pos="14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in connection with or in anticipation of our initial business combination and our structure thereafter may not betax-efficient to our shareholders and rights holders. As a result of our initial business combination, our tax obligations may be more complex, burdensome and uncertain.</w:t>
      </w:r>
    </w:p>
    <w:p>
      <w:pPr>
        <w:spacing w:after="0" w:line="80" w:lineRule="exact"/>
        <w:rPr>
          <w:rFonts w:ascii="Times New Roman" w:cs="Times New Roman" w:eastAsia="Times New Roman" w:hAnsi="Times New Roman"/>
          <w:sz w:val="15"/>
          <w:szCs w:val="15"/>
          <w:color w:val="auto"/>
        </w:rPr>
      </w:pPr>
    </w:p>
    <w:p>
      <w:pPr>
        <w:ind w:left="1420" w:hanging="349"/>
        <w:spacing w:after="0"/>
        <w:tabs>
          <w:tab w:leader="none" w:pos="14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other risks and uncertainties discussed in “Risk Factors” and elsewhere in this prospectus.</w:t>
      </w:r>
    </w:p>
    <w:p>
      <w:pPr>
        <w:spacing w:after="0" w:line="3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59</w:t>
      </w:r>
    </w:p>
    <w:p>
      <w:pPr>
        <w:sectPr>
          <w:pgSz w:w="11900" w:h="16840" w:orient="portrait"/>
          <w:cols w:equalWidth="0" w:num="1">
            <w:col w:w="9880"/>
          </w:cols>
          <w:pgMar w:left="660" w:top="874" w:right="1360"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5" w:lineRule="exact"/>
        <w:rPr>
          <w:sz w:val="20"/>
          <w:szCs w:val="20"/>
          <w:color w:val="auto"/>
        </w:rPr>
      </w:pPr>
    </w:p>
    <w:p>
      <w:pPr>
        <w:jc w:val="both"/>
        <w:ind w:left="460" w:right="120" w:firstLine="379"/>
        <w:spacing w:after="0" w:line="261" w:lineRule="auto"/>
        <w:rPr>
          <w:sz w:val="20"/>
          <w:szCs w:val="20"/>
          <w:color w:val="auto"/>
        </w:rPr>
      </w:pPr>
      <w:r>
        <w:rPr>
          <w:rFonts w:ascii="Times New Roman" w:cs="Times New Roman" w:eastAsia="Times New Roman" w:hAnsi="Times New Roman"/>
          <w:sz w:val="15"/>
          <w:szCs w:val="15"/>
          <w:i w:val="1"/>
          <w:iCs w:val="1"/>
          <w:color w:val="auto"/>
        </w:rPr>
        <w:t>An investment in our securities involves a high degree of risk. You should consider carefully all of the risks described below, together with the other information contained in this prospectus, before making a decision to invest in our public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Risks Relating to our Search for, and Consummation of or Inability to Consummate, a Business Combination</w:t>
      </w:r>
    </w:p>
    <w:p>
      <w:pPr>
        <w:spacing w:after="0" w:line="100" w:lineRule="exact"/>
        <w:rPr>
          <w:sz w:val="20"/>
          <w:szCs w:val="20"/>
          <w:color w:val="auto"/>
        </w:rPr>
      </w:pPr>
    </w:p>
    <w:p>
      <w:pPr>
        <w:ind w:left="460" w:right="260"/>
        <w:spacing w:after="0" w:line="268" w:lineRule="auto"/>
        <w:rPr>
          <w:sz w:val="20"/>
          <w:szCs w:val="20"/>
          <w:color w:val="auto"/>
        </w:rPr>
      </w:pPr>
      <w:r>
        <w:rPr>
          <w:rFonts w:ascii="Times New Roman" w:cs="Times New Roman" w:eastAsia="Times New Roman" w:hAnsi="Times New Roman"/>
          <w:sz w:val="15"/>
          <w:szCs w:val="15"/>
          <w:i w:val="1"/>
          <w:iCs w:val="1"/>
          <w:color w:val="auto"/>
        </w:rPr>
        <w:t>Our public shareholders may not be afforded an opportunity to vote on our proposed business combination, and even if we hold a vote, holders of our founder shares, private investor shares and private placement shares will participate in such vote, which means we may consummate our initial business combination even though a majority of our public shareholders do not support such a combination.</w:t>
      </w:r>
    </w:p>
    <w:p>
      <w:pPr>
        <w:spacing w:after="0" w:line="54"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We may choose not hold a shareholder vote to approve our initial business combination unless the business combination would require shareholder approval under applicable law or stock exchange rules or if we decide to hold a shareholder vote for business or other reasons. For instance, the Nasdaq rules currently allow us to engage in a tender offer in lieu of a shareholder meeting, but would still require us to obtain shareholder approval if we were seeking to issue more than 20% of our issued and outstanding shares to a target business as consideration in any business combination. Therefore, if we were structuring a business combination that required us to issue more than 20% of our issued and outstanding shares, we would seek shareholder approval of such business combination. However, except as required by applicable law or stock exchange rules,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issued and outstanding ordinary shares do not approve of the business combination we consummate. Please see the section entitled “</w:t>
      </w:r>
      <w:r>
        <w:rPr>
          <w:rFonts w:ascii="Times New Roman" w:cs="Times New Roman" w:eastAsia="Times New Roman" w:hAnsi="Times New Roman"/>
          <w:sz w:val="15"/>
          <w:szCs w:val="15"/>
          <w:i w:val="1"/>
          <w:iCs w:val="1"/>
          <w:color w:val="auto"/>
        </w:rPr>
        <w:t>Proposed 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Initial 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Combination—Shareholders may not have the ability to approve our initial business combination</w:t>
      </w:r>
      <w:r>
        <w:rPr>
          <w:rFonts w:ascii="Times New Roman" w:cs="Times New Roman" w:eastAsia="Times New Roman" w:hAnsi="Times New Roman"/>
          <w:sz w:val="15"/>
          <w:szCs w:val="15"/>
          <w:color w:val="auto"/>
        </w:rPr>
        <w:t>” for additional information. Our sponsor controls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substantial interest in us and thus may exert a substantial influence on actions requiring a shareholder vote, potentially in a manner that you do not support.</w:t>
      </w:r>
    </w:p>
    <w:p>
      <w:pPr>
        <w:spacing w:after="0" w:line="161" w:lineRule="exact"/>
        <w:rPr>
          <w:sz w:val="20"/>
          <w:szCs w:val="20"/>
          <w:color w:val="auto"/>
        </w:rPr>
      </w:pPr>
    </w:p>
    <w:p>
      <w:pPr>
        <w:ind w:left="460" w:right="60"/>
        <w:spacing w:after="0" w:line="254" w:lineRule="auto"/>
        <w:rPr>
          <w:sz w:val="20"/>
          <w:szCs w:val="20"/>
          <w:color w:val="auto"/>
        </w:rPr>
      </w:pPr>
      <w:r>
        <w:rPr>
          <w:rFonts w:ascii="Times New Roman" w:cs="Times New Roman" w:eastAsia="Times New Roman" w:hAnsi="Times New Roman"/>
          <w:sz w:val="15"/>
          <w:szCs w:val="15"/>
          <w:i w:val="1"/>
          <w:iCs w:val="1"/>
          <w:color w:val="auto"/>
        </w:rPr>
        <w:t>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 -allotment option) than 30.7%, and although the non- 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159" w:lineRule="exact"/>
        <w:rPr>
          <w:sz w:val="20"/>
          <w:szCs w:val="20"/>
          <w:color w:val="auto"/>
        </w:rPr>
      </w:pPr>
    </w:p>
    <w:p>
      <w:pPr>
        <w:ind w:left="460" w:right="80" w:firstLine="379"/>
        <w:spacing w:after="0" w:line="255" w:lineRule="auto"/>
        <w:rPr>
          <w:sz w:val="20"/>
          <w:szCs w:val="20"/>
          <w:color w:val="auto"/>
        </w:rPr>
      </w:pPr>
      <w:r>
        <w:rPr>
          <w:rFonts w:ascii="Times New Roman" w:cs="Times New Roman" w:eastAsia="Times New Roman" w:hAnsi="Times New Roman"/>
          <w:sz w:val="15"/>
          <w:szCs w:val="15"/>
          <w:color w:val="auto"/>
        </w:rPr>
        <w:t>We expect that our initial shareholders and their permitted transferees, will beneficially own approximately 30.7% of the issued and outstanding ordinary shares at the time of any such shareholder vote (assuming none of the initial shareholders purchases any public units in this offering). Our initial shareholders and management team also may from time to time purchase public units or public shares prior to our initial business combination. If the non-managing investors purchase public units in this offering and assuming none of them will trade such public units after the closing, or they subsequently acquire public units in open-market trades, the initial shareholders will beneficially own more than 30.7% of the issued and outstanding ordinary shares at the time of</w:t>
      </w:r>
    </w:p>
    <w:p>
      <w:pPr>
        <w:spacing w:after="0" w:line="30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60</w:t>
      </w:r>
    </w:p>
    <w:p>
      <w:pPr>
        <w:sectPr>
          <w:pgSz w:w="11900" w:h="16840" w:orient="portrait"/>
          <w:cols w:equalWidth="0" w:num="1">
            <w:col w:w="10140"/>
          </w:cols>
          <w:pgMar w:left="660" w:top="874" w:right="1100" w:bottom="1440" w:gutter="0" w:footer="0" w:header="0"/>
        </w:sectPr>
      </w:pPr>
    </w:p>
    <w:bookmarkStart w:id="71" w:name="page72"/>
    <w:bookmarkEnd w:id="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80"/>
        <w:spacing w:after="0" w:line="251" w:lineRule="auto"/>
        <w:rPr>
          <w:sz w:val="20"/>
          <w:szCs w:val="20"/>
          <w:color w:val="auto"/>
        </w:rPr>
      </w:pPr>
      <w:r>
        <w:rPr>
          <w:rFonts w:ascii="Times New Roman" w:cs="Times New Roman" w:eastAsia="Times New Roman" w:hAnsi="Times New Roman"/>
          <w:sz w:val="15"/>
          <w:szCs w:val="15"/>
          <w:color w:val="auto"/>
        </w:rPr>
        <w:t>any shareholder vote (assuming no exercise of the over-allotment option by the underwriters) . Our amended and restated memorandum and articles of association provides that, if we seek shareholder approval of an initial business combination, such initial business combination will be approved if we receive an ordinary resolution under Cayman Islands law and our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Our initial shareholders (and their permitted transferees) will agree, pursuant to the terms of the agreements to be entered into with us, to vote their founder shares, private investor shares and private placement shares in favor of our initial business combination, but not any public shares that the non-managing investors may purchase in this offering or after the closing on the open market. As a result, in addition to the Class B ordinary shares and private placement shares held by our initial shareholders, we would need approximately 11,419,506 public shares, or approximately 51.91% of the 22,000,000 public shares sold in this offering to be voted in favor of a transaction (assuming all issued and outstanding shares are voted, the over-allotment option is not exercised and 1,410,624 Class B ordinary shares are forfeited) in order to have such initial business combination approved.</w:t>
      </w:r>
    </w:p>
    <w:p>
      <w:pPr>
        <w:spacing w:after="0" w:line="340" w:lineRule="exact"/>
        <w:rPr>
          <w:sz w:val="20"/>
          <w:szCs w:val="20"/>
          <w:color w:val="auto"/>
        </w:rPr>
      </w:pPr>
    </w:p>
    <w:p>
      <w:pPr>
        <w:ind w:left="460" w:firstLine="379"/>
        <w:spacing w:after="0" w:line="248" w:lineRule="auto"/>
        <w:rPr>
          <w:sz w:val="20"/>
          <w:szCs w:val="20"/>
          <w:color w:val="auto"/>
        </w:rPr>
      </w:pPr>
      <w:r>
        <w:rPr>
          <w:rFonts w:ascii="Times New Roman" w:cs="Times New Roman" w:eastAsia="Times New Roman" w:hAnsi="Times New Roman"/>
          <w:sz w:val="15"/>
          <w:szCs w:val="15"/>
          <w:color w:val="auto"/>
        </w:rPr>
        <w:t>None of the non-managing investors have currently expressed to us an interest in purchasing any of the public units in this offering and neither us nor the representatives have had discussions with any non- 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 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 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Nasdaq listing eligibility requirements.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thenon-managing investors will potentially have different interests than our other public shareholders in approving our initial business combination and otherwise exercising their rights as public shareholders because</w:t>
      </w:r>
    </w:p>
    <w:p>
      <w:pPr>
        <w:spacing w:after="0" w:line="3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61</w:t>
      </w:r>
    </w:p>
    <w:p>
      <w:pPr>
        <w:sectPr>
          <w:pgSz w:w="11900" w:h="16840" w:orient="portrait"/>
          <w:cols w:equalWidth="0" w:num="1">
            <w:col w:w="10140"/>
          </w:cols>
          <w:pgMar w:left="660" w:top="874" w:right="1100" w:bottom="1440" w:gutter="0" w:footer="0" w:header="0"/>
        </w:sectPr>
      </w:pPr>
    </w:p>
    <w:bookmarkStart w:id="72" w:name="page73"/>
    <w:bookmarkEnd w:id="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5"/>
          <w:szCs w:val="15"/>
          <w:color w:val="auto"/>
        </w:rPr>
        <w:t xml:space="preserve">of their ownership of private investor shares and private placement shares. Such ownership may create an incentive for thenon-managing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 -managing investors and public shareholders, please see “— </w:t>
      </w:r>
      <w:r>
        <w:rPr>
          <w:rFonts w:ascii="Times New Roman" w:cs="Times New Roman" w:eastAsia="Times New Roman" w:hAnsi="Times New Roman"/>
          <w:sz w:val="15"/>
          <w:szCs w:val="15"/>
          <w:i w:val="1"/>
          <w:iCs w:val="1"/>
          <w:color w:val="auto"/>
        </w:rPr>
        <w:t>Our management team, the non-managing investors and our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spacing w:after="0" w:line="160" w:lineRule="exact"/>
        <w:rPr>
          <w:sz w:val="20"/>
          <w:szCs w:val="20"/>
          <w:color w:val="auto"/>
        </w:rPr>
      </w:pPr>
    </w:p>
    <w:p>
      <w:pPr>
        <w:ind w:left="460" w:right="160" w:firstLine="379"/>
        <w:spacing w:after="0" w:line="251" w:lineRule="auto"/>
        <w:rPr>
          <w:sz w:val="20"/>
          <w:szCs w:val="20"/>
          <w:color w:val="auto"/>
        </w:rPr>
      </w:pPr>
      <w:r>
        <w:rPr>
          <w:rFonts w:ascii="Times New Roman" w:cs="Times New Roman" w:eastAsia="Times New Roman" w:hAnsi="Times New Roman"/>
          <w:sz w:val="15"/>
          <w:szCs w:val="15"/>
          <w:color w:val="auto"/>
        </w:rPr>
        <w:t>Assuming that only the holders of one-third of our issued and outstanding ordinary shares, representing a quorum under our amended and restated memorandum and articles of association, vote their ordinary shares at a general meeting of the company, we will not need any public shares in addition to our founder shares to be voted in favor of an initial business combination in order to approve an initial business combination. However, if our initial business combination is structured as a statutory merger or consolidation with another company under Cayman Islands law, the approval of our initial business combination will require a special resolution, which requires the affirmative vote of at least two-thirds of the votes cast by such shareholders as, being entitled to do so, vote in person or, where proxies are allowed, by proxy at the applicable general meeting of the company. Accordingly, if we seek shareholder approval of our initial business combination, the agreement by our initial shareholders to vote their founder shares, private investor shares and private placement shares in favor of our initial business combination will increase the likelihood that an ordinary resolution will be passed, being the requisite shareholder approval for such initial business combination.</w:t>
      </w:r>
    </w:p>
    <w:p>
      <w:pPr>
        <w:spacing w:after="0" w:line="161" w:lineRule="exact"/>
        <w:rPr>
          <w:sz w:val="20"/>
          <w:szCs w:val="20"/>
          <w:color w:val="auto"/>
        </w:rPr>
      </w:pPr>
    </w:p>
    <w:p>
      <w:pPr>
        <w:ind w:left="460" w:right="240"/>
        <w:spacing w:after="0" w:line="289" w:lineRule="auto"/>
        <w:rPr>
          <w:sz w:val="20"/>
          <w:szCs w:val="20"/>
          <w:color w:val="auto"/>
        </w:rPr>
      </w:pPr>
      <w:r>
        <w:rPr>
          <w:rFonts w:ascii="Times New Roman" w:cs="Times New Roman" w:eastAsia="Times New Roman" w:hAnsi="Times New Roman"/>
          <w:sz w:val="15"/>
          <w:szCs w:val="15"/>
          <w:i w:val="1"/>
          <w:iCs w:val="1"/>
          <w:color w:val="auto"/>
        </w:rPr>
        <w:t>Your only opportunity to affect the investment decision regarding a potential business combination may be limited to the exercise of your right to redeem your shares from us for cash.</w:t>
      </w:r>
    </w:p>
    <w:p>
      <w:pPr>
        <w:spacing w:after="0" w:line="133" w:lineRule="exact"/>
        <w:rPr>
          <w:sz w:val="20"/>
          <w:szCs w:val="20"/>
          <w:color w:val="auto"/>
        </w:rPr>
      </w:pPr>
    </w:p>
    <w:p>
      <w:pPr>
        <w:ind w:left="460" w:right="120" w:firstLine="379"/>
        <w:spacing w:after="0" w:line="255" w:lineRule="auto"/>
        <w:rPr>
          <w:sz w:val="20"/>
          <w:szCs w:val="20"/>
          <w:color w:val="auto"/>
        </w:rPr>
      </w:pPr>
      <w:r>
        <w:rPr>
          <w:rFonts w:ascii="Times New Roman" w:cs="Times New Roman" w:eastAsia="Times New Roman" w:hAnsi="Times New Roman"/>
          <w:sz w:val="15"/>
          <w:szCs w:val="15"/>
          <w:color w:val="auto"/>
        </w:rPr>
        <w:t>At the time of your investment in us, you will not be provided with an opportunity to evaluate the specific merits or risks of one or more target businesses. Because our board of directors may consummate our initial business combination without seeking shareholder approval, public shareholders may not have the right or opportunity to vote on the business combination, unless we seek such shareholder vote.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335" w:lineRule="exact"/>
        <w:rPr>
          <w:sz w:val="20"/>
          <w:szCs w:val="20"/>
          <w:color w:val="auto"/>
        </w:rPr>
      </w:pPr>
    </w:p>
    <w:p>
      <w:pPr>
        <w:ind w:left="460" w:right="360"/>
        <w:spacing w:after="0" w:line="289" w:lineRule="auto"/>
        <w:rPr>
          <w:sz w:val="20"/>
          <w:szCs w:val="20"/>
          <w:color w:val="auto"/>
        </w:rPr>
      </w:pPr>
      <w:r>
        <w:rPr>
          <w:rFonts w:ascii="Times New Roman" w:cs="Times New Roman" w:eastAsia="Times New Roman" w:hAnsi="Times New Roman"/>
          <w:sz w:val="15"/>
          <w:szCs w:val="15"/>
          <w:i w:val="1"/>
          <w:iCs w:val="1"/>
          <w:color w:val="auto"/>
        </w:rPr>
        <w:t>The ability of our public shareholders to redeem their shares for cash may make our financial condition unattractive to potential business combination targets, which may make it difficult for us to enter into our initial business combination with a target.</w:t>
      </w:r>
    </w:p>
    <w:p>
      <w:pPr>
        <w:spacing w:after="0" w:line="133"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We may enter into a transaction agreement with a prospective target that requires as a closing condition that we have a minimum net worth or a certain amount of cash. If too many public shareholders exercise their redemption rights, we may not be able to meet such closing condition, and as a result, would not be able to proceed with such business combination. Our amended and restated memorandum and articles of association will require us to provide all of our public shareholders with an opportunity to redeem all of their shares in connection with the consummation of any initial business combination.</w:t>
      </w:r>
    </w:p>
    <w:p>
      <w:pPr>
        <w:spacing w:after="0" w:line="156" w:lineRule="exact"/>
        <w:rPr>
          <w:sz w:val="20"/>
          <w:szCs w:val="20"/>
          <w:color w:val="auto"/>
        </w:rPr>
      </w:pPr>
    </w:p>
    <w:p>
      <w:pPr>
        <w:ind w:left="460" w:right="60" w:firstLine="379"/>
        <w:spacing w:after="0" w:line="259" w:lineRule="auto"/>
        <w:rPr>
          <w:sz w:val="20"/>
          <w:szCs w:val="20"/>
          <w:color w:val="auto"/>
        </w:rPr>
      </w:pPr>
      <w:r>
        <w:rPr>
          <w:rFonts w:ascii="Times New Roman" w:cs="Times New Roman" w:eastAsia="Times New Roman" w:hAnsi="Times New Roman"/>
          <w:sz w:val="15"/>
          <w:szCs w:val="15"/>
          <w:color w:val="auto"/>
        </w:rPr>
        <w:t>Furthermore, this dilution would increase to the extent that the anti- dilution provision of the Class B ordinary shares results in the issuance of Class A ordinary shares on a greater than one-to-one basis upon conversion of the Class B ordinary shares at the time of our initial business combination. The effect of this dilution will be greater for shareholders who do not redeem. We may not be able to generate sufficient value from the completion of our initial business combination in order to overcome the dilutive impact of these and</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62</w:t>
      </w:r>
    </w:p>
    <w:p>
      <w:pPr>
        <w:sectPr>
          <w:pgSz w:w="11900" w:h="16840" w:orient="portrait"/>
          <w:cols w:equalWidth="0" w:num="1">
            <w:col w:w="10120"/>
          </w:cols>
          <w:pgMar w:left="660" w:top="874" w:right="1120" w:bottom="1440" w:gutter="0" w:footer="0" w:header="0"/>
        </w:sectPr>
      </w:pPr>
    </w:p>
    <w:bookmarkStart w:id="73" w:name="page74"/>
    <w:bookmarkEnd w:id="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60"/>
        <w:spacing w:after="0" w:line="259" w:lineRule="auto"/>
        <w:rPr>
          <w:sz w:val="20"/>
          <w:szCs w:val="20"/>
          <w:color w:val="auto"/>
        </w:rPr>
      </w:pPr>
      <w:r>
        <w:rPr>
          <w:rFonts w:ascii="Times New Roman" w:cs="Times New Roman" w:eastAsia="Times New Roman" w:hAnsi="Times New Roman"/>
          <w:sz w:val="15"/>
          <w:szCs w:val="15"/>
          <w:color w:val="auto"/>
        </w:rPr>
        <w:t xml:space="preserve">other factors, and, accordingly, you may incur a net loss on your investment. Please see “ </w:t>
      </w:r>
      <w:r>
        <w:rPr>
          <w:rFonts w:ascii="Times New Roman" w:cs="Times New Roman" w:eastAsia="Times New Roman" w:hAnsi="Times New Roman"/>
          <w:sz w:val="15"/>
          <w:szCs w:val="15"/>
          <w:i w:val="1"/>
          <w:iCs w:val="1"/>
          <w:color w:val="auto"/>
        </w:rPr>
        <w:t>— The nominal purchase price paid by our insiders for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5"/>
          <w:szCs w:val="15"/>
          <w:color w:val="auto"/>
        </w:rPr>
        <w:t>.” The above considerations may limit our ability to complete the most desirable business combination available to us or optimize our capital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structure.</w:t>
      </w:r>
    </w:p>
    <w:p>
      <w:pPr>
        <w:spacing w:after="0" w:line="333" w:lineRule="exact"/>
        <w:rPr>
          <w:sz w:val="20"/>
          <w:szCs w:val="20"/>
          <w:color w:val="auto"/>
        </w:rPr>
      </w:pPr>
    </w:p>
    <w:p>
      <w:pPr>
        <w:ind w:left="460" w:right="260"/>
        <w:spacing w:after="0" w:line="289" w:lineRule="auto"/>
        <w:rPr>
          <w:sz w:val="20"/>
          <w:szCs w:val="20"/>
          <w:color w:val="auto"/>
        </w:rPr>
      </w:pPr>
      <w:r>
        <w:rPr>
          <w:rFonts w:ascii="Times New Roman" w:cs="Times New Roman" w:eastAsia="Times New Roman" w:hAnsi="Times New Roman"/>
          <w:sz w:val="15"/>
          <w:szCs w:val="15"/>
          <w:i w:val="1"/>
          <w:iCs w:val="1"/>
          <w:color w:val="auto"/>
        </w:rPr>
        <w:t>The requirement that we maintain a minimum net worth or retain a certain amount of cash could increase the probability that our business combination would be unsuccessful and that you would have to wait for liquidation in order to redeem your shares.</w:t>
      </w:r>
    </w:p>
    <w:p>
      <w:pPr>
        <w:spacing w:after="0" w:line="133" w:lineRule="exact"/>
        <w:rPr>
          <w:sz w:val="20"/>
          <w:szCs w:val="20"/>
          <w:color w:val="auto"/>
        </w:rPr>
      </w:pPr>
    </w:p>
    <w:p>
      <w:pPr>
        <w:ind w:left="460" w:right="20" w:firstLine="379"/>
        <w:spacing w:after="0" w:line="253" w:lineRule="auto"/>
        <w:rPr>
          <w:sz w:val="20"/>
          <w:szCs w:val="20"/>
          <w:color w:val="auto"/>
        </w:rPr>
      </w:pPr>
      <w:r>
        <w:rPr>
          <w:rFonts w:ascii="Times New Roman" w:cs="Times New Roman" w:eastAsia="Times New Roman" w:hAnsi="Times New Roman"/>
          <w:sz w:val="15"/>
          <w:szCs w:val="15"/>
          <w:color w:val="auto"/>
        </w:rPr>
        <w:t>If, pursuant to the terms of our proposed business combination, we are required to maintain a minimum net worth or retain a certain amount of cash in trust in order to consummate the business combination and regardless of whether we proceed with redemptions under the tender or proxy rules, the probability that our business combination would be unsuccessful is increased. If our business combination is unsuccessful, you would not receive your pro rata portion of the trust account until we liquidate. If you are in need of immediate liquidity, you could attempt to sell your shares on the open market; however, at such time our shares may trade at a discount to the pro rata amount per share in our trust account. In either situation, you may suffer a material loss on your investment or lose the benefit of funds expected in connection with our redemption until we liquidate or you are able to sell your shares on the open market.</w:t>
      </w:r>
    </w:p>
    <w:p>
      <w:pPr>
        <w:spacing w:after="0" w:line="338" w:lineRule="exact"/>
        <w:rPr>
          <w:sz w:val="20"/>
          <w:szCs w:val="20"/>
          <w:color w:val="auto"/>
        </w:rPr>
      </w:pPr>
    </w:p>
    <w:p>
      <w:pPr>
        <w:ind w:left="460" w:right="100"/>
        <w:spacing w:after="0" w:line="261" w:lineRule="auto"/>
        <w:rPr>
          <w:sz w:val="20"/>
          <w:szCs w:val="20"/>
          <w:color w:val="auto"/>
        </w:rPr>
      </w:pPr>
      <w:r>
        <w:rPr>
          <w:rFonts w:ascii="Times New Roman" w:cs="Times New Roman" w:eastAsia="Times New Roman" w:hAnsi="Times New Roman"/>
          <w:sz w:val="15"/>
          <w:szCs w:val="15"/>
          <w:i w:val="1"/>
          <w:iCs w:val="1"/>
          <w:color w:val="auto"/>
        </w:rPr>
        <w:t>The requirement that we complete our initial business combination within 24 months from the closing of this offering may give potential target businesses leverage over us in negotiating our initial business combination and may limit the amount of time we have to conduct due diligence on potential business combination targets as we approach our dissolution deadline, which could undermine our ability to consummate our initial business combination on terms that would produce value for our shareholders.</w:t>
      </w:r>
    </w:p>
    <w:p>
      <w:pPr>
        <w:spacing w:after="0" w:line="154"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Any potential target business with which we enter into negotiations concerning our initial business combination will be aware that we must consummate our initial business combination within 24 months from the closing of this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 The length of time it may take us to complete our diligence and negotiate a business combination may reduce the amount of time available for us to ultimately complete an initial business combination should such diligence or negotiations not lead to a consummated initial business combination.</w:t>
      </w:r>
    </w:p>
    <w:p>
      <w:pPr>
        <w:spacing w:after="0" w:line="158" w:lineRule="exact"/>
        <w:rPr>
          <w:sz w:val="20"/>
          <w:szCs w:val="20"/>
          <w:color w:val="auto"/>
        </w:rPr>
      </w:pPr>
    </w:p>
    <w:p>
      <w:pPr>
        <w:ind w:left="460" w:right="20"/>
        <w:spacing w:after="0" w:line="289" w:lineRule="auto"/>
        <w:rPr>
          <w:sz w:val="20"/>
          <w:szCs w:val="20"/>
          <w:color w:val="auto"/>
        </w:rPr>
      </w:pPr>
      <w:r>
        <w:rPr>
          <w:rFonts w:ascii="Times New Roman" w:cs="Times New Roman" w:eastAsia="Times New Roman" w:hAnsi="Times New Roman"/>
          <w:sz w:val="15"/>
          <w:szCs w:val="15"/>
          <w:i w:val="1"/>
          <w:i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33" w:lineRule="exact"/>
        <w:rPr>
          <w:sz w:val="20"/>
          <w:szCs w:val="20"/>
          <w:color w:val="auto"/>
        </w:rPr>
      </w:pPr>
    </w:p>
    <w:p>
      <w:pPr>
        <w:ind w:left="460" w:right="140" w:firstLine="379"/>
        <w:spacing w:after="0" w:line="254" w:lineRule="auto"/>
        <w:rPr>
          <w:sz w:val="20"/>
          <w:szCs w:val="20"/>
          <w:color w:val="auto"/>
        </w:rPr>
      </w:pPr>
      <w:r>
        <w:rPr>
          <w:rFonts w:ascii="Times New Roman" w:cs="Times New Roman" w:eastAsia="Times New Roman" w:hAnsi="Times New Roman"/>
          <w:sz w:val="15"/>
          <w:szCs w:val="15"/>
          <w:color w:val="auto"/>
        </w:rPr>
        <w:t>We must complete our initial business combination within 24 months from the closing of this offering. We may not be able to find a suitable target business and consummate our initial business combination within such time period. Our ability to complete our initial business combination may be negatively impacted by general market conditions, political considerations, volatility in the capital and debt markets, other social and geopolitical events, and the other risks described herein, including, but not limited to, the war between Russia and Ukraine and the Israel-Hamas conflict. Additionally, the outbreak of unforeseen occurrence of natural disasters, such as the recent COVID-19 pandemic, may negatively impact businesses we may seek to acquire and may make it harder for us to find a suitable target business and consummate our initial business combination.</w:t>
      </w:r>
    </w:p>
    <w:p>
      <w:pPr>
        <w:spacing w:after="0" w:line="1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63</w:t>
      </w:r>
    </w:p>
    <w:p>
      <w:pPr>
        <w:sectPr>
          <w:pgSz w:w="11900" w:h="16840" w:orient="portrait"/>
          <w:cols w:equalWidth="0" w:num="1">
            <w:col w:w="10100"/>
          </w:cols>
          <w:pgMar w:left="660" w:top="874" w:right="1140" w:bottom="1440" w:gutter="0" w:footer="0" w:header="0"/>
        </w:sectPr>
      </w:pPr>
    </w:p>
    <w:bookmarkStart w:id="74" w:name="page75"/>
    <w:bookmarkEnd w:id="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140" w:firstLine="379"/>
        <w:spacing w:after="0" w:line="258" w:lineRule="auto"/>
        <w:rPr>
          <w:sz w:val="20"/>
          <w:szCs w:val="20"/>
          <w:color w:val="auto"/>
        </w:rPr>
      </w:pPr>
      <w:r>
        <w:rPr>
          <w:rFonts w:ascii="Times New Roman" w:cs="Times New Roman" w:eastAsia="Times New Roman" w:hAnsi="Times New Roman"/>
          <w:sz w:val="15"/>
          <w:szCs w:val="15"/>
          <w:color w:val="auto"/>
        </w:rPr>
        <w:t>If we are unable to consummate our initial business combination within the required time period (or any extended period of time that we may have to consummate an initial business combination as a result of an amendment to our amended and restated memorandum and articles of association), we will:</w:t>
      </w:r>
    </w:p>
    <w:p>
      <w:pPr>
        <w:ind w:left="460" w:right="60" w:hanging="5"/>
        <w:spacing w:after="0" w:line="249" w:lineRule="auto"/>
        <w:tabs>
          <w:tab w:leader="none" w:pos="678"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64" w:lineRule="exact"/>
        <w:rPr>
          <w:sz w:val="20"/>
          <w:szCs w:val="20"/>
          <w:color w:val="auto"/>
        </w:rPr>
      </w:pPr>
    </w:p>
    <w:p>
      <w:pPr>
        <w:ind w:left="460" w:right="40" w:firstLine="379"/>
        <w:spacing w:after="0" w:line="254" w:lineRule="auto"/>
        <w:rPr>
          <w:sz w:val="20"/>
          <w:szCs w:val="20"/>
          <w:color w:val="auto"/>
        </w:rPr>
      </w:pPr>
      <w:r>
        <w:rPr>
          <w:rFonts w:ascii="Times New Roman" w:cs="Times New Roman" w:eastAsia="Times New Roman" w:hAnsi="Times New Roman"/>
          <w:sz w:val="15"/>
          <w:szCs w:val="15"/>
          <w:color w:val="auto"/>
        </w:rPr>
        <w:t xml:space="preserve">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w:t>
      </w: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Risk Factors — Risks Relating to our Search for,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and Consummation of or Inability to Consummate, a Business Combination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If third parties bring claims against the company, the proceeds held in trust could be reduced and the per-share redemption price received by shareholders may be less than $10.00 per share</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ind w:left="460" w:right="100"/>
        <w:spacing w:after="0" w:line="289" w:lineRule="auto"/>
        <w:rPr>
          <w:sz w:val="20"/>
          <w:szCs w:val="20"/>
          <w:color w:val="auto"/>
        </w:rPr>
      </w:pPr>
      <w:r>
        <w:rPr>
          <w:rFonts w:ascii="Times New Roman" w:cs="Times New Roman" w:eastAsia="Times New Roman" w:hAnsi="Times New Roman"/>
          <w:sz w:val="15"/>
          <w:szCs w:val="15"/>
          <w:i w:val="1"/>
          <w:iCs w:val="1"/>
          <w:color w:val="auto"/>
        </w:rPr>
        <w:t>Our search for a business combination, and any target business with which we ultimately consummate a business combination, may be materially adversely affected by the recent and ongoing military action between Russia and Ukraine.</w:t>
      </w:r>
    </w:p>
    <w:p>
      <w:pPr>
        <w:spacing w:after="0" w:line="133" w:lineRule="exact"/>
        <w:rPr>
          <w:sz w:val="20"/>
          <w:szCs w:val="20"/>
          <w:color w:val="auto"/>
        </w:rPr>
      </w:pPr>
    </w:p>
    <w:p>
      <w:pPr>
        <w:ind w:left="460" w:right="240" w:firstLine="379"/>
        <w:spacing w:after="0" w:line="252" w:lineRule="auto"/>
        <w:rPr>
          <w:sz w:val="20"/>
          <w:szCs w:val="20"/>
          <w:color w:val="auto"/>
        </w:rPr>
      </w:pPr>
      <w:r>
        <w:rPr>
          <w:rFonts w:ascii="Times New Roman" w:cs="Times New Roman" w:eastAsia="Times New Roman" w:hAnsi="Times New Roman"/>
          <w:sz w:val="15"/>
          <w:szCs w:val="15"/>
          <w:color w:val="auto"/>
        </w:rPr>
        <w:t>On February 24, 2022, Russian military forces launched a military action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 Russia’s recognition of two separatist republics in the Donetsk and Luhansk regions of Ukraine and subsequent military action against Ukraine have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w:t>
      </w:r>
    </w:p>
    <w:p>
      <w:pPr>
        <w:spacing w:after="0" w:line="162"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ability to search for a business combination or finance such business combination, and the business, financial condition and results of operations of any target business with which we ultimately consummate a business combination may be materially adversely affected.</w:t>
      </w:r>
    </w:p>
    <w:p>
      <w:pPr>
        <w:spacing w:after="0" w:line="156" w:lineRule="exact"/>
        <w:rPr>
          <w:sz w:val="20"/>
          <w:szCs w:val="20"/>
          <w:color w:val="auto"/>
        </w:rPr>
      </w:pPr>
    </w:p>
    <w:p>
      <w:pPr>
        <w:ind w:left="460" w:right="200"/>
        <w:spacing w:after="0" w:line="268" w:lineRule="auto"/>
        <w:rPr>
          <w:sz w:val="20"/>
          <w:szCs w:val="20"/>
          <w:color w:val="auto"/>
        </w:rPr>
      </w:pPr>
      <w:r>
        <w:rPr>
          <w:rFonts w:ascii="Times New Roman" w:cs="Times New Roman" w:eastAsia="Times New Roman" w:hAnsi="Times New Roman"/>
          <w:sz w:val="15"/>
          <w:szCs w:val="15"/>
          <w:i w:val="1"/>
          <w:iCs w:val="1"/>
          <w:color w:val="auto"/>
        </w:rPr>
        <w:t>Military or other conflicts in Ukraine, the Middle East and Southwest Asia or elsewhere may lead to increased volume and price volatility for publicly traded securities, or affect the operations or financial condition of potential target companies, which could make it more difficult for us to consummate an initial business combination.</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64</w:t>
      </w:r>
    </w:p>
    <w:p>
      <w:pPr>
        <w:sectPr>
          <w:pgSz w:w="11900" w:h="16840" w:orient="portrait"/>
          <w:cols w:equalWidth="0" w:num="1">
            <w:col w:w="10160"/>
          </w:cols>
          <w:pgMar w:left="660" w:top="874" w:right="1080" w:bottom="1440" w:gutter="0" w:footer="0" w:header="0"/>
        </w:sectPr>
      </w:pPr>
    </w:p>
    <w:bookmarkStart w:id="75" w:name="page76"/>
    <w:bookmarkEnd w:id="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Military or other conflicts in Ukraine, the Middle East, Southwest Asia or elsewhere may lead to increased volume and price volatility for publicly traded securities, or affect the operations or financial condition of potential target companies, and to other company or industry-specific, national, regional or international economic disruptions and economic uncertainty, any of which could make it more difficult for us to identify a business combination target and consummate an initial business combination on acceptable commercial terms, or at all.</w:t>
      </w:r>
    </w:p>
    <w:p>
      <w:pPr>
        <w:spacing w:after="0" w:line="152" w:lineRule="exact"/>
        <w:rPr>
          <w:sz w:val="20"/>
          <w:szCs w:val="20"/>
          <w:color w:val="auto"/>
        </w:rPr>
      </w:pPr>
    </w:p>
    <w:p>
      <w:pPr>
        <w:ind w:left="460" w:right="120"/>
        <w:spacing w:after="0" w:line="268" w:lineRule="auto"/>
        <w:rPr>
          <w:sz w:val="20"/>
          <w:szCs w:val="20"/>
          <w:color w:val="auto"/>
        </w:rPr>
      </w:pPr>
      <w:r>
        <w:rPr>
          <w:rFonts w:ascii="Times New Roman" w:cs="Times New Roman" w:eastAsia="Times New Roman" w:hAnsi="Times New Roman"/>
          <w:sz w:val="15"/>
          <w:szCs w:val="15"/>
          <w:i w:val="1"/>
          <w:iCs w:val="1"/>
          <w:color w:val="auto"/>
        </w:rPr>
        <w:t>Our search for and ability to complete a business combination, and any target business with which we ultimately complete a business combination, may be adversely affected by general market conditions, political considerations, pandemics, volatility in the capital and debt markets and other social and geopolitical events.</w:t>
      </w:r>
    </w:p>
    <w:p>
      <w:pPr>
        <w:spacing w:after="0" w:line="149" w:lineRule="exact"/>
        <w:rPr>
          <w:sz w:val="20"/>
          <w:szCs w:val="20"/>
          <w:color w:val="auto"/>
        </w:rPr>
      </w:pPr>
    </w:p>
    <w:p>
      <w:pPr>
        <w:ind w:left="460" w:right="60" w:firstLine="379"/>
        <w:spacing w:after="0" w:line="250" w:lineRule="auto"/>
        <w:rPr>
          <w:sz w:val="20"/>
          <w:szCs w:val="20"/>
          <w:color w:val="auto"/>
        </w:rPr>
      </w:pPr>
      <w:r>
        <w:rPr>
          <w:rFonts w:ascii="Times New Roman" w:cs="Times New Roman" w:eastAsia="Times New Roman" w:hAnsi="Times New Roman"/>
          <w:sz w:val="15"/>
          <w:szCs w:val="15"/>
          <w:color w:val="auto"/>
        </w:rPr>
        <w:t>Our search for and ability to complete a business combination is subject to macroeconomic and geopolitical risks, including the emergence or continuation of widespread health emergencies or pandemics (similar to the recent COVID-19 pandemic), cyberattacks or campaigns, the current or anticipated impact of climate change, extreme weather events or natural disasters, military conflict, civil unrest, terrorism or other similar events, which could adversely affect business and economic conditions in the U.S. and abroad. The business of any potential target business with which we consummate a business combination could be materially and adversely affected by these types of events. Furthermore, we may be unable to complete a business combination as a result of these macroeconomic, geopolitical or other events, including if these events restrict travel, or limit the ability to have meetings with potential investors or the acquisition target’s personnel, vendors and services providers are unavailable to negotiate and consummate a transaction in a timely manner. The extent to which one of these types of events could impact our search for a business combination will depend on future developments, which are highly uncertain and cannot be predicted. In addition, various conflicts, such as Russia’s invasion of Ukraine, and conflicts in the Middle East, could result in regional instability and adversely impact commodity and other financial markets as well as economic conditions. These events could create inflationary pressure or otherwise effect the global economy, all of which could negatively impact our ability to complete a business combination or otherwise affect target businesses.</w:t>
      </w:r>
    </w:p>
    <w:p>
      <w:pPr>
        <w:spacing w:after="0" w:line="345"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If any macroeconomic, geopolitical or other matters of global concern cause disruptions to the business environment for an extended period of time, our ability to consummate a business combination, or the operations of a target business with which we ultimately consummate a business combination, may be materially adversely affected. Additionally, our ability to complete a business combination transaction may depend on the ability to raise sufficient equity and debt financing, and any of these or similar events could adversely impact our or the acquisition target’s ability to do so due to, among other things, increased market volatility, decreased market liquidity and the availability of third-party financing on terms acceptable to us or at all.</w:t>
      </w:r>
    </w:p>
    <w:p>
      <w:pPr>
        <w:spacing w:after="0" w:line="154" w:lineRule="exact"/>
        <w:rPr>
          <w:sz w:val="20"/>
          <w:szCs w:val="20"/>
          <w:color w:val="auto"/>
        </w:rPr>
      </w:pPr>
    </w:p>
    <w:p>
      <w:pPr>
        <w:ind w:left="460" w:right="520"/>
        <w:spacing w:after="0" w:line="289" w:lineRule="auto"/>
        <w:rPr>
          <w:sz w:val="20"/>
          <w:szCs w:val="20"/>
          <w:color w:val="auto"/>
        </w:rPr>
      </w:pPr>
      <w:r>
        <w:rPr>
          <w:rFonts w:ascii="Times New Roman" w:cs="Times New Roman" w:eastAsia="Times New Roman" w:hAnsi="Times New Roman"/>
          <w:sz w:val="15"/>
          <w:szCs w:val="15"/>
          <w:i w:val="1"/>
          <w:iCs w:val="1"/>
          <w:color w:val="auto"/>
        </w:rPr>
        <w:t>Macro-economic turbulence and instability relating to recent and ongoing global conflicts and other drivers of uncertainty may adversely affect our business, investments and results of operations and our ability to successfully consummate a business combination.</w:t>
      </w:r>
    </w:p>
    <w:p>
      <w:pPr>
        <w:spacing w:after="0" w:line="133"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A deterioration in economic conditions and related drivers of global uncertainty and change, such as reduced business activity, high unemployment, rising interest rates, housing prices, and energy prices (including the price of gasoline), increased consumer indebtedness, lack of available credit, the rate of inflation, and consumer perceptions of the economy, as well as other factors, such as terrorist attacks, protests, looting, and other forms of civil unrest, cyberattacks and data breaches, public health emergencies (such as the COVID-19 pandemic and other epidemics), extreme weather conditions and climate change, significant changes in the political environment, political instability, armed conflict (such as the ongoing military conflict between Ukraine and Russia and the military conflict in Israel and Gaza) and/or public policy, including increased state, local or federal taxation, could adversely affect our financial condition, the financial condition of prospective target companies for our initial business combination, or the financial condition of the combined company even if we successfully consummate a business combination, as well as our ability to locate a commercially viable target company for our business combination in the first instance.</w:t>
      </w:r>
    </w:p>
    <w:p>
      <w:pPr>
        <w:spacing w:after="0" w:line="30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65</w:t>
      </w:r>
    </w:p>
    <w:p>
      <w:pPr>
        <w:sectPr>
          <w:pgSz w:w="11900" w:h="16840" w:orient="portrait"/>
          <w:cols w:equalWidth="0" w:num="1">
            <w:col w:w="10120"/>
          </w:cols>
          <w:pgMar w:left="660" w:top="874" w:right="1120" w:bottom="1440" w:gutter="0" w:footer="0" w:header="0"/>
        </w:sectPr>
      </w:pPr>
    </w:p>
    <w:bookmarkStart w:id="76" w:name="page77"/>
    <w:bookmarkEnd w:id="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Recent increases in inflation in the United States and elsewhere could make it more difficult for us to complete our initial business combination.</w:t>
      </w:r>
    </w:p>
    <w:p>
      <w:pPr>
        <w:spacing w:after="0" w:line="199" w:lineRule="exact"/>
        <w:rPr>
          <w:sz w:val="20"/>
          <w:szCs w:val="20"/>
          <w:color w:val="auto"/>
        </w:rPr>
      </w:pPr>
    </w:p>
    <w:p>
      <w:pPr>
        <w:jc w:val="both"/>
        <w:ind w:left="460" w:right="60" w:firstLine="379"/>
        <w:spacing w:after="0" w:line="284" w:lineRule="auto"/>
        <w:rPr>
          <w:sz w:val="20"/>
          <w:szCs w:val="20"/>
          <w:color w:val="auto"/>
        </w:rPr>
      </w:pPr>
      <w:r>
        <w:rPr>
          <w:rFonts w:ascii="Times New Roman" w:cs="Times New Roman" w:eastAsia="Times New Roman" w:hAnsi="Times New Roman"/>
          <w:sz w:val="15"/>
          <w:szCs w:val="15"/>
          <w:color w:val="auto"/>
        </w:rPr>
        <w:t>Recent increases in inflation in the United States and elsewhere may lead to increased price volatility for publicly traded securities, including ours, or other national, regional or international economic disruptions, any of which could make it more difficult for us to complete our initial business combination.</w:t>
      </w:r>
    </w:p>
    <w:p>
      <w:pPr>
        <w:spacing w:after="0" w:line="133" w:lineRule="exact"/>
        <w:rPr>
          <w:sz w:val="20"/>
          <w:szCs w:val="20"/>
          <w:color w:val="auto"/>
        </w:rPr>
      </w:pPr>
    </w:p>
    <w:p>
      <w:pPr>
        <w:jc w:val="both"/>
        <w:ind w:left="460" w:right="240"/>
        <w:spacing w:after="0" w:line="268" w:lineRule="auto"/>
        <w:rPr>
          <w:sz w:val="20"/>
          <w:szCs w:val="20"/>
          <w:color w:val="auto"/>
        </w:rPr>
      </w:pPr>
      <w:r>
        <w:rPr>
          <w:rFonts w:ascii="Times New Roman" w:cs="Times New Roman" w:eastAsia="Times New Roman" w:hAnsi="Times New Roman"/>
          <w:sz w:val="15"/>
          <w:szCs w:val="15"/>
          <w:i w:val="1"/>
          <w:iCs w:val="1"/>
          <w:color w:val="auto"/>
        </w:rPr>
        <w:t>As the number of special purpose acquisition companies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49" w:lineRule="exact"/>
        <w:rPr>
          <w:sz w:val="20"/>
          <w:szCs w:val="20"/>
          <w:color w:val="auto"/>
        </w:rPr>
      </w:pPr>
    </w:p>
    <w:p>
      <w:pPr>
        <w:ind w:left="460" w:right="140" w:firstLine="379"/>
        <w:spacing w:after="0" w:line="259" w:lineRule="auto"/>
        <w:rPr>
          <w:sz w:val="20"/>
          <w:szCs w:val="20"/>
          <w:color w:val="auto"/>
        </w:rPr>
      </w:pPr>
      <w:r>
        <w:rPr>
          <w:rFonts w:ascii="Times New Roman" w:cs="Times New Roman" w:eastAsia="Times New Roman" w:hAnsi="Times New Roman"/>
          <w:sz w:val="15"/>
          <w:szCs w:val="15"/>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companies preparing for an initial public offering. As a result, at times, fewer attractive targets may be available, and it may require more time, more effort and more resources to identify a suitable target and to consummate an initial business combination.</w:t>
      </w:r>
    </w:p>
    <w:p>
      <w:pPr>
        <w:spacing w:after="0" w:line="156"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56" w:lineRule="exact"/>
        <w:rPr>
          <w:sz w:val="20"/>
          <w:szCs w:val="20"/>
          <w:color w:val="auto"/>
        </w:rPr>
      </w:pPr>
    </w:p>
    <w:p>
      <w:pPr>
        <w:ind w:left="460" w:right="220"/>
        <w:spacing w:after="0" w:line="268" w:lineRule="auto"/>
        <w:rPr>
          <w:sz w:val="20"/>
          <w:szCs w:val="20"/>
          <w:color w:val="auto"/>
        </w:rPr>
      </w:pPr>
      <w:r>
        <w:rPr>
          <w:rFonts w:ascii="Times New Roman" w:cs="Times New Roman" w:eastAsia="Times New Roman" w:hAnsi="Times New Roman"/>
          <w:sz w:val="15"/>
          <w:szCs w:val="15"/>
          <w:i w:val="1"/>
          <w:iCs w:val="1"/>
          <w:color w:val="auto"/>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p>
    <w:p>
      <w:pPr>
        <w:spacing w:after="0" w:line="149" w:lineRule="exact"/>
        <w:rPr>
          <w:sz w:val="20"/>
          <w:szCs w:val="20"/>
          <w:color w:val="auto"/>
        </w:rPr>
      </w:pPr>
    </w:p>
    <w:p>
      <w:pPr>
        <w:ind w:left="460" w:right="40" w:firstLine="379"/>
        <w:spacing w:after="0" w:line="252" w:lineRule="auto"/>
        <w:rPr>
          <w:sz w:val="20"/>
          <w:szCs w:val="20"/>
          <w:color w:val="auto"/>
        </w:rPr>
      </w:pPr>
      <w:r>
        <w:rPr>
          <w:rFonts w:ascii="Times New Roman" w:cs="Times New Roman" w:eastAsia="Times New Roman" w:hAnsi="Times New Roman"/>
          <w:sz w:val="15"/>
          <w:szCs w:val="15"/>
          <w:color w:val="auto"/>
        </w:rPr>
        <w:t>If we seek shareholder approval of our initial business combination pursuant to a proxy solicitation (meaning we would not conduct redemptions pursuant to the tender offer rules), our sponsor, directors, executive officers, or any of their affiliates are permitted to purchase ordinary shares in privately negotiated transactions or on the open market either prior to or following the consummation of our initial business combination. Any such purchase would be required to include a contractual acknowledgement that the selling shareholder, although he may still be the record holder of the shares being sold, would, upon consummation of such sale, no longer be the beneficial owner of such shares and would agree not to exercise the redemption rights applicable to such shares. In the event that our sponsor, directors, executive officers, or any of their affiliates purchase public shares in privately negotiated transactions from public shareholders who have already elected to exercise their redemption rights, any such selling shareholders would be required to revoke their prior elections to redeem their public shares prior to the consummation of the transaction.</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purpose of such purchases could be to (1) increase the likelihood of obtaining shareholder approval of the initial business combination or</w:t>
      </w:r>
    </w:p>
    <w:p>
      <w:pPr>
        <w:spacing w:after="0" w:line="21" w:lineRule="exact"/>
        <w:rPr>
          <w:sz w:val="20"/>
          <w:szCs w:val="20"/>
          <w:color w:val="auto"/>
        </w:rPr>
      </w:pPr>
    </w:p>
    <w:p>
      <w:pPr>
        <w:ind w:left="460" w:right="240" w:hanging="5"/>
        <w:spacing w:after="0" w:line="254" w:lineRule="auto"/>
        <w:tabs>
          <w:tab w:leader="none" w:pos="678"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w:t>
      </w:r>
    </w:p>
    <w:p>
      <w:pPr>
        <w:spacing w:after="0" w:line="155" w:lineRule="exact"/>
        <w:rPr>
          <w:sz w:val="20"/>
          <w:szCs w:val="20"/>
          <w:color w:val="auto"/>
        </w:rPr>
      </w:pPr>
    </w:p>
    <w:p>
      <w:pPr>
        <w:ind w:left="460" w:right="200"/>
        <w:spacing w:after="0" w:line="289" w:lineRule="auto"/>
        <w:rPr>
          <w:sz w:val="20"/>
          <w:szCs w:val="20"/>
          <w:color w:val="auto"/>
        </w:rPr>
      </w:pPr>
      <w:r>
        <w:rPr>
          <w:rFonts w:ascii="Times New Roman" w:cs="Times New Roman" w:eastAsia="Times New Roman" w:hAnsi="Times New Roman"/>
          <w:sz w:val="15"/>
          <w:szCs w:val="15"/>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66</w:t>
      </w:r>
    </w:p>
    <w:p>
      <w:pPr>
        <w:sectPr>
          <w:pgSz w:w="11900" w:h="16840" w:orient="portrait"/>
          <w:cols w:equalWidth="0" w:num="1">
            <w:col w:w="10140"/>
          </w:cols>
          <w:pgMar w:left="660" w:top="874" w:right="1100" w:bottom="1440" w:gutter="0" w:footer="0" w:header="0"/>
        </w:sectPr>
      </w:pPr>
    </w:p>
    <w:bookmarkStart w:id="77" w:name="page78"/>
    <w:bookmarkEnd w:id="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shareholders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shareholder fails to comply with these procedures, its shares may not be redeemed. Please see “</w:t>
      </w:r>
      <w:r>
        <w:rPr>
          <w:rFonts w:ascii="Times New Roman" w:cs="Times New Roman" w:eastAsia="Times New Roman" w:hAnsi="Times New Roman"/>
          <w:sz w:val="15"/>
          <w:szCs w:val="15"/>
          <w:i w:val="1"/>
          <w:iCs w:val="1"/>
          <w:color w:val="auto"/>
        </w:rPr>
        <w:t>Proposed Business—Redemption Rights</w:t>
      </w:r>
      <w:r>
        <w:rPr>
          <w:rFonts w:ascii="Times New Roman" w:cs="Times New Roman" w:eastAsia="Times New Roman" w:hAnsi="Times New Roman"/>
          <w:sz w:val="15"/>
          <w:szCs w:val="15"/>
          <w:color w:val="auto"/>
        </w:rPr>
        <w:t>.”</w:t>
      </w:r>
    </w:p>
    <w:p>
      <w:pPr>
        <w:spacing w:after="0" w:line="161" w:lineRule="exact"/>
        <w:rPr>
          <w:sz w:val="20"/>
          <w:szCs w:val="20"/>
          <w:color w:val="auto"/>
        </w:rPr>
      </w:pPr>
    </w:p>
    <w:p>
      <w:pPr>
        <w:ind w:left="460" w:right="60"/>
        <w:spacing w:after="0" w:line="268" w:lineRule="auto"/>
        <w:rPr>
          <w:sz w:val="20"/>
          <w:szCs w:val="20"/>
          <w:color w:val="auto"/>
        </w:rPr>
      </w:pPr>
      <w:r>
        <w:rPr>
          <w:rFonts w:ascii="Times New Roman" w:cs="Times New Roman" w:eastAsia="Times New Roman" w:hAnsi="Times New Roman"/>
          <w:sz w:val="15"/>
          <w:szCs w:val="15"/>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w:t>
      </w:r>
    </w:p>
    <w:p>
      <w:pPr>
        <w:spacing w:after="0" w:line="149" w:lineRule="exact"/>
        <w:rPr>
          <w:sz w:val="20"/>
          <w:szCs w:val="20"/>
          <w:color w:val="auto"/>
        </w:rPr>
      </w:pPr>
    </w:p>
    <w:p>
      <w:pPr>
        <w:ind w:left="460" w:right="100" w:firstLine="379"/>
        <w:spacing w:after="0" w:line="251" w:lineRule="auto"/>
        <w:rPr>
          <w:sz w:val="20"/>
          <w:szCs w:val="20"/>
          <w:color w:val="auto"/>
        </w:rPr>
      </w:pPr>
      <w:r>
        <w:rPr>
          <w:rFonts w:ascii="Times New Roman" w:cs="Times New Roman" w:eastAsia="Times New Roman" w:hAnsi="Times New Roman"/>
          <w:sz w:val="15"/>
          <w:szCs w:val="15"/>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share,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w:t>
      </w:r>
    </w:p>
    <w:p>
      <w:pPr>
        <w:spacing w:after="0" w:line="165" w:lineRule="exact"/>
        <w:rPr>
          <w:sz w:val="20"/>
          <w:szCs w:val="20"/>
          <w:color w:val="auto"/>
        </w:rPr>
      </w:pPr>
    </w:p>
    <w:p>
      <w:pPr>
        <w:ind w:left="460" w:right="80" w:firstLine="379"/>
        <w:spacing w:after="0" w:line="252" w:lineRule="auto"/>
        <w:rPr>
          <w:sz w:val="20"/>
          <w:szCs w:val="20"/>
          <w:color w:val="auto"/>
        </w:rPr>
      </w:pPr>
      <w:r>
        <w:rPr>
          <w:rFonts w:ascii="Times New Roman" w:cs="Times New Roman" w:eastAsia="Times New Roman" w:hAnsi="Times New Roman"/>
          <w:sz w:val="15"/>
          <w:szCs w:val="15"/>
          <w:color w:val="auto"/>
        </w:rPr>
        <w:t xml:space="preserve">This inherent competitive limitation gives others an advantage in pursuing the acquisition of certain target businesses. Furthermore, in the event we seek shareholder approval of our initial business combination and we are obligated to pay cash for public shares that are redeemed, it will potentially reduce the resources available to us for our initial business combination. Target companies will be aware that this may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shareholders may receive only approximately $10.00 per share, or less in certain circumstances, on the liquidation of our trust account. </w:t>
      </w:r>
      <w:r>
        <w:rPr>
          <w:rFonts w:ascii="Times New Roman" w:cs="Times New Roman" w:eastAsia="Times New Roman" w:hAnsi="Times New Roman"/>
          <w:sz w:val="15"/>
          <w:szCs w:val="15"/>
          <w:b w:val="1"/>
          <w:bCs w:val="1"/>
          <w:color w:val="auto"/>
        </w:rPr>
        <w:t>Please see “</w:t>
      </w:r>
      <w:r>
        <w:rPr>
          <w:rFonts w:ascii="Times New Roman" w:cs="Times New Roman" w:eastAsia="Times New Roman" w:hAnsi="Times New Roman"/>
          <w:sz w:val="15"/>
          <w:szCs w:val="15"/>
          <w:b w:val="1"/>
          <w:bCs w:val="1"/>
          <w:i w:val="1"/>
          <w:iCs w:val="1"/>
          <w:color w:val="auto"/>
        </w:rPr>
        <w:t>Risk Factors — Risks Relating to our Search for, and Consummation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 xml:space="preserve">or Inability to Consummate, a Business Combination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If third parties bring claims against the company, the proceeds held in trust could be reduced and the per-share redemption price received by shareholders may be less than $10.00 per share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and other risk factors herein.</w:t>
      </w:r>
    </w:p>
    <w:p>
      <w:pPr>
        <w:spacing w:after="0" w:line="158" w:lineRule="exact"/>
        <w:rPr>
          <w:sz w:val="20"/>
          <w:szCs w:val="20"/>
          <w:color w:val="auto"/>
        </w:rPr>
      </w:pPr>
    </w:p>
    <w:p>
      <w:pPr>
        <w:jc w:val="both"/>
        <w:ind w:left="460" w:right="280"/>
        <w:spacing w:after="0" w:line="289" w:lineRule="auto"/>
        <w:rPr>
          <w:sz w:val="20"/>
          <w:szCs w:val="20"/>
          <w:color w:val="auto"/>
        </w:rPr>
      </w:pPr>
      <w:r>
        <w:rPr>
          <w:rFonts w:ascii="Times New Roman" w:cs="Times New Roman" w:eastAsia="Times New Roman" w:hAnsi="Times New Roman"/>
          <w:sz w:val="15"/>
          <w:szCs w:val="15"/>
          <w:i w:val="1"/>
          <w:iCs w:val="1"/>
          <w:color w:val="auto"/>
        </w:rPr>
        <w:t>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p>
    <w:p>
      <w:pPr>
        <w:spacing w:after="0" w:line="133" w:lineRule="exact"/>
        <w:rPr>
          <w:sz w:val="20"/>
          <w:szCs w:val="20"/>
          <w:color w:val="auto"/>
        </w:rPr>
      </w:pPr>
    </w:p>
    <w:p>
      <w:pPr>
        <w:ind w:left="460" w:right="100" w:firstLine="379"/>
        <w:spacing w:after="0" w:line="265" w:lineRule="auto"/>
        <w:rPr>
          <w:sz w:val="20"/>
          <w:szCs w:val="20"/>
          <w:color w:val="auto"/>
        </w:rPr>
      </w:pPr>
      <w:r>
        <w:rPr>
          <w:rFonts w:ascii="Times New Roman" w:cs="Times New Roman" w:eastAsia="Times New Roman" w:hAnsi="Times New Roman"/>
          <w:sz w:val="15"/>
          <w:szCs w:val="15"/>
          <w:color w:val="auto"/>
        </w:rPr>
        <w:t>We will require our public shareholders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to</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67</w:t>
      </w:r>
    </w:p>
    <w:p>
      <w:pPr>
        <w:sectPr>
          <w:pgSz w:w="11900" w:h="16840" w:orient="portrait"/>
          <w:cols w:equalWidth="0" w:num="1">
            <w:col w:w="10140"/>
          </w:cols>
          <w:pgMar w:left="660" w:top="874" w:right="1100" w:bottom="1440" w:gutter="0" w:footer="0" w:header="0"/>
        </w:sectPr>
      </w:pPr>
    </w:p>
    <w:bookmarkStart w:id="78" w:name="page79"/>
    <w:bookmarkEnd w:id="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5"/>
          <w:szCs w:val="15"/>
          <w:color w:val="auto"/>
        </w:rPr>
        <w:t>deliver their shares to the transfer agent electronically using The Depository Trust Company’s DWAC (Deposit/Withdrawal At Custodian) System, at the holder’s option. In order to obtain a physical share certificate, a shareholder’s broker and/or clearing broker, The Depository Trust Company (“DTC”) and our transfer agent will need to act to facilitate this request. It is our understanding that shareholders should generally allot at least two weeks to obtain physical certificates from the transfer agent. However, because we do not have any control over this process or over the brokers or DTC, it may take significantly longer than two weeks to obtain a physical share certificate. While we have been advised that it takes a short time to deliver shares through the DWAC System, this may not be the case. Under our amended and restated memorandum and articles of association, we are required to provide at least 7 days advance notice of any shareholder meeting, which would be the minimum amount of time a shareholder would have to determine whether to exercise redemption rights. Accordingly, if it takes longer than we anticipate for shareholders to deliver their shares, shareholders who wish to redeem may be unable to meet the deadline for exercising their redemption rights and thus may be unable to redeem their shares. In the event that a shareholder fails to comply with the various procedures that must be complied with in order to validly tender or redeem public shares, its shares may not be redeemed.</w:t>
      </w:r>
    </w:p>
    <w:p>
      <w:pPr>
        <w:spacing w:after="0" w:line="162" w:lineRule="exact"/>
        <w:rPr>
          <w:sz w:val="20"/>
          <w:szCs w:val="20"/>
          <w:color w:val="auto"/>
        </w:rPr>
      </w:pPr>
    </w:p>
    <w:p>
      <w:pPr>
        <w:ind w:left="460" w:right="140" w:firstLine="379"/>
        <w:spacing w:after="0" w:line="284" w:lineRule="auto"/>
        <w:rPr>
          <w:sz w:val="20"/>
          <w:szCs w:val="20"/>
          <w:color w:val="auto"/>
        </w:rPr>
      </w:pPr>
      <w:r>
        <w:rPr>
          <w:rFonts w:ascii="Times New Roman" w:cs="Times New Roman" w:eastAsia="Times New Roman" w:hAnsi="Times New Roman"/>
          <w:sz w:val="15"/>
          <w:szCs w:val="15"/>
          <w:color w:val="auto"/>
        </w:rPr>
        <w:t>Additionally, despite our compliance with the proxy rules or tender offer rules, as applicable, shareholders may not become aware of the opportunity to redeem their shares.</w:t>
      </w:r>
    </w:p>
    <w:p>
      <w:pPr>
        <w:spacing w:after="0" w:line="133" w:lineRule="exact"/>
        <w:rPr>
          <w:sz w:val="20"/>
          <w:szCs w:val="20"/>
          <w:color w:val="auto"/>
        </w:rPr>
      </w:pPr>
    </w:p>
    <w:p>
      <w:pPr>
        <w:ind w:left="460" w:right="180"/>
        <w:spacing w:after="0" w:line="268" w:lineRule="auto"/>
        <w:rPr>
          <w:sz w:val="20"/>
          <w:szCs w:val="20"/>
          <w:color w:val="auto"/>
        </w:rPr>
      </w:pPr>
      <w:r>
        <w:rPr>
          <w:rFonts w:ascii="Times New Roman" w:cs="Times New Roman" w:eastAsia="Times New Roman" w:hAnsi="Times New Roman"/>
          <w:sz w:val="15"/>
          <w:szCs w:val="15"/>
          <w:i w:val="1"/>
          <w:iCs w:val="1"/>
          <w:color w:val="auto"/>
        </w:rPr>
        <w:t>If we seek shareholder approval of our business combination pursuant to a proxy solicitation (meaning we would not conduct redemptions pursuant to the tender offer rules), and if you or a “group” of shareholders are deemed to hold in excess of 15% of the issued and outstanding public shares sold in this offering, you will lose the ability to redeem all such shares in excess of 15% of the issued and outstanding public shares sold in this offering.</w:t>
      </w:r>
    </w:p>
    <w:p>
      <w:pPr>
        <w:spacing w:after="0" w:line="149" w:lineRule="exact"/>
        <w:rPr>
          <w:sz w:val="20"/>
          <w:szCs w:val="20"/>
          <w:color w:val="auto"/>
        </w:rPr>
      </w:pPr>
    </w:p>
    <w:p>
      <w:pPr>
        <w:ind w:left="460" w:right="120" w:firstLine="379"/>
        <w:spacing w:after="0" w:line="252" w:lineRule="auto"/>
        <w:rPr>
          <w:sz w:val="20"/>
          <w:szCs w:val="20"/>
          <w:color w:val="auto"/>
        </w:rPr>
      </w:pPr>
      <w:r>
        <w:rPr>
          <w:rFonts w:ascii="Times New Roman" w:cs="Times New Roman" w:eastAsia="Times New Roman" w:hAnsi="Times New Roman"/>
          <w:sz w:val="15"/>
          <w:szCs w:val="15"/>
          <w:color w:val="auto"/>
        </w:rPr>
        <w:t>If we seek shareholder approval of our initial business combination pursuant to a proxy solicitation (meaning we would not conduct redemptions pursuant to the tender offer rules), our amended and restated memorandum and articles of association will provide that a public shareholder, individually or together with any affiliate of such shareholder or any other person with whom such shareholder is acting in concert or as a “group” (as defined under Section 13 of the Exchange Act), would be restricted from seeking redemption rights with respect to an aggregate of more than 15% of the public shares sold in this offering. Your inability to redeem an aggregate of more than 15% of the public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15% and, in order to dispose of such shares, you would be required to sell your shares in open market transaction, potentially at a loss.</w:t>
      </w:r>
    </w:p>
    <w:p>
      <w:pPr>
        <w:spacing w:after="0" w:line="158" w:lineRule="exact"/>
        <w:rPr>
          <w:sz w:val="20"/>
          <w:szCs w:val="20"/>
          <w:color w:val="auto"/>
        </w:rPr>
      </w:pPr>
    </w:p>
    <w:p>
      <w:pPr>
        <w:jc w:val="both"/>
        <w:ind w:left="460" w:right="120"/>
        <w:spacing w:after="0" w:line="268" w:lineRule="auto"/>
        <w:rPr>
          <w:sz w:val="20"/>
          <w:szCs w:val="20"/>
          <w:color w:val="auto"/>
        </w:rPr>
      </w:pPr>
      <w:r>
        <w:rPr>
          <w:rFonts w:ascii="Times New Roman" w:cs="Times New Roman" w:eastAsia="Times New Roman" w:hAnsi="Times New Roman"/>
          <w:sz w:val="15"/>
          <w:szCs w:val="15"/>
          <w:i w:val="1"/>
          <w:iCs w:val="1"/>
          <w:color w:val="auto"/>
        </w:rPr>
        <w:t>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w:t>
      </w:r>
    </w:p>
    <w:p>
      <w:pPr>
        <w:spacing w:after="0" w:line="149"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color w:val="auto"/>
        </w:rPr>
        <w:t>The funds available to us outside of the trust account may not be sufficient to allow us to operate for at least the next 24 months from the closing of this offering, assuming that our initial business combination is not consummated during that time. Of the net proceeds of this offering and the sale of the private investor shares and private placement units, only approximately $1,400,000 (or $1,507,000, if the underwriters exercise the over -allotment option in full), will be available to us initially outside the trust account to fund our working capital requirements. Of the funds available to us, we could use a portion of the funds available to us to pay fees to consultants to assist us with our search for a target business. We could also use a portion of the funds as a down payment or to fund a “no- 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w:t>
      </w:r>
    </w:p>
    <w:p>
      <w:pPr>
        <w:spacing w:after="0" w:line="12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68</w:t>
      </w:r>
    </w:p>
    <w:p>
      <w:pPr>
        <w:sectPr>
          <w:pgSz w:w="11900" w:h="16840" w:orient="portrait"/>
          <w:cols w:equalWidth="0" w:num="1">
            <w:col w:w="10140"/>
          </w:cols>
          <w:pgMar w:left="660" w:top="874" w:right="1100" w:bottom="1440" w:gutter="0" w:footer="0" w:header="0"/>
        </w:sectPr>
      </w:pPr>
    </w:p>
    <w:bookmarkStart w:id="79" w:name="page80"/>
    <w:bookmarkEnd w:id="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80"/>
        <w:spacing w:after="0" w:line="256" w:lineRule="auto"/>
        <w:rPr>
          <w:sz w:val="20"/>
          <w:szCs w:val="20"/>
          <w:color w:val="auto"/>
        </w:rPr>
      </w:pPr>
      <w:r>
        <w:rPr>
          <w:rFonts w:ascii="Times New Roman" w:cs="Times New Roman" w:eastAsia="Times New Roman" w:hAnsi="Times New Roman"/>
          <w:sz w:val="15"/>
          <w:szCs w:val="15"/>
          <w:color w:val="auto"/>
        </w:rPr>
        <w:t>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only receive $10.00 per share (whether or not the underwriters’ over-allotment option is exercised in full) or potentially less than $10.00 per share on our redemption.</w:t>
      </w:r>
    </w:p>
    <w:p>
      <w:pPr>
        <w:spacing w:after="0" w:line="154" w:lineRule="exact"/>
        <w:rPr>
          <w:sz w:val="20"/>
          <w:szCs w:val="20"/>
          <w:color w:val="auto"/>
        </w:rPr>
      </w:pPr>
    </w:p>
    <w:p>
      <w:pPr>
        <w:ind w:left="460" w:right="220"/>
        <w:spacing w:after="0" w:line="289" w:lineRule="auto"/>
        <w:rPr>
          <w:sz w:val="20"/>
          <w:szCs w:val="20"/>
          <w:color w:val="auto"/>
        </w:rPr>
      </w:pPr>
      <w:r>
        <w:rPr>
          <w:rFonts w:ascii="Times New Roman" w:cs="Times New Roman" w:eastAsia="Times New Roman" w:hAnsi="Times New Roman"/>
          <w:sz w:val="15"/>
          <w:szCs w:val="15"/>
          <w:i w:val="1"/>
          <w:iCs w:val="1"/>
          <w:color w:val="auto"/>
        </w:rPr>
        <w:t>We may issue notes or other debt securities, or otherwise incur substantial debt, to complete our initial business combination, which may adversely affect our financial condition and thus negatively impact the value of our shareholders’ investment in us.</w:t>
      </w:r>
    </w:p>
    <w:p>
      <w:pPr>
        <w:spacing w:after="0" w:line="133" w:lineRule="exact"/>
        <w:rPr>
          <w:sz w:val="20"/>
          <w:szCs w:val="20"/>
          <w:color w:val="auto"/>
        </w:rPr>
      </w:pPr>
    </w:p>
    <w:p>
      <w:pPr>
        <w:ind w:left="460" w:right="100" w:firstLine="379"/>
        <w:spacing w:after="0" w:line="254" w:lineRule="auto"/>
        <w:rPr>
          <w:sz w:val="20"/>
          <w:szCs w:val="20"/>
          <w:color w:val="auto"/>
        </w:rPr>
      </w:pPr>
      <w:r>
        <w:rPr>
          <w:rFonts w:ascii="Times New Roman" w:cs="Times New Roman" w:eastAsia="Times New Roman" w:hAnsi="Times New Roman"/>
          <w:sz w:val="15"/>
          <w:szCs w:val="15"/>
          <w:color w:val="auto"/>
        </w:rPr>
        <w:t>Although we have no other commitments as of the date of this prospectus to issue any notes or other debt securities, or to otherwise incur outstanding debt, we may choose to incur substantial debt to complete initial business combination. Furthermore, we may issue a substantial number of additional ordinary or preferred shares to complete our initial business combination or under an employee incentive plan upon or after consummation of our initial business combination. We and our officers and directors have agreed that we will not incur any indebtedness unless we have obtained from the lender a waiver of any right, title, interest or claim of any kind in or to any monies held in the trust account. As such, no issuance of debt will affect the per share amount available for redemption from the trust account. Nevertheless, the incurrence of debt could have a variety of negative effects, including:</w:t>
      </w:r>
    </w:p>
    <w:p>
      <w:pPr>
        <w:spacing w:after="0" w:line="89" w:lineRule="exact"/>
        <w:rPr>
          <w:sz w:val="20"/>
          <w:szCs w:val="20"/>
          <w:color w:val="auto"/>
        </w:rPr>
      </w:pPr>
    </w:p>
    <w:p>
      <w:pPr>
        <w:ind w:left="1300" w:right="620" w:hanging="371"/>
        <w:spacing w:after="0" w:line="284" w:lineRule="auto"/>
        <w:tabs>
          <w:tab w:leader="none" w:pos="13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and foreclosure on our assets if our operating revenues after our initial business combination are insufficient to repay our debt obligations;</w:t>
      </w:r>
    </w:p>
    <w:p>
      <w:pPr>
        <w:spacing w:after="0" w:line="65" w:lineRule="exact"/>
        <w:rPr>
          <w:rFonts w:ascii="Times New Roman" w:cs="Times New Roman" w:eastAsia="Times New Roman" w:hAnsi="Times New Roman"/>
          <w:sz w:val="15"/>
          <w:szCs w:val="15"/>
          <w:color w:val="auto"/>
        </w:rPr>
      </w:pPr>
    </w:p>
    <w:p>
      <w:pPr>
        <w:ind w:left="1300" w:right="260" w:hanging="371"/>
        <w:spacing w:after="0" w:line="284" w:lineRule="auto"/>
        <w:tabs>
          <w:tab w:leader="none" w:pos="13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immediate payment of all principal and accrued interest, if any, if the debt security is payable on demand;</w:t>
      </w:r>
    </w:p>
    <w:p>
      <w:pPr>
        <w:spacing w:after="0" w:line="123" w:lineRule="exact"/>
        <w:rPr>
          <w:rFonts w:ascii="Times New Roman" w:cs="Times New Roman" w:eastAsia="Times New Roman" w:hAnsi="Times New Roman"/>
          <w:sz w:val="15"/>
          <w:szCs w:val="15"/>
          <w:color w:val="auto"/>
        </w:rPr>
      </w:pPr>
    </w:p>
    <w:p>
      <w:pPr>
        <w:ind w:left="1300" w:right="340" w:hanging="371"/>
        <w:spacing w:after="0" w:line="284" w:lineRule="auto"/>
        <w:tabs>
          <w:tab w:leader="none" w:pos="13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obtain necessary additional financing if the debt security contains covenants restricting our ability to obtain such financing while the debt security is outstanding;</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pay dividends on our ordinary shares;</w:t>
      </w:r>
    </w:p>
    <w:p>
      <w:pPr>
        <w:spacing w:after="0" w:line="123" w:lineRule="exact"/>
        <w:rPr>
          <w:rFonts w:ascii="Times New Roman" w:cs="Times New Roman" w:eastAsia="Times New Roman" w:hAnsi="Times New Roman"/>
          <w:sz w:val="15"/>
          <w:szCs w:val="15"/>
          <w:color w:val="auto"/>
        </w:rPr>
      </w:pPr>
    </w:p>
    <w:p>
      <w:pPr>
        <w:ind w:left="1300" w:hanging="371"/>
        <w:spacing w:after="0" w:line="284" w:lineRule="auto"/>
        <w:tabs>
          <w:tab w:leader="none" w:pos="13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our flexibility in planning for and reacting to changes in our business and in the industry in which we operate;</w:t>
      </w:r>
    </w:p>
    <w:p>
      <w:pPr>
        <w:spacing w:after="0" w:line="123" w:lineRule="exact"/>
        <w:rPr>
          <w:rFonts w:ascii="Times New Roman" w:cs="Times New Roman" w:eastAsia="Times New Roman" w:hAnsi="Times New Roman"/>
          <w:sz w:val="15"/>
          <w:szCs w:val="15"/>
          <w:color w:val="auto"/>
        </w:rPr>
      </w:pPr>
    </w:p>
    <w:p>
      <w:pPr>
        <w:ind w:left="1300" w:right="420" w:hanging="371"/>
        <w:spacing w:after="0" w:line="284" w:lineRule="auto"/>
        <w:tabs>
          <w:tab w:leader="none" w:pos="13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vulnerability to adverse changes in general economic, industry and competitive conditions and adverse changes in government regulation; and</w:t>
      </w:r>
    </w:p>
    <w:p>
      <w:pPr>
        <w:spacing w:after="0" w:line="172" w:lineRule="exact"/>
        <w:rPr>
          <w:rFonts w:ascii="Times New Roman" w:cs="Times New Roman" w:eastAsia="Times New Roman" w:hAnsi="Times New Roman"/>
          <w:sz w:val="15"/>
          <w:szCs w:val="15"/>
          <w:color w:val="auto"/>
        </w:rPr>
      </w:pPr>
    </w:p>
    <w:p>
      <w:pPr>
        <w:ind w:left="1300" w:right="20" w:hanging="371"/>
        <w:spacing w:after="0" w:line="284" w:lineRule="auto"/>
        <w:tabs>
          <w:tab w:leader="none" w:pos="13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33" w:lineRule="exact"/>
        <w:rPr>
          <w:sz w:val="20"/>
          <w:szCs w:val="20"/>
          <w:color w:val="auto"/>
        </w:rPr>
      </w:pPr>
    </w:p>
    <w:p>
      <w:pPr>
        <w:ind w:left="460" w:right="40"/>
        <w:spacing w:after="0" w:line="289" w:lineRule="auto"/>
        <w:rPr>
          <w:sz w:val="20"/>
          <w:szCs w:val="20"/>
          <w:color w:val="auto"/>
        </w:rPr>
      </w:pPr>
      <w:r>
        <w:rPr>
          <w:rFonts w:ascii="Times New Roman" w:cs="Times New Roman" w:eastAsia="Times New Roman" w:hAnsi="Times New Roman"/>
          <w:sz w:val="15"/>
          <w:szCs w:val="15"/>
          <w:i w:val="1"/>
          <w:iCs w:val="1"/>
          <w:color w:val="auto"/>
        </w:rPr>
        <w:t>Our directors may decide not to enforce indemnification obligations against our sponsor, resulting in a reduction in the amount of funds in the trust account available for distribution to our public shareholders.</w:t>
      </w:r>
    </w:p>
    <w:p>
      <w:pPr>
        <w:spacing w:after="0" w:line="133" w:lineRule="exact"/>
        <w:rPr>
          <w:sz w:val="20"/>
          <w:szCs w:val="20"/>
          <w:color w:val="auto"/>
        </w:rPr>
      </w:pPr>
    </w:p>
    <w:p>
      <w:pPr>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In the event that the proceeds in the trust account are reduced below $10.00 per share (whether or not the underwriters’ over -allotment option is exercised in full) and our sponsor asserts that it is unable to satisfy obligations or that it has no indemnification obligations related to a particular claim, our independent directors</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69</w:t>
      </w:r>
    </w:p>
    <w:p>
      <w:pPr>
        <w:sectPr>
          <w:pgSz w:w="11900" w:h="16840" w:orient="portrait"/>
          <w:cols w:equalWidth="0" w:num="1">
            <w:col w:w="10140"/>
          </w:cols>
          <w:pgMar w:left="660" w:top="874" w:right="1100" w:bottom="1440" w:gutter="0" w:footer="0" w:header="0"/>
        </w:sectPr>
      </w:pPr>
    </w:p>
    <w:bookmarkStart w:id="80" w:name="page81"/>
    <w:bookmarkEnd w:id="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40"/>
        <w:spacing w:after="0" w:line="256" w:lineRule="auto"/>
        <w:rPr>
          <w:sz w:val="20"/>
          <w:szCs w:val="20"/>
          <w:color w:val="auto"/>
        </w:rPr>
      </w:pPr>
      <w:r>
        <w:rPr>
          <w:rFonts w:ascii="Times New Roman" w:cs="Times New Roman" w:eastAsia="Times New Roman" w:hAnsi="Times New Roman"/>
          <w:sz w:val="15"/>
          <w:szCs w:val="15"/>
          <w:color w:val="auto"/>
        </w:rPr>
        <w:t>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our independent directors choose not to enforce these indemnification obligations on our behalf, the amount of funds in the trust account available for distribution to our public shareholders may be reduced below $10.00 per share.</w:t>
      </w:r>
    </w:p>
    <w:p>
      <w:pPr>
        <w:spacing w:after="0" w:line="154" w:lineRule="exact"/>
        <w:rPr>
          <w:sz w:val="20"/>
          <w:szCs w:val="20"/>
          <w:color w:val="auto"/>
        </w:rPr>
      </w:pPr>
    </w:p>
    <w:p>
      <w:pPr>
        <w:ind w:left="460" w:right="200"/>
        <w:spacing w:after="0" w:line="289" w:lineRule="auto"/>
        <w:rPr>
          <w:sz w:val="20"/>
          <w:szCs w:val="20"/>
          <w:color w:val="auto"/>
        </w:rPr>
      </w:pPr>
      <w:r>
        <w:rPr>
          <w:rFonts w:ascii="Times New Roman" w:cs="Times New Roman" w:eastAsia="Times New Roman" w:hAnsi="Times New Roman"/>
          <w:sz w:val="15"/>
          <w:szCs w:val="15"/>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33" w:lineRule="exact"/>
        <w:rPr>
          <w:sz w:val="20"/>
          <w:szCs w:val="20"/>
          <w:color w:val="auto"/>
        </w:rPr>
      </w:pPr>
    </w:p>
    <w:p>
      <w:pPr>
        <w:ind w:left="460" w:right="80" w:firstLine="379"/>
        <w:spacing w:after="0" w:line="259" w:lineRule="auto"/>
        <w:rPr>
          <w:sz w:val="20"/>
          <w:szCs w:val="20"/>
          <w:color w:val="auto"/>
        </w:rPr>
      </w:pPr>
      <w:r>
        <w:rPr>
          <w:rFonts w:ascii="Times New Roman" w:cs="Times New Roman" w:eastAsia="Times New Roman" w:hAnsi="Times New Roman"/>
          <w:sz w:val="15"/>
          <w:szCs w:val="15"/>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pacing w:after="0" w:line="156" w:lineRule="exact"/>
        <w:rPr>
          <w:sz w:val="20"/>
          <w:szCs w:val="20"/>
          <w:color w:val="auto"/>
        </w:rPr>
      </w:pPr>
    </w:p>
    <w:p>
      <w:pPr>
        <w:ind w:left="460" w:right="440" w:firstLine="379"/>
        <w:spacing w:after="0" w:line="284" w:lineRule="auto"/>
        <w:rPr>
          <w:sz w:val="20"/>
          <w:szCs w:val="20"/>
          <w:color w:val="auto"/>
        </w:rPr>
      </w:pPr>
      <w:r>
        <w:rPr>
          <w:rFonts w:ascii="Times New Roman" w:cs="Times New Roman" w:eastAsia="Times New Roman" w:hAnsi="Times New Roman"/>
          <w:sz w:val="15"/>
          <w:szCs w:val="15"/>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37"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intend to spend a considerable amount of time actively managing the assets in the trust account for the primary purpose of achieving investment returns. We do not plan to buy businesses or assets with a view to resale or profit from their resale. We do not plan to buy unrelated businesses or assets or to be a passive investor.</w:t>
      </w:r>
    </w:p>
    <w:p>
      <w:pPr>
        <w:spacing w:after="0" w:line="160" w:lineRule="exact"/>
        <w:rPr>
          <w:sz w:val="20"/>
          <w:szCs w:val="20"/>
          <w:color w:val="auto"/>
        </w:rPr>
      </w:pPr>
    </w:p>
    <w:p>
      <w:pPr>
        <w:ind w:left="460" w:right="200" w:firstLine="379"/>
        <w:spacing w:after="0" w:line="254" w:lineRule="auto"/>
        <w:rPr>
          <w:sz w:val="20"/>
          <w:szCs w:val="20"/>
          <w:color w:val="auto"/>
        </w:rPr>
      </w:pPr>
      <w:r>
        <w:rPr>
          <w:rFonts w:ascii="Times New Roman" w:cs="Times New Roman" w:eastAsia="Times New Roman" w:hAnsi="Times New Roman"/>
          <w:sz w:val="15"/>
          <w:szCs w:val="15"/>
          <w:color w:val="auto"/>
        </w:rPr>
        <w:t>We do not believe that our anticipated principal activities will subject us to the Investment Company Act. To this end, the proceeds held in the trust account may only be held as cash, including in demand deposit accounts at a bank, or invested in U.S. “government securities” within the meaning of Section 2(a)(16) of the Investment Company Act having a maturity of 185 days or less or in money market funds meeting certain conditions under Rule</w:t>
      </w:r>
    </w:p>
    <w:p>
      <w:pPr>
        <w:spacing w:after="0" w:line="1" w:lineRule="exact"/>
        <w:rPr>
          <w:sz w:val="20"/>
          <w:szCs w:val="20"/>
          <w:color w:val="auto"/>
        </w:rPr>
      </w:pPr>
    </w:p>
    <w:p>
      <w:pPr>
        <w:ind w:left="460"/>
        <w:spacing w:after="0" w:line="247" w:lineRule="auto"/>
        <w:rPr>
          <w:sz w:val="20"/>
          <w:szCs w:val="20"/>
          <w:color w:val="auto"/>
        </w:rPr>
      </w:pPr>
      <w:r>
        <w:rPr>
          <w:rFonts w:ascii="Times New Roman" w:cs="Times New Roman" w:eastAsia="Times New Roman" w:hAnsi="Times New Roman"/>
          <w:sz w:val="15"/>
          <w:szCs w:val="15"/>
          <w:color w:val="auto"/>
        </w:rPr>
        <w:t>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submitted in connection with the implementation by the directors of, following a shareholder vote, an amendment to our amended and restated memorandum and articles of association (A) to modify the substance or timing of our obligation to provide for the redemption of our public shares in connection with an initial business combination or to redeem 100% of our public shares if we have not consummated our initial business combination within 24 months from the closing of this offering or (B) with respect to any other provisions relating to shareholders’ rights or pre-initial business combination activity; or</w:t>
      </w:r>
    </w:p>
    <w:p>
      <w:pPr>
        <w:spacing w:after="0" w:line="1" w:lineRule="exact"/>
        <w:rPr>
          <w:sz w:val="20"/>
          <w:szCs w:val="20"/>
          <w:color w:val="auto"/>
        </w:rPr>
      </w:pPr>
    </w:p>
    <w:p>
      <w:pPr>
        <w:ind w:left="460" w:right="120" w:hanging="5"/>
        <w:spacing w:after="0" w:line="262" w:lineRule="auto"/>
        <w:tabs>
          <w:tab w:leader="none" w:pos="729"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absent an initial business combination within 24 months from the closing of this offering, our return of the funds held in the trust account to our public shareholders as part of our redemption of the public</w:t>
      </w:r>
    </w:p>
    <w:p>
      <w:pPr>
        <w:spacing w:after="0" w:line="1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70</w:t>
      </w:r>
    </w:p>
    <w:p>
      <w:pPr>
        <w:sectPr>
          <w:pgSz w:w="11900" w:h="16840" w:orient="portrait"/>
          <w:cols w:equalWidth="0" w:num="1">
            <w:col w:w="10120"/>
          </w:cols>
          <w:pgMar w:left="660" w:top="874" w:right="1120" w:bottom="1440" w:gutter="0" w:footer="0" w:header="0"/>
        </w:sectPr>
      </w:pPr>
    </w:p>
    <w:bookmarkStart w:id="81" w:name="page82"/>
    <w:bookmarkEnd w:id="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shares. If we do not invest the proceeds as discussed above, we may be deemed to be subject to the Investment Company Act.</w:t>
      </w:r>
    </w:p>
    <w:p>
      <w:pPr>
        <w:spacing w:after="0" w:line="195" w:lineRule="exact"/>
        <w:rPr>
          <w:sz w:val="20"/>
          <w:szCs w:val="20"/>
          <w:color w:val="auto"/>
        </w:rPr>
      </w:pPr>
    </w:p>
    <w:p>
      <w:pPr>
        <w:jc w:val="both"/>
        <w:ind w:left="460" w:right="460" w:firstLine="379"/>
        <w:spacing w:after="0" w:line="265" w:lineRule="auto"/>
        <w:rPr>
          <w:sz w:val="20"/>
          <w:szCs w:val="20"/>
          <w:color w:val="auto"/>
        </w:rPr>
      </w:pPr>
      <w:r>
        <w:rPr>
          <w:rFonts w:ascii="Times New Roman" w:cs="Times New Roman" w:eastAsia="Times New Roman" w:hAnsi="Times New Roman"/>
          <w:sz w:val="15"/>
          <w:szCs w:val="15"/>
          <w:color w:val="auto"/>
        </w:rPr>
        <w:t>Further, under the subjective test of a “investment company” pursuant to Section 3(a)(1)(A) of the Investment Company Act, even if the funds deposited in the trust account were invested in the assets discussed above, such assets, other than cash, are “securities” for purposes of the Investment Company Act and, therefore, there is a risk that we could be deemed an investment company and subject to the Investment Company Act.</w:t>
      </w:r>
    </w:p>
    <w:p>
      <w:pPr>
        <w:spacing w:after="0" w:line="151"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We are aware of litigation claiming that certain SPACs should be considered to be investment companies. Although we believe that these claims were without merit, we cannot guarantee that we will not be deemed to be an investment company and thus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winding down our operations and our liquidation. If we are unable to complete our initial business combination, our public shareholders may receive only approximately $10.00 per share on the liquidation of our trust account and our public shareholders would also lose the possibility of an investment opportunity in a target company as well as any potential price appreciation in the combined company following a business combination.</w:t>
      </w:r>
    </w:p>
    <w:p>
      <w:pPr>
        <w:spacing w:after="0" w:line="160" w:lineRule="exact"/>
        <w:rPr>
          <w:sz w:val="20"/>
          <w:szCs w:val="20"/>
          <w:color w:val="auto"/>
        </w:rPr>
      </w:pPr>
    </w:p>
    <w:p>
      <w:pPr>
        <w:ind w:left="460" w:right="320" w:firstLine="379"/>
        <w:spacing w:after="0" w:line="284" w:lineRule="auto"/>
        <w:rPr>
          <w:sz w:val="20"/>
          <w:szCs w:val="20"/>
          <w:color w:val="auto"/>
        </w:rPr>
      </w:pPr>
      <w:r>
        <w:rPr>
          <w:rFonts w:ascii="Times New Roman" w:cs="Times New Roman" w:eastAsia="Times New Roman" w:hAnsi="Times New Roman"/>
          <w:sz w:val="15"/>
          <w:szCs w:val="15"/>
          <w:color w:val="auto"/>
        </w:rPr>
        <w:t>If our circumstances change over time, we will update our disclosure to reflect how such changes impact the risk that we may be considered to be operating as an unregistered investment company.</w:t>
      </w:r>
    </w:p>
    <w:p>
      <w:pPr>
        <w:spacing w:after="0" w:line="133" w:lineRule="exact"/>
        <w:rPr>
          <w:sz w:val="20"/>
          <w:szCs w:val="20"/>
          <w:color w:val="auto"/>
        </w:rPr>
      </w:pPr>
    </w:p>
    <w:p>
      <w:pPr>
        <w:ind w:left="460" w:right="100"/>
        <w:spacing w:after="0" w:line="257" w:lineRule="auto"/>
        <w:rPr>
          <w:sz w:val="20"/>
          <w:szCs w:val="20"/>
          <w:color w:val="auto"/>
        </w:rPr>
      </w:pPr>
      <w:r>
        <w:rPr>
          <w:rFonts w:ascii="Times New Roman" w:cs="Times New Roman" w:eastAsia="Times New Roman" w:hAnsi="Times New Roman"/>
          <w:sz w:val="15"/>
          <w:szCs w:val="15"/>
          <w:i w:val="1"/>
          <w:iCs w:val="1"/>
          <w:color w:val="auto"/>
        </w:rPr>
        <w:t>To mitigate the risk that we might be deemed to be an investment company for purposes of the Investment Company Act, we may, at any time, instruct the trustee to liquidate the securities held in the trust account and instead to hold the funds in the trust account in cash until the earlier of the consummation of our initial business combination or our liquidation. As a result, following the liquidation of securities in the trust account, the interest earned on the funds held in the trust account may be materially reduced, which would reduce the dollar amount our public shareholders would receive upon any redemption or liquidation of the company.</w:t>
      </w:r>
    </w:p>
    <w:p>
      <w:pPr>
        <w:spacing w:after="0" w:line="158"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We intend to initially hold the funds in the trust account as cash, including in demand deposit accounts at a bank, or in U.S. government treasury obligations with a maturity of 185 days or less or in money market funds investing solely in U.S. government treasury obligations and meeting certain conditions under Rule 2a-7 under the Investment Company Act. U.S. government treasury obligations are considered “securities” for purposes of the Investment Company Act, while cash is not. As noted above, one of the factors the SEC identified as relevant to the determination of whether a SPAC which holds securities could potentially be deemed an “investment company” under the Investment Company Act is the SPAC’s duration. To mitigate the risk of us being deemed to be an unregistered investment company (including under the subjective test of Section 3(a)(1)(A) of the Investment Company Act) and thus subject to regulation under the Investment Company Act, we may, at any time, instruct Continental Stock Transfer &amp; Trust Company, the trustee with respect to the trust account, to liquidate the U.S. government treasury obligations or money market funds held in the trust account and thereafter to hold all funds in the trust account in cash until the earlier of consummation of our initial business combination or liquidation of the company. Following such liquidation, the rate of interest we receive on the funds held in the trust account may be materially decreased. However, interest previously earned on the funds held in the trust account still may be released to us for permitted withdrawals and certain other expenses as permitted. As a result, any decision to liquidate the securities held in the trust account and thereafter to hold all funds in the trust account in cash would reduce the dollar amount our public shareholders would receive upon any redemption or liquidation of the company.</w:t>
      </w:r>
    </w:p>
    <w:p>
      <w:pPr>
        <w:spacing w:after="0" w:line="163" w:lineRule="exact"/>
        <w:rPr>
          <w:sz w:val="20"/>
          <w:szCs w:val="20"/>
          <w:color w:val="auto"/>
        </w:rPr>
      </w:pPr>
    </w:p>
    <w:p>
      <w:pPr>
        <w:ind w:left="460" w:right="420" w:firstLine="379"/>
        <w:spacing w:after="0" w:line="265" w:lineRule="auto"/>
        <w:rPr>
          <w:sz w:val="20"/>
          <w:szCs w:val="20"/>
          <w:color w:val="auto"/>
        </w:rPr>
      </w:pPr>
      <w:r>
        <w:rPr>
          <w:rFonts w:ascii="Times New Roman" w:cs="Times New Roman" w:eastAsia="Times New Roman" w:hAnsi="Times New Roman"/>
          <w:sz w:val="15"/>
          <w:szCs w:val="15"/>
          <w:color w:val="auto"/>
        </w:rPr>
        <w:t>In addition, we may still be deemed to be an investment company. The longer that the funds in the trust account are held in short-term U.S. government treasury obligations or in money market funds invested exclusively in such securities, the greater the risk that we may be deemed to be an unregistered investment company, in which case we may be required to liquidate. If our facts and circumstances change over time, we</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71</w:t>
      </w:r>
    </w:p>
    <w:p>
      <w:pPr>
        <w:sectPr>
          <w:pgSz w:w="11900" w:h="16840" w:orient="portrait"/>
          <w:cols w:equalWidth="0" w:num="1">
            <w:col w:w="10120"/>
          </w:cols>
          <w:pgMar w:left="660" w:top="874" w:right="1120" w:bottom="1440" w:gutter="0" w:footer="0" w:header="0"/>
        </w:sectPr>
      </w:pPr>
    </w:p>
    <w:bookmarkStart w:id="82" w:name="page83"/>
    <w:bookmarkEnd w:id="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2" w:lineRule="auto"/>
        <w:rPr>
          <w:sz w:val="20"/>
          <w:szCs w:val="20"/>
          <w:color w:val="auto"/>
        </w:rPr>
      </w:pPr>
      <w:r>
        <w:rPr>
          <w:rFonts w:ascii="Times New Roman" w:cs="Times New Roman" w:eastAsia="Times New Roman" w:hAnsi="Times New Roman"/>
          <w:sz w:val="15"/>
          <w:szCs w:val="15"/>
          <w:color w:val="auto"/>
        </w:rPr>
        <w:t>will update our disclosure to reflect how those changes impact the risk that we may be considered to be operating as an unregistered investment company. As disclosed above, we may determine, in our discretion, to liquidate the securities held in the trust account at any time and instead hold all funds in the trust account in an interest bearing demand deposit account or as cash or cash items at a bank, which could further reduce the dollar amount our public shareholders would receive upon any redemption or liquidation of the company as compared to what they would have received had the investments not been so liquidated. Were we to liquidate the company, and our securityholders would lose the investment opportunity associated with an investment in the acquisition target with which we could have consummated an initial business combination. In addition, upon moving the funds from the trust account to a deposit account, we will maintain the cash items in bank accounts which, at times, may exceed federally insured limits as guaranteed by the FDIC. While we intend to place our deposits in high-quality banks, only a small portion of the funds in our trust account will be guaranteed by the FDIC.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Our shareholders may be held liable for claims by third parties against us to the extent of distributions received by them.</w:t>
      </w:r>
    </w:p>
    <w:p>
      <w:pPr>
        <w:spacing w:after="0" w:line="199" w:lineRule="exact"/>
        <w:rPr>
          <w:sz w:val="20"/>
          <w:szCs w:val="20"/>
          <w:color w:val="auto"/>
        </w:rPr>
      </w:pPr>
    </w:p>
    <w:p>
      <w:pPr>
        <w:ind w:left="460" w:right="80" w:firstLine="379"/>
        <w:spacing w:after="0" w:line="252" w:lineRule="auto"/>
        <w:rPr>
          <w:sz w:val="20"/>
          <w:szCs w:val="20"/>
          <w:color w:val="auto"/>
        </w:rPr>
      </w:pPr>
      <w:r>
        <w:rPr>
          <w:rFonts w:ascii="Times New Roman" w:cs="Times New Roman" w:eastAsia="Times New Roman" w:hAnsi="Times New Roman"/>
          <w:sz w:val="15"/>
          <w:szCs w:val="15"/>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approximately $18,000 and to imprisonment for five years in the Cayman Islands.</w:t>
      </w:r>
    </w:p>
    <w:p>
      <w:pPr>
        <w:spacing w:after="0" w:line="158" w:lineRule="exact"/>
        <w:rPr>
          <w:sz w:val="20"/>
          <w:szCs w:val="20"/>
          <w:color w:val="auto"/>
        </w:rPr>
      </w:pPr>
    </w:p>
    <w:p>
      <w:pPr>
        <w:ind w:left="460" w:right="160"/>
        <w:spacing w:after="0" w:line="289" w:lineRule="auto"/>
        <w:rPr>
          <w:sz w:val="20"/>
          <w:szCs w:val="20"/>
          <w:color w:val="auto"/>
        </w:rPr>
      </w:pPr>
      <w:r>
        <w:rPr>
          <w:rFonts w:ascii="Times New Roman" w:cs="Times New Roman" w:eastAsia="Times New Roman" w:hAnsi="Times New Roman"/>
          <w:sz w:val="15"/>
          <w:szCs w:val="15"/>
          <w:i w:val="1"/>
          <w:iCs w:val="1"/>
          <w:color w:val="auto"/>
        </w:rPr>
        <w:t>If third parties bring claims against the company, the proceeds held in trust could be reduced and theper-share redemption price received by shareholders may be less than $10.00 per share.</w:t>
      </w:r>
    </w:p>
    <w:p>
      <w:pPr>
        <w:spacing w:after="0" w:line="133"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The company’s placing of funds in trust may not protect those funds from third party claims against the company. Although the company will seek to have all vendors and service providers the company engages and prospective target businesses the company negotiates with execute agreements with the company waiving any right, title, interest or claim of any kind in or to any monies held in the trust account for the benefit of the company’s public shareholders, they may not execute such agreements. Furthermore, even if such entities execute such agreements with the company, they may seek recourse against the trust account. A court may not uphold the validity of such agreements. Accordingly, the proceeds held in trust could be subject to claims which could take priority over those of the company’s public shareholders. If the company is unable to complete a business combination and distribute the proceeds held in trust to the company’s public shareholders, the sponsor has agreed (subject to certain exceptions described in Exhibit 10.1 to this registration statement)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However, it may not be able to meet such obligation. Therefore, the per-share distribution from the trust account may be less than $10.00, plus interest, due to such claims.</w:t>
      </w:r>
    </w:p>
    <w:p>
      <w:pPr>
        <w:spacing w:after="0" w:line="340"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w:t>
      </w:r>
    </w:p>
    <w:p>
      <w:pPr>
        <w:spacing w:after="0" w:line="1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72</w:t>
      </w:r>
    </w:p>
    <w:p>
      <w:pPr>
        <w:sectPr>
          <w:pgSz w:w="11900" w:h="16840" w:orient="portrait"/>
          <w:cols w:equalWidth="0" w:num="1">
            <w:col w:w="10140"/>
          </w:cols>
          <w:pgMar w:left="660" w:top="874" w:right="1100" w:bottom="1440" w:gutter="0" w:footer="0" w:header="0"/>
        </w:sectPr>
      </w:pPr>
    </w:p>
    <w:bookmarkStart w:id="83" w:name="page84"/>
    <w:bookmarkEnd w:id="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49" w:lineRule="auto"/>
        <w:rPr>
          <w:sz w:val="20"/>
          <w:szCs w:val="20"/>
          <w:color w:val="auto"/>
        </w:rPr>
      </w:pPr>
      <w:r>
        <w:rPr>
          <w:rFonts w:ascii="Times New Roman" w:cs="Times New Roman" w:eastAsia="Times New Roman" w:hAnsi="Times New Roman"/>
          <w:sz w:val="15"/>
          <w:szCs w:val="15"/>
          <w:color w:val="auto"/>
        </w:rPr>
        <w:t>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(except for the company’s independent registered public accounting firm),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permitted withdrawals,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62" w:lineRule="exact"/>
        <w:rPr>
          <w:sz w:val="20"/>
          <w:szCs w:val="20"/>
          <w:color w:val="auto"/>
        </w:rPr>
      </w:pPr>
    </w:p>
    <w:p>
      <w:pPr>
        <w:ind w:left="460" w:right="760"/>
        <w:spacing w:after="0" w:line="289" w:lineRule="auto"/>
        <w:rPr>
          <w:sz w:val="20"/>
          <w:szCs w:val="20"/>
          <w:color w:val="auto"/>
        </w:rPr>
      </w:pPr>
      <w:r>
        <w:rPr>
          <w:rFonts w:ascii="Times New Roman" w:cs="Times New Roman" w:eastAsia="Times New Roman" w:hAnsi="Times New Roman"/>
          <w:sz w:val="15"/>
          <w:szCs w:val="15"/>
          <w:i w:val="1"/>
          <w:iCs w:val="1"/>
          <w:color w:val="auto"/>
        </w:rPr>
        <w:t>Unlike some other similarly structured blank check companies, our sponsor will receive additional Class A ordinary shares if we issue shares to consummate an initial business combination.</w:t>
      </w:r>
    </w:p>
    <w:p>
      <w:pPr>
        <w:spacing w:after="0" w:line="133" w:lineRule="exact"/>
        <w:rPr>
          <w:sz w:val="20"/>
          <w:szCs w:val="20"/>
          <w:color w:val="auto"/>
        </w:rPr>
      </w:pPr>
    </w:p>
    <w:p>
      <w:pPr>
        <w:ind w:left="460" w:right="100" w:firstLine="379"/>
        <w:spacing w:after="0" w:line="250" w:lineRule="auto"/>
        <w:rPr>
          <w:sz w:val="20"/>
          <w:szCs w:val="20"/>
          <w:color w:val="auto"/>
        </w:rPr>
      </w:pPr>
      <w:r>
        <w:rPr>
          <w:rFonts w:ascii="Times New Roman" w:cs="Times New Roman" w:eastAsia="Times New Roman" w:hAnsi="Times New Roman"/>
          <w:sz w:val="15"/>
          <w:szCs w:val="15"/>
          <w:color w:val="auto"/>
        </w:rPr>
        <w:t>The founder shares and private investment shares will automatically convert into Class A ordinary shares at the time of our initial business combination (with such conversion taking place immediately prior to, simultaneously with, or immediately following the time of our initial business combination, as may be determined by our directors), or earlier at the option of the holder, on a one-for-one basis, subject to adjustment for share subdivisions, share dividends, reorganizations, recapitalizations and the like and subject to further adjustment as provided herein. In the case that additional Class A ordinary shares or equity -linked securities convertible or exercisable for Class A ordinary shares are issued or deemed issued in excess of the amounts sold in this offering and related to the closing of the initial business combination, the ratio at which founder shares and private investment shares will convert into Class A ordinary shares will be adjusted so that the number of Class A ordinary shares issuable upon conversion of all founder shares and private investment shares will equal, in the aggregate, on an as-converted basis, 30% of (i) the total number of all ordinary shares outstanding upon the completion of this offering (including any Class A ordinary shares issued pursuant to the underwriters’ over-allotment option and excluding the Class A ordinary shares underlying the private placement units issued to the sponsor and the non-managing investors),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units and their underlying securities issued to our sponsor or any of its affiliates or to our officers or directors upon conversion of working capital loans); provided that such conversion of founder shares will never occur on a less than one-for-one basis.</w:t>
      </w:r>
    </w:p>
    <w:p>
      <w:pPr>
        <w:spacing w:after="0" w:line="337" w:lineRule="exact"/>
        <w:rPr>
          <w:sz w:val="20"/>
          <w:szCs w:val="20"/>
          <w:color w:val="auto"/>
        </w:rPr>
      </w:pPr>
    </w:p>
    <w:p>
      <w:pPr>
        <w:ind w:left="460" w:right="60"/>
        <w:spacing w:after="0" w:line="289" w:lineRule="auto"/>
        <w:rPr>
          <w:sz w:val="20"/>
          <w:szCs w:val="20"/>
          <w:color w:val="auto"/>
        </w:rPr>
      </w:pPr>
      <w:r>
        <w:rPr>
          <w:rFonts w:ascii="Times New Roman" w:cs="Times New Roman" w:eastAsia="Times New Roman" w:hAnsi="Times New Roman"/>
          <w:sz w:val="15"/>
          <w:szCs w:val="15"/>
          <w:i w:val="1"/>
          <w:iCs w:val="1"/>
          <w:color w:val="auto"/>
        </w:rPr>
        <w:t>The grant of registration rights to our initial shareholders, including thenon -managing investors, may make it more difficult to complete our initial business combination, and the future exercise of such rights may adversely affect the market price of our public shares.</w:t>
      </w:r>
    </w:p>
    <w:p>
      <w:pPr>
        <w:spacing w:after="0" w:line="9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73</w:t>
      </w:r>
    </w:p>
    <w:p>
      <w:pPr>
        <w:sectPr>
          <w:pgSz w:w="11900" w:h="16840" w:orient="portrait"/>
          <w:cols w:equalWidth="0" w:num="1">
            <w:col w:w="10120"/>
          </w:cols>
          <w:pgMar w:left="660" w:top="874" w:right="1120" w:bottom="1440" w:gutter="0" w:footer="0" w:header="0"/>
        </w:sectPr>
      </w:pPr>
    </w:p>
    <w:bookmarkStart w:id="84" w:name="page85"/>
    <w:bookmarkEnd w:id="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firstLine="379"/>
        <w:spacing w:after="0" w:line="251" w:lineRule="auto"/>
        <w:rPr>
          <w:sz w:val="20"/>
          <w:szCs w:val="20"/>
          <w:color w:val="auto"/>
        </w:rPr>
      </w:pPr>
      <w:r>
        <w:rPr>
          <w:rFonts w:ascii="Times New Roman" w:cs="Times New Roman" w:eastAsia="Times New Roman" w:hAnsi="Times New Roman"/>
          <w:sz w:val="15"/>
          <w:szCs w:val="15"/>
          <w:color w:val="auto"/>
        </w:rPr>
        <w:t>Pursuant to agreements to be entered into on the date of this prospectus, our insiders,non-managing investors and their respective permitted transferees, can demand that we register for resale an aggregate of 7,850,229 founder shares (assuming the exercise in full of the over-allotment option by the underwriters), 2,964,203 private investor shares (assuming the exercise in full of the over-allotment option by the underwriters), 357,657 private placement shares (assuming the exercise in full of the over-allotment option by the underwriters), 35,765 shares issued upon the conversion of the private placement rights upon the consummation of our initial business combination (assuming the exercise in full of the over -allotment option by the underwriters) and underlying securities and securities issued upon conversion of working capital loans, if any. We will bear the cost of registering these securities. The registration and availability of such a significant number of securities for trading in the public market may have an adverse effect on the market price of our public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public shares that is expected when the securities owned by our initial shareholders or their respective permitted transferees, are registered.</w:t>
      </w:r>
    </w:p>
    <w:p>
      <w:pPr>
        <w:spacing w:after="0" w:line="336" w:lineRule="exact"/>
        <w:rPr>
          <w:sz w:val="20"/>
          <w:szCs w:val="20"/>
          <w:color w:val="auto"/>
        </w:rPr>
      </w:pPr>
    </w:p>
    <w:p>
      <w:pPr>
        <w:ind w:left="460" w:right="340"/>
        <w:spacing w:after="0" w:line="289" w:lineRule="auto"/>
        <w:rPr>
          <w:sz w:val="20"/>
          <w:szCs w:val="20"/>
          <w:color w:val="auto"/>
        </w:rPr>
      </w:pPr>
      <w:r>
        <w:rPr>
          <w:rFonts w:ascii="Times New Roman" w:cs="Times New Roman" w:eastAsia="Times New Roman" w:hAnsi="Times New Roman"/>
          <w:sz w:val="15"/>
          <w:szCs w:val="15"/>
          <w:i w:val="1"/>
          <w:iCs w:val="1"/>
          <w:color w:val="auto"/>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p>
    <w:p>
      <w:pPr>
        <w:spacing w:after="0" w:line="133"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color w:val="auto"/>
        </w:rPr>
        <w:t>Although we intend to focus on A&amp;D, cybersecurity, encryption and quantum technologies, satellite and drone technologies for commercial and defense applications, and semiconductor “system on a chip” (SOC) industry, we may pursue acquisition opportunities in any geographic region and in any business industry or sector. Except for the limitations that a target business has a fair market value of at least 80% of the value of the trust account (less permitted withdrawals)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Furthermore, some of these risks may be outside of our control and leave us with no ability to control or reduce the chances that those risks will adversely impact a target business. An investment in our public units may not ultimately prove to be more favorable to investors than a direct investment, if such opportunity were available, in an acquisition target.</w:t>
      </w:r>
    </w:p>
    <w:p>
      <w:pPr>
        <w:spacing w:after="0" w:line="157" w:lineRule="exact"/>
        <w:rPr>
          <w:sz w:val="20"/>
          <w:szCs w:val="20"/>
          <w:color w:val="auto"/>
        </w:rPr>
      </w:pPr>
    </w:p>
    <w:p>
      <w:pPr>
        <w:jc w:val="both"/>
        <w:ind w:left="460" w:right="40"/>
        <w:spacing w:after="0" w:line="268" w:lineRule="auto"/>
        <w:rPr>
          <w:sz w:val="20"/>
          <w:szCs w:val="20"/>
          <w:color w:val="auto"/>
        </w:rPr>
      </w:pPr>
      <w:r>
        <w:rPr>
          <w:rFonts w:ascii="Times New Roman" w:cs="Times New Roman" w:eastAsia="Times New Roman" w:hAnsi="Times New Roman"/>
          <w:sz w:val="15"/>
          <w:szCs w:val="15"/>
          <w:i w:val="1"/>
          <w:iCs w:val="1"/>
          <w:color w:val="auto"/>
        </w:rPr>
        <w:t>The requirement that the acquisition target(s) that we acquire must collectively have a fair market value equal to at least 80% of the balance of the funds in the trust account (less any taxes payable on interest earned) at the time of the execution of a definitive agreement for our initial business combination may limit the type and number of companies with which we may complete such a business combination.</w:t>
      </w:r>
    </w:p>
    <w:p>
      <w:pPr>
        <w:spacing w:after="0" w:line="149"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Pursuant to the Nasdaq listing rules, the target business or businesses that we acquire must collectively have a fair market value equal to at least 80% of the balance of the funds in the trust account (less any taxes payable on interest earned) at the time of the execution of a definitive agreement for our initial business combination. This restriction may limit the type and number of companies with which we may complete an initial business combination. If we are unable to locate a target business or businesses that satisfy this fair market value test, we may be forced to liquidate and you will only be entitled to receive your pro rata portion of the funds in the trust account. The Nasdaq listing rules require that such initial business combination must be approved by a majority of the company’s independent directors.</w:t>
      </w:r>
    </w:p>
    <w:p>
      <w:pPr>
        <w:spacing w:after="0" w:line="1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74</w:t>
      </w:r>
    </w:p>
    <w:p>
      <w:pPr>
        <w:sectPr>
          <w:pgSz w:w="11900" w:h="16840" w:orient="portrait"/>
          <w:cols w:equalWidth="0" w:num="1">
            <w:col w:w="10100"/>
          </w:cols>
          <w:pgMar w:left="660" w:top="874" w:right="1140" w:bottom="1440" w:gutter="0" w:footer="0" w:header="0"/>
        </w:sectPr>
      </w:pPr>
    </w:p>
    <w:bookmarkStart w:id="85" w:name="page86"/>
    <w:bookmarkEnd w:id="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line="289" w:lineRule="auto"/>
        <w:rPr>
          <w:sz w:val="20"/>
          <w:szCs w:val="20"/>
          <w:color w:val="auto"/>
        </w:rPr>
      </w:pPr>
      <w:r>
        <w:rPr>
          <w:rFonts w:ascii="Times New Roman" w:cs="Times New Roman" w:eastAsia="Times New Roman" w:hAnsi="Times New Roman"/>
          <w:sz w:val="15"/>
          <w:szCs w:val="15"/>
          <w:i w:val="1"/>
          <w:iCs w:val="1"/>
          <w:color w:val="auto"/>
        </w:rPr>
        <w:t>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w:t>
      </w:r>
    </w:p>
    <w:p>
      <w:pPr>
        <w:spacing w:after="0" w:line="133" w:lineRule="exact"/>
        <w:rPr>
          <w:sz w:val="20"/>
          <w:szCs w:val="20"/>
          <w:color w:val="auto"/>
        </w:rPr>
      </w:pPr>
    </w:p>
    <w:p>
      <w:pPr>
        <w:ind w:left="460" w:right="60" w:firstLine="379"/>
        <w:spacing w:after="0" w:line="250" w:lineRule="auto"/>
        <w:rPr>
          <w:sz w:val="20"/>
          <w:szCs w:val="20"/>
          <w:color w:val="auto"/>
        </w:rPr>
      </w:pPr>
      <w:r>
        <w:rPr>
          <w:rFonts w:ascii="Times New Roman" w:cs="Times New Roman" w:eastAsia="Times New Roman" w:hAnsi="Times New Roman"/>
          <w:sz w:val="15"/>
          <w:szCs w:val="15"/>
          <w:color w:val="auto"/>
        </w:rPr>
        <w:t>We will consider a business combination outside the A&amp;D, cybersecurity, encryption and quantum technologies, satellite and drone technologies for commercial and defense applications, and semiconductor “system on a chip” (SOC) industry, which may be outside of our management’s areas of expertise, if a business combination candidate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ordinary shares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shareholder who chooses to remain a shareholder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57" w:lineRule="exact"/>
        <w:rPr>
          <w:sz w:val="20"/>
          <w:szCs w:val="20"/>
          <w:color w:val="auto"/>
        </w:rPr>
      </w:pPr>
    </w:p>
    <w:p>
      <w:pPr>
        <w:ind w:left="460" w:right="180"/>
        <w:spacing w:after="0" w:line="268" w:lineRule="auto"/>
        <w:rPr>
          <w:sz w:val="20"/>
          <w:szCs w:val="20"/>
          <w:color w:val="auto"/>
        </w:rPr>
      </w:pPr>
      <w:r>
        <w:rPr>
          <w:rFonts w:ascii="Times New Roman" w:cs="Times New Roman" w:eastAsia="Times New Roman" w:hAnsi="Times New Roman"/>
          <w:sz w:val="15"/>
          <w:szCs w:val="15"/>
          <w:i w:val="1"/>
          <w:i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the Nasdaq rules,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$10.00 per share (whether or not the underwriters’ over- allotment option is exercised in full) or potentially less than $10.00 per share on our redemption.</w:t>
      </w:r>
    </w:p>
    <w:p>
      <w:pPr>
        <w:spacing w:after="0" w:line="158" w:lineRule="exact"/>
        <w:rPr>
          <w:sz w:val="20"/>
          <w:szCs w:val="20"/>
          <w:color w:val="auto"/>
        </w:rPr>
      </w:pPr>
    </w:p>
    <w:p>
      <w:pPr>
        <w:ind w:left="460" w:right="40"/>
        <w:spacing w:after="0" w:line="289" w:lineRule="auto"/>
        <w:rPr>
          <w:sz w:val="20"/>
          <w:szCs w:val="20"/>
          <w:color w:val="auto"/>
        </w:rPr>
      </w:pPr>
      <w:r>
        <w:rPr>
          <w:rFonts w:ascii="Times New Roman" w:cs="Times New Roman" w:eastAsia="Times New Roman" w:hAnsi="Times New Roman"/>
          <w:sz w:val="15"/>
          <w:szCs w:val="15"/>
          <w:i w:val="1"/>
          <w:iCs w:val="1"/>
          <w:color w:val="auto"/>
        </w:rPr>
        <w:t>We may seek acquisition opportunities with an early-stage company, a financially unstable business or an entity lacking an established record of revenue or earnings.</w:t>
      </w:r>
    </w:p>
    <w:p>
      <w:pPr>
        <w:spacing w:after="0" w:line="133" w:lineRule="exact"/>
        <w:rPr>
          <w:sz w:val="20"/>
          <w:szCs w:val="20"/>
          <w:color w:val="auto"/>
        </w:rPr>
      </w:pPr>
    </w:p>
    <w:p>
      <w:pPr>
        <w:ind w:left="460" w:right="40" w:firstLine="379"/>
        <w:spacing w:after="0" w:line="259" w:lineRule="auto"/>
        <w:rPr>
          <w:sz w:val="20"/>
          <w:szCs w:val="20"/>
          <w:color w:val="auto"/>
        </w:rPr>
      </w:pPr>
      <w:r>
        <w:rPr>
          <w:rFonts w:ascii="Times New Roman" w:cs="Times New Roman" w:eastAsia="Times New Roman" w:hAnsi="Times New Roman"/>
          <w:sz w:val="15"/>
          <w:szCs w:val="15"/>
          <w:color w:val="auto"/>
        </w:rPr>
        <w:t>To the extent we complete our initial business combination with an early-stage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executive officers and directors.</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75</w:t>
      </w:r>
    </w:p>
    <w:p>
      <w:pPr>
        <w:sectPr>
          <w:pgSz w:w="11900" w:h="16840" w:orient="portrait"/>
          <w:cols w:equalWidth="0" w:num="1">
            <w:col w:w="10140"/>
          </w:cols>
          <w:pgMar w:left="660" w:top="874" w:right="1100" w:bottom="1440" w:gutter="0" w:footer="0" w:header="0"/>
        </w:sectPr>
      </w:pPr>
    </w:p>
    <w:bookmarkStart w:id="86" w:name="page87"/>
    <w:bookmarkEnd w:id="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jc w:val="both"/>
        <w:ind w:left="460" w:right="220"/>
        <w:spacing w:after="0" w:line="265" w:lineRule="auto"/>
        <w:rPr>
          <w:sz w:val="20"/>
          <w:szCs w:val="20"/>
          <w:color w:val="auto"/>
        </w:rPr>
      </w:pPr>
      <w:r>
        <w:rPr>
          <w:rFonts w:ascii="Times New Roman" w:cs="Times New Roman" w:eastAsia="Times New Roman" w:hAnsi="Times New Roman"/>
          <w:sz w:val="15"/>
          <w:szCs w:val="15"/>
          <w:color w:val="auto"/>
        </w:rPr>
        <w:t>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47" w:lineRule="exact"/>
        <w:rPr>
          <w:sz w:val="20"/>
          <w:szCs w:val="20"/>
          <w:color w:val="auto"/>
        </w:rPr>
      </w:pPr>
    </w:p>
    <w:p>
      <w:pPr>
        <w:ind w:left="460" w:right="300"/>
        <w:spacing w:after="0" w:line="289" w:lineRule="auto"/>
        <w:rPr>
          <w:sz w:val="20"/>
          <w:szCs w:val="20"/>
          <w:color w:val="auto"/>
        </w:rPr>
      </w:pPr>
      <w:r>
        <w:rPr>
          <w:rFonts w:ascii="Times New Roman" w:cs="Times New Roman" w:eastAsia="Times New Roman" w:hAnsi="Times New Roman"/>
          <w:sz w:val="15"/>
          <w:szCs w:val="15"/>
          <w:i w:val="1"/>
          <w:iCs w:val="1"/>
          <w:color w:val="auto"/>
        </w:rPr>
        <w:t>We are not required to obtain an opinion from an independent investment banking firm or another independent entity, and consequently, an independent source may not confirm that the price we are paying for the business is fair to our shareholders from a financial point of view.</w:t>
      </w:r>
    </w:p>
    <w:p>
      <w:pPr>
        <w:spacing w:after="0" w:line="133" w:lineRule="exact"/>
        <w:rPr>
          <w:sz w:val="20"/>
          <w:szCs w:val="20"/>
          <w:color w:val="auto"/>
        </w:rPr>
      </w:pPr>
    </w:p>
    <w:p>
      <w:pPr>
        <w:ind w:left="460" w:right="80" w:firstLine="379"/>
        <w:spacing w:after="0" w:line="254" w:lineRule="auto"/>
        <w:rPr>
          <w:sz w:val="20"/>
          <w:szCs w:val="20"/>
          <w:color w:val="auto"/>
        </w:rPr>
      </w:pPr>
      <w:r>
        <w:rPr>
          <w:rFonts w:ascii="Times New Roman" w:cs="Times New Roman" w:eastAsia="Times New Roman" w:hAnsi="Times New Roman"/>
          <w:sz w:val="15"/>
          <w:szCs w:val="15"/>
          <w:color w:val="auto"/>
        </w:rPr>
        <w:t>Unless we consummate our initial business combination with an affiliated entity, we are not required to obtain an opinion from an independent investment banking firm or another independent entity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Our board of directors will have significant discretion in choosing the standard used to establish the fair market value of the target acquisition. Such standards used will be disclosed in our tender offer documents or proxy solicitation materials, as applicable, related to our initial business combination.</w:t>
      </w:r>
    </w:p>
    <w:p>
      <w:pPr>
        <w:spacing w:after="0" w:line="156" w:lineRule="exact"/>
        <w:rPr>
          <w:sz w:val="20"/>
          <w:szCs w:val="20"/>
          <w:color w:val="auto"/>
        </w:rPr>
      </w:pPr>
    </w:p>
    <w:p>
      <w:pPr>
        <w:ind w:left="460" w:right="460"/>
        <w:spacing w:after="0" w:line="289" w:lineRule="auto"/>
        <w:rPr>
          <w:sz w:val="20"/>
          <w:szCs w:val="20"/>
          <w:color w:val="auto"/>
        </w:rPr>
      </w:pPr>
      <w:r>
        <w:rPr>
          <w:rFonts w:ascii="Times New Roman" w:cs="Times New Roman" w:eastAsia="Times New Roman" w:hAnsi="Times New Roman"/>
          <w:sz w:val="15"/>
          <w:szCs w:val="15"/>
          <w:i w:val="1"/>
          <w:iCs w:val="1"/>
          <w:color w:val="auto"/>
        </w:rPr>
        <w:t>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p>
    <w:p>
      <w:pPr>
        <w:spacing w:after="0" w:line="133"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will authorize the issuance of up to 200,000,000 Class A ordinary shares, par value $0.0001 per share, 20,000,000 Class B ordinary shares, par value $0.0001 per share, and 1,000,000 preferred shares, par value $0.0001 per share. Immediately after this offering, there will be 177,662,325 authorized but unissued Class A ordinary shares and 10,596,192 authorized but unissued Class B ordinary shares (assuming that the underwriters have not exercised their over-allotment option and 1,410,624 Class B ordinary shares have been forfeited, as further described in this prospectus) available for issuance which amount does not take into account shares issuable upon conversion of the Class B ordinary shares, if any. The Class B ordinary shares are automatically convertible into Class A ordinary shares at the time of our initial business combination or earlier at the option of the holder on a one-for-one basis, subject to adjustment pursuant to certain anti -dilution rights, as described herein and in our amended and restated memorandum and articles of association. Immediately after this offering, there will be no preferred shares issued and outstanding.</w:t>
      </w:r>
    </w:p>
    <w:p>
      <w:pPr>
        <w:spacing w:after="0" w:line="162" w:lineRule="exact"/>
        <w:rPr>
          <w:sz w:val="20"/>
          <w:szCs w:val="20"/>
          <w:color w:val="auto"/>
        </w:rPr>
      </w:pPr>
    </w:p>
    <w:p>
      <w:pPr>
        <w:ind w:left="460" w:right="60" w:firstLine="379"/>
        <w:spacing w:after="0" w:line="250" w:lineRule="auto"/>
        <w:rPr>
          <w:sz w:val="20"/>
          <w:szCs w:val="20"/>
          <w:color w:val="auto"/>
        </w:rPr>
      </w:pPr>
      <w:r>
        <w:rPr>
          <w:rFonts w:ascii="Times New Roman" w:cs="Times New Roman" w:eastAsia="Times New Roman" w:hAnsi="Times New Roman"/>
          <w:sz w:val="15"/>
          <w:szCs w:val="15"/>
          <w:color w:val="auto"/>
        </w:rPr>
        <w:t>The post-business combination company may issue a substantial number of additional Class A ordinary shares or preferred shares to complete its initial business combination or under an employee incentive plan after completion of an initial business combination. The post-business combination company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the completion of our initial business combination, we may not issue additional shares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96" w:lineRule="exact"/>
        <w:rPr>
          <w:sz w:val="20"/>
          <w:szCs w:val="20"/>
          <w:color w:val="auto"/>
        </w:rPr>
      </w:pPr>
    </w:p>
    <w:p>
      <w:pPr>
        <w:ind w:left="1300" w:right="160" w:hanging="371"/>
        <w:spacing w:after="0" w:line="265" w:lineRule="auto"/>
        <w:tabs>
          <w:tab w:leader="none" w:pos="13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76</w:t>
      </w:r>
    </w:p>
    <w:p>
      <w:pPr>
        <w:sectPr>
          <w:pgSz w:w="11900" w:h="16840" w:orient="portrait"/>
          <w:cols w:equalWidth="0" w:num="1">
            <w:col w:w="10160"/>
          </w:cols>
          <w:pgMar w:left="660" w:top="874" w:right="1080" w:bottom="1440" w:gutter="0" w:footer="0" w:header="0"/>
        </w:sectPr>
      </w:pPr>
    </w:p>
    <w:bookmarkStart w:id="87" w:name="page88"/>
    <w:bookmarkEnd w:id="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right="180" w:hanging="371"/>
        <w:spacing w:after="0" w:line="284" w:lineRule="auto"/>
        <w:tabs>
          <w:tab w:leader="none" w:pos="13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subordinate the rights of holders of Class A ordinary shares if preferred shares are issued with rights senior to those afforded to Class A ordinary shares;</w:t>
      </w:r>
    </w:p>
    <w:p>
      <w:pPr>
        <w:spacing w:after="0" w:line="65" w:lineRule="exact"/>
        <w:rPr>
          <w:rFonts w:ascii="Times New Roman" w:cs="Times New Roman" w:eastAsia="Times New Roman" w:hAnsi="Times New Roman"/>
          <w:sz w:val="15"/>
          <w:szCs w:val="15"/>
          <w:color w:val="auto"/>
        </w:rPr>
      </w:pPr>
    </w:p>
    <w:p>
      <w:pPr>
        <w:ind w:left="1300" w:hanging="371"/>
        <w:spacing w:after="0" w:line="265" w:lineRule="auto"/>
        <w:tabs>
          <w:tab w:leader="none" w:pos="13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could cause a change in control if a substantial number of Class A ordinary shares are issued, which may affect, among other things, the post-business combination company’s ability to use its net operating loss carry forwards, if any, and could result in the resignation or removal of the post-business combination company’s officers and directors;</w:t>
      </w:r>
    </w:p>
    <w:p>
      <w:pPr>
        <w:spacing w:after="0" w:line="80" w:lineRule="exact"/>
        <w:rPr>
          <w:rFonts w:ascii="Times New Roman" w:cs="Times New Roman" w:eastAsia="Times New Roman" w:hAnsi="Times New Roman"/>
          <w:sz w:val="15"/>
          <w:szCs w:val="15"/>
          <w:color w:val="auto"/>
        </w:rPr>
      </w:pPr>
    </w:p>
    <w:p>
      <w:pPr>
        <w:ind w:left="1300" w:right="160" w:hanging="371"/>
        <w:spacing w:after="0" w:line="284" w:lineRule="auto"/>
        <w:tabs>
          <w:tab w:leader="none" w:pos="13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have the effect of delaying or preventing a change of control of the post-business combination company by diluting the share ownership or voting rights of a person seeking to obtain control of the post-business combination company; and</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adversely affect prevailing market prices for our public shares.</w:t>
      </w:r>
    </w:p>
    <w:p>
      <w:pPr>
        <w:spacing w:after="0" w:line="96" w:lineRule="exact"/>
        <w:rPr>
          <w:sz w:val="20"/>
          <w:szCs w:val="20"/>
          <w:color w:val="auto"/>
        </w:rPr>
      </w:pPr>
    </w:p>
    <w:p>
      <w:pPr>
        <w:ind w:left="460" w:right="160" w:firstLine="379"/>
        <w:spacing w:after="0" w:line="254" w:lineRule="auto"/>
        <w:rPr>
          <w:sz w:val="20"/>
          <w:szCs w:val="20"/>
          <w:color w:val="auto"/>
        </w:rPr>
      </w:pPr>
      <w:r>
        <w:rPr>
          <w:rFonts w:ascii="Times New Roman" w:cs="Times New Roman" w:eastAsia="Times New Roman" w:hAnsi="Times New Roman"/>
          <w:sz w:val="15"/>
          <w:szCs w:val="15"/>
          <w:color w:val="auto"/>
        </w:rPr>
        <w:t>For more information on additional financing that we may raise in connection with our business combination and risks related thereto,</w:t>
      </w:r>
      <w:r>
        <w:rPr>
          <w:rFonts w:ascii="Times New Roman" w:cs="Times New Roman" w:eastAsia="Times New Roman" w:hAnsi="Times New Roman"/>
          <w:sz w:val="15"/>
          <w:szCs w:val="15"/>
          <w:b w:val="1"/>
          <w:bCs w:val="1"/>
          <w:color w:val="auto"/>
        </w:rPr>
        <w:t>also see “Risk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Factors</w:t>
      </w:r>
      <w:r>
        <w:rPr>
          <w:rFonts w:ascii="Times New Roman" w:cs="Times New Roman" w:eastAsia="Times New Roman" w:hAnsi="Times New Roman"/>
          <w:sz w:val="15"/>
          <w:szCs w:val="15"/>
          <w:b w:val="1"/>
          <w:bCs w:val="1"/>
          <w:i w:val="1"/>
          <w:iCs w:val="1"/>
          <w:color w:val="auto"/>
        </w:rPr>
        <w:t>— Risks Relating to the Post-Business Combination Company —The post-business combination company may issue shares to investors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connection with our initial business combination at a price which is less than $10.00 or the prevailing market price of our shares at that time, which could dilute the interests of our existing shareholders and add costs</w:t>
      </w:r>
      <w:r>
        <w:rPr>
          <w:rFonts w:ascii="Times New Roman" w:cs="Times New Roman" w:eastAsia="Times New Roman" w:hAnsi="Times New Roman"/>
          <w:sz w:val="15"/>
          <w:szCs w:val="15"/>
          <w:b w:val="1"/>
          <w:bCs w:val="1"/>
          <w:color w:val="auto"/>
        </w:rPr>
        <w:t>” and “</w:t>
      </w:r>
      <w:r>
        <w:rPr>
          <w:rFonts w:ascii="Times New Roman" w:cs="Times New Roman" w:eastAsia="Times New Roman" w:hAnsi="Times New Roman"/>
          <w:sz w:val="15"/>
          <w:szCs w:val="15"/>
          <w:b w:val="1"/>
          <w:bCs w:val="1"/>
          <w:i w:val="1"/>
          <w:iCs w:val="1"/>
          <w:color w:val="auto"/>
        </w:rPr>
        <w:t>Risk Factors — Risks Relating to our Search for, and Consummation of or Inability to Consummate, a Business Combination — We may issue notes or other debt securities, or otherwise incur substantial debt, to complete our initial business combination, which may adversely affect our financial condition and thus negatively impact the value of our shareholders’ investment in us</w:t>
      </w:r>
      <w:r>
        <w:rPr>
          <w:rFonts w:ascii="Times New Roman" w:cs="Times New Roman" w:eastAsia="Times New Roman" w:hAnsi="Times New Roman"/>
          <w:sz w:val="15"/>
          <w:szCs w:val="15"/>
          <w:color w:val="auto"/>
        </w:rPr>
        <w:t>.”</w:t>
      </w:r>
    </w:p>
    <w:p>
      <w:pPr>
        <w:spacing w:after="0" w:line="338" w:lineRule="exact"/>
        <w:rPr>
          <w:sz w:val="20"/>
          <w:szCs w:val="20"/>
          <w:color w:val="auto"/>
        </w:rPr>
      </w:pPr>
    </w:p>
    <w:p>
      <w:pPr>
        <w:ind w:left="460" w:right="40"/>
        <w:spacing w:after="0" w:line="268" w:lineRule="auto"/>
        <w:rPr>
          <w:sz w:val="20"/>
          <w:szCs w:val="20"/>
          <w:color w:val="auto"/>
        </w:rPr>
      </w:pPr>
      <w:r>
        <w:rPr>
          <w:rFonts w:ascii="Times New Roman" w:cs="Times New Roman" w:eastAsia="Times New Roman" w:hAnsi="Times New Roman"/>
          <w:sz w:val="15"/>
          <w:szCs w:val="15"/>
          <w:i w:val="1"/>
          <w:iCs w:val="1"/>
          <w:color w:val="auto"/>
        </w:rPr>
        <w:t>Resources could be wasted in researching acquisitions that are not consummated,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149"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$10.00 per share (whether or not the underwriters’ over-allotment option is exercised in full) or potentially less than $10.00 per share on our redemption, and our warrants will expire worthless.</w:t>
      </w:r>
    </w:p>
    <w:p>
      <w:pPr>
        <w:spacing w:after="0" w:line="158" w:lineRule="exact"/>
        <w:rPr>
          <w:sz w:val="20"/>
          <w:szCs w:val="20"/>
          <w:color w:val="auto"/>
        </w:rPr>
      </w:pPr>
    </w:p>
    <w:p>
      <w:pPr>
        <w:ind w:left="460" w:right="200"/>
        <w:spacing w:after="0" w:line="289" w:lineRule="auto"/>
        <w:rPr>
          <w:sz w:val="20"/>
          <w:szCs w:val="20"/>
          <w:color w:val="auto"/>
        </w:rPr>
      </w:pPr>
      <w:r>
        <w:rPr>
          <w:rFonts w:ascii="Times New Roman" w:cs="Times New Roman" w:eastAsia="Times New Roman" w:hAnsi="Times New Roman"/>
          <w:sz w:val="15"/>
          <w:szCs w:val="15"/>
          <w:i w:val="1"/>
          <w:iCs w:val="1"/>
          <w:color w:val="auto"/>
        </w:rPr>
        <w:t>We may engage in our initial business combination with one or more target businesses that have relationships with entities that may be affiliated with our sponsor, executive officers or directors, which may raise potential conflicts of interest.</w:t>
      </w:r>
    </w:p>
    <w:p>
      <w:pPr>
        <w:spacing w:after="0" w:line="133"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light of the involvement of our sponsor, executive officers, directors, and each of their affiliates, with other entities, we may decide to acquire one or more businesses affiliated with our sponsor, executive officers or directors, or any of their affiliates. Our directors also serve as executive officers and board members for other entities. Our sponsor, executive officers and directors are not currently aware of any specific opportunities for us to consummate our initial business combination with any entities with which they are affiliated, and there have been no discussions concerning a business combination with any such entity or entities. Although we will not be specifically focusing</w:t>
      </w:r>
    </w:p>
    <w:p>
      <w:pPr>
        <w:spacing w:after="0" w:line="1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77</w:t>
      </w:r>
    </w:p>
    <w:p>
      <w:pPr>
        <w:sectPr>
          <w:pgSz w:w="11900" w:h="16840" w:orient="portrait"/>
          <w:cols w:equalWidth="0" w:num="1">
            <w:col w:w="10140"/>
          </w:cols>
          <w:pgMar w:left="660" w:top="874" w:right="1100" w:bottom="1440" w:gutter="0" w:footer="0" w:header="0"/>
        </w:sectPr>
      </w:pPr>
    </w:p>
    <w:bookmarkStart w:id="88" w:name="page89"/>
    <w:bookmarkEnd w:id="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jc w:val="both"/>
        <w:ind w:left="460" w:right="80"/>
        <w:spacing w:after="0" w:line="252" w:lineRule="auto"/>
        <w:rPr>
          <w:sz w:val="20"/>
          <w:szCs w:val="20"/>
          <w:color w:val="auto"/>
        </w:rPr>
      </w:pPr>
      <w:r>
        <w:rPr>
          <w:rFonts w:ascii="Times New Roman" w:cs="Times New Roman" w:eastAsia="Times New Roman" w:hAnsi="Times New Roman"/>
          <w:sz w:val="15"/>
          <w:szCs w:val="15"/>
          <w:color w:val="auto"/>
        </w:rPr>
        <w:t>on, or targeting, any transaction with any affiliated entities, we would pursue such a transaction if we determined that such affiliated entity met our criteria for our initial business combination as set forth in “</w:t>
      </w:r>
      <w:r>
        <w:rPr>
          <w:rFonts w:ascii="Times New Roman" w:cs="Times New Roman" w:eastAsia="Times New Roman" w:hAnsi="Times New Roman"/>
          <w:sz w:val="15"/>
          <w:szCs w:val="15"/>
          <w:i w:val="1"/>
          <w:iCs w:val="1"/>
          <w:color w:val="auto"/>
        </w:rPr>
        <w:t>Proposed Business—Initial Business Combination—Selection of a Target Business and Structuring of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Business Combination</w:t>
      </w:r>
      <w:r>
        <w:rPr>
          <w:rFonts w:ascii="Times New Roman" w:cs="Times New Roman" w:eastAsia="Times New Roman" w:hAnsi="Times New Roman"/>
          <w:sz w:val="15"/>
          <w:szCs w:val="15"/>
          <w:color w:val="auto"/>
        </w:rPr>
        <w:t>” and such transaction was approved by a majority of our disinterested directors. In such event, neither the sponsor, nor any executive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 or director, will be entitled to receive or accept a finder’s fee or any other compensation in the event such party originates a business combination.</w:t>
      </w:r>
    </w:p>
    <w:p>
      <w:pPr>
        <w:spacing w:after="0" w:line="2" w:lineRule="exact"/>
        <w:rPr>
          <w:sz w:val="20"/>
          <w:szCs w:val="20"/>
          <w:color w:val="auto"/>
        </w:rPr>
      </w:pPr>
    </w:p>
    <w:p>
      <w:pPr>
        <w:ind w:left="460" w:right="220"/>
        <w:spacing w:after="0" w:line="250" w:lineRule="auto"/>
        <w:rPr>
          <w:sz w:val="20"/>
          <w:szCs w:val="20"/>
          <w:color w:val="auto"/>
        </w:rPr>
      </w:pPr>
      <w:r>
        <w:rPr>
          <w:rFonts w:ascii="Times New Roman" w:cs="Times New Roman" w:eastAsia="Times New Roman" w:hAnsi="Times New Roman"/>
          <w:sz w:val="15"/>
          <w:szCs w:val="15"/>
          <w:color w:val="auto"/>
        </w:rPr>
        <w:t>Despite our agreement to obtain an opinion from an independent investment banking firm or another independent entity regarding the fairness to our shareholders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shareholders as they would be absent any conflicts of interest. Our directors have a fiduciary duty to act in the best interests of our shareholders, whether or not a conflict of interest may exist.</w:t>
      </w:r>
    </w:p>
    <w:p>
      <w:pPr>
        <w:spacing w:after="0" w:line="163" w:lineRule="exact"/>
        <w:rPr>
          <w:sz w:val="20"/>
          <w:szCs w:val="20"/>
          <w:color w:val="auto"/>
        </w:rPr>
      </w:pPr>
    </w:p>
    <w:p>
      <w:pPr>
        <w:ind w:left="460" w:right="80" w:firstLine="379"/>
        <w:spacing w:after="0" w:line="253" w:lineRule="auto"/>
        <w:rPr>
          <w:sz w:val="20"/>
          <w:szCs w:val="20"/>
          <w:color w:val="auto"/>
        </w:rPr>
      </w:pPr>
      <w:r>
        <w:rPr>
          <w:rFonts w:ascii="Times New Roman" w:cs="Times New Roman" w:eastAsia="Times New Roman" w:hAnsi="Times New Roman"/>
          <w:sz w:val="15"/>
          <w:szCs w:val="15"/>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w:t>
      </w:r>
      <w:r>
        <w:rPr>
          <w:rFonts w:ascii="Times New Roman" w:cs="Times New Roman" w:eastAsia="Times New Roman" w:hAnsi="Times New Roman"/>
          <w:sz w:val="15"/>
          <w:szCs w:val="15"/>
          <w:i w:val="1"/>
          <w:iCs w:val="1"/>
          <w:color w:val="auto"/>
        </w:rPr>
        <w:t>Description of Securities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Certain Differences in Corporate Law — Shareholders’ Suits</w:t>
      </w:r>
      <w:r>
        <w:rPr>
          <w:rFonts w:ascii="Times New Roman" w:cs="Times New Roman" w:eastAsia="Times New Roman" w:hAnsi="Times New Roman"/>
          <w:sz w:val="15"/>
          <w:szCs w:val="15"/>
          <w:color w:val="auto"/>
        </w:rPr>
        <w:t>” for further information on the ability to bring such claims. However, we might not ultimately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successful in any claim we may make against them for such reason.</w:t>
      </w:r>
    </w:p>
    <w:p>
      <w:pPr>
        <w:spacing w:after="0" w:line="156" w:lineRule="exact"/>
        <w:rPr>
          <w:sz w:val="20"/>
          <w:szCs w:val="20"/>
          <w:color w:val="auto"/>
        </w:rPr>
      </w:pPr>
    </w:p>
    <w:p>
      <w:pPr>
        <w:ind w:left="460" w:right="100"/>
        <w:spacing w:after="0" w:line="261" w:lineRule="auto"/>
        <w:rPr>
          <w:sz w:val="20"/>
          <w:szCs w:val="20"/>
          <w:color w:val="auto"/>
        </w:rPr>
      </w:pPr>
      <w:r>
        <w:rPr>
          <w:rFonts w:ascii="Times New Roman" w:cs="Times New Roman" w:eastAsia="Times New Roman" w:hAnsi="Times New Roman"/>
          <w:sz w:val="15"/>
          <w:szCs w:val="15"/>
          <w:i w:val="1"/>
          <w:iCs w:val="1"/>
          <w:color w:val="auto"/>
        </w:rPr>
        <w:t>Since our sponsor, officers and directors, any other holder of our founder shares, private investor shares and private placement units, including the non-managing investors, will lose their entire investment in us if our initial business combination is not consummated (other than with respect to public shares they may acquire during or after this offering), and our executive officers and directors have significant financial interests in our sponsor, a conflict of interest may arise in determining whether a particular acquisition target is appropriate for our initial business combination.</w:t>
      </w:r>
    </w:p>
    <w:p>
      <w:pPr>
        <w:spacing w:after="0" w:line="154" w:lineRule="exact"/>
        <w:rPr>
          <w:sz w:val="20"/>
          <w:szCs w:val="20"/>
          <w:color w:val="auto"/>
        </w:rPr>
      </w:pPr>
    </w:p>
    <w:p>
      <w:pPr>
        <w:ind w:left="460" w:firstLine="379"/>
        <w:spacing w:after="0" w:line="249" w:lineRule="auto"/>
        <w:rPr>
          <w:sz w:val="20"/>
          <w:szCs w:val="20"/>
          <w:color w:val="auto"/>
        </w:rPr>
      </w:pPr>
      <w:r>
        <w:rPr>
          <w:rFonts w:ascii="Times New Roman" w:cs="Times New Roman" w:eastAsia="Times New Roman" w:hAnsi="Times New Roman"/>
          <w:sz w:val="15"/>
          <w:szCs w:val="15"/>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 -allotment option is exercised during this offering. Our sponsor is selling at the time of this offering 375,397 founder shares in the aggregate to Messrs. Greene, Machuca, Timm and Horowitz at an aggregate price of $9,244 and 1,416,665 founder shares to Lynrock at an aggregate price of $13,130, thus reducing the price paid by our sponsor for the 6,058,167 founder shares which it is retaining to $2,626, or $0.000434 per share. Up to 1,023,943 founder shares held by our insiders and Lynrock will remain subject to forfeiture on a pro rata basis depending on the extent to which the underwriters’ over-allotment option is exercised during this offering. 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 The number of founder shares to be held after this offering is determined based on the expectation that the founder shares together with the private investor shares held by non -managing investors would represent 30.7% of the issued and outstanding ordinary shares upon the completion of this offering. The founder shares and the private investor shares will be worthless if we do not complete an initial business combination. Drs. Katz and Dinu, who are husband and wife, have a financial interest in an affiliate of our sponsor, the management company known as GigManagement, LLC, that is providing us with office space and general and administrative services. Drs. Katz</w:t>
      </w:r>
    </w:p>
    <w:p>
      <w:pPr>
        <w:spacing w:after="0" w:line="1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78</w:t>
      </w:r>
    </w:p>
    <w:p>
      <w:pPr>
        <w:sectPr>
          <w:pgSz w:w="11900" w:h="16840" w:orient="portrait"/>
          <w:cols w:equalWidth="0" w:num="1">
            <w:col w:w="10140"/>
          </w:cols>
          <w:pgMar w:left="660" w:top="874" w:right="1100" w:bottom="1440" w:gutter="0" w:footer="0" w:header="0"/>
        </w:sectPr>
      </w:pPr>
    </w:p>
    <w:bookmarkStart w:id="89" w:name="page90"/>
    <w:bookmarkEnd w:id="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line="257" w:lineRule="auto"/>
        <w:rPr>
          <w:sz w:val="20"/>
          <w:szCs w:val="20"/>
          <w:color w:val="auto"/>
        </w:rPr>
      </w:pPr>
      <w:r>
        <w:rPr>
          <w:rFonts w:ascii="Times New Roman" w:cs="Times New Roman" w:eastAsia="Times New Roman" w:hAnsi="Times New Roman"/>
          <w:sz w:val="15"/>
          <w:szCs w:val="15"/>
          <w:color w:val="auto"/>
        </w:rPr>
        <w:t xml:space="preserve">and Dinu are also managing members of GigManagement, LLC. See “— </w:t>
      </w:r>
      <w:r>
        <w:rPr>
          <w:rFonts w:ascii="Times New Roman" w:cs="Times New Roman" w:eastAsia="Times New Roman" w:hAnsi="Times New Roman"/>
          <w:sz w:val="15"/>
          <w:szCs w:val="15"/>
          <w:i w:val="1"/>
          <w:iCs w:val="1"/>
          <w:color w:val="auto"/>
        </w:rPr>
        <w:t>Certain Relationships and Related Party Transactions</w:t>
      </w:r>
      <w:r>
        <w:rPr>
          <w:rFonts w:ascii="Times New Roman" w:cs="Times New Roman" w:eastAsia="Times New Roman" w:hAnsi="Times New Roman"/>
          <w:sz w:val="15"/>
          <w:szCs w:val="15"/>
          <w:color w:val="auto"/>
        </w:rPr>
        <w:t>.” The personal and financial interests of our sponsor, as well as our executive officers and directors with a significant financial interest in our sponsor, may influence their motivation in identifying and selecting a target business combination, completing an initial business combination and influencing the operation of the business following the initial business combination. This risk may become more acute as the end of the completion window nears, which is the deadline for our completion of an initial business combination.</w:t>
      </w:r>
    </w:p>
    <w:p>
      <w:pPr>
        <w:spacing w:after="0" w:line="154" w:lineRule="exact"/>
        <w:rPr>
          <w:sz w:val="20"/>
          <w:szCs w:val="20"/>
          <w:color w:val="auto"/>
        </w:rPr>
      </w:pPr>
    </w:p>
    <w:p>
      <w:pPr>
        <w:ind w:left="460" w:right="340"/>
        <w:spacing w:after="0" w:line="268" w:lineRule="auto"/>
        <w:rPr>
          <w:sz w:val="20"/>
          <w:szCs w:val="20"/>
          <w:color w:val="auto"/>
        </w:rPr>
      </w:pPr>
      <w:r>
        <w:rPr>
          <w:rFonts w:ascii="Times New Roman" w:cs="Times New Roman" w:eastAsia="Times New Roman" w:hAnsi="Times New Roman"/>
          <w:sz w:val="15"/>
          <w:szCs w:val="15"/>
          <w:i w:val="1"/>
          <w:iCs w:val="1"/>
          <w:color w:val="auto"/>
        </w:rPr>
        <w:t>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p>
    <w:p>
      <w:pPr>
        <w:spacing w:after="0" w:line="149" w:lineRule="exact"/>
        <w:rPr>
          <w:sz w:val="20"/>
          <w:szCs w:val="20"/>
          <w:color w:val="auto"/>
        </w:rPr>
      </w:pPr>
    </w:p>
    <w:p>
      <w:pPr>
        <w:ind w:left="460" w:right="120" w:firstLine="379"/>
        <w:spacing w:after="0" w:line="284" w:lineRule="auto"/>
        <w:rPr>
          <w:sz w:val="20"/>
          <w:szCs w:val="20"/>
          <w:color w:val="auto"/>
        </w:rPr>
      </w:pPr>
      <w:r>
        <w:rPr>
          <w:rFonts w:ascii="Times New Roman" w:cs="Times New Roman" w:eastAsia="Times New Roman" w:hAnsi="Times New Roman"/>
          <w:sz w:val="15"/>
          <w:szCs w:val="15"/>
          <w:color w:val="auto"/>
        </w:rPr>
        <w:t>The gross proceeds after this offering, the sale of private investor shares and private placement units that we may use to complete our initial business combination will provide us with $220,000,000 (or $253,000,000 if the underwriters’ over-allotment option is exercised in full).</w:t>
      </w:r>
    </w:p>
    <w:p>
      <w:pPr>
        <w:spacing w:after="0" w:line="137" w:lineRule="exact"/>
        <w:rPr>
          <w:sz w:val="20"/>
          <w:szCs w:val="20"/>
          <w:color w:val="auto"/>
        </w:rPr>
      </w:pPr>
    </w:p>
    <w:p>
      <w:pPr>
        <w:ind w:left="460" w:right="80" w:firstLine="379"/>
        <w:spacing w:after="0" w:line="253" w:lineRule="auto"/>
        <w:rPr>
          <w:sz w:val="20"/>
          <w:szCs w:val="20"/>
          <w:color w:val="auto"/>
        </w:rPr>
      </w:pPr>
      <w:r>
        <w:rPr>
          <w:rFonts w:ascii="Times New Roman" w:cs="Times New Roman" w:eastAsia="Times New Roman" w:hAnsi="Times New Roman"/>
          <w:sz w:val="15"/>
          <w:szCs w:val="15"/>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9" w:lineRule="exact"/>
        <w:rPr>
          <w:sz w:val="20"/>
          <w:szCs w:val="20"/>
          <w:color w:val="auto"/>
        </w:rPr>
      </w:pPr>
    </w:p>
    <w:p>
      <w:pPr>
        <w:ind w:left="1300" w:hanging="371"/>
        <w:spacing w:after="0"/>
        <w:tabs>
          <w:tab w:leader="none" w:pos="13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solely dependent upon the performance of a single business, property or asset, or</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dependent upon the development or market acceptance of a single or limited number of products, processes or services.</w:t>
      </w:r>
    </w:p>
    <w:p>
      <w:pPr>
        <w:spacing w:after="0" w:line="100" w:lineRule="exact"/>
        <w:rPr>
          <w:sz w:val="20"/>
          <w:szCs w:val="20"/>
          <w:color w:val="auto"/>
        </w:rPr>
      </w:pPr>
    </w:p>
    <w:p>
      <w:pPr>
        <w:ind w:left="460" w:right="480" w:firstLine="379"/>
        <w:spacing w:after="0" w:line="284" w:lineRule="auto"/>
        <w:rPr>
          <w:sz w:val="20"/>
          <w:szCs w:val="20"/>
          <w:color w:val="auto"/>
        </w:rPr>
      </w:pPr>
      <w:r>
        <w:rPr>
          <w:rFonts w:ascii="Times New Roman" w:cs="Times New Roman" w:eastAsia="Times New Roman" w:hAnsi="Times New Roman"/>
          <w:sz w:val="15"/>
          <w:szCs w:val="15"/>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33" w:lineRule="exact"/>
        <w:rPr>
          <w:sz w:val="20"/>
          <w:szCs w:val="20"/>
          <w:color w:val="auto"/>
        </w:rPr>
      </w:pPr>
    </w:p>
    <w:p>
      <w:pPr>
        <w:ind w:left="460" w:right="180"/>
        <w:spacing w:after="0" w:line="289" w:lineRule="auto"/>
        <w:rPr>
          <w:sz w:val="20"/>
          <w:szCs w:val="20"/>
          <w:color w:val="auto"/>
        </w:rPr>
      </w:pPr>
      <w:r>
        <w:rPr>
          <w:rFonts w:ascii="Times New Roman" w:cs="Times New Roman" w:eastAsia="Times New Roman" w:hAnsi="Times New Roman"/>
          <w:sz w:val="15"/>
          <w:szCs w:val="15"/>
          <w:i w:val="1"/>
          <w:i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33" w:lineRule="exact"/>
        <w:rPr>
          <w:sz w:val="20"/>
          <w:szCs w:val="20"/>
          <w:color w:val="auto"/>
        </w:rPr>
      </w:pPr>
    </w:p>
    <w:p>
      <w:pPr>
        <w:ind w:left="460" w:right="40" w:firstLine="379"/>
        <w:spacing w:after="0" w:line="254" w:lineRule="auto"/>
        <w:rPr>
          <w:sz w:val="20"/>
          <w:szCs w:val="20"/>
          <w:color w:val="auto"/>
        </w:rPr>
      </w:pPr>
      <w:r>
        <w:rPr>
          <w:rFonts w:ascii="Times New Roman" w:cs="Times New Roman" w:eastAsia="Times New Roman" w:hAnsi="Times New Roman"/>
          <w:sz w:val="15"/>
          <w:szCs w:val="15"/>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56" w:lineRule="exact"/>
        <w:rPr>
          <w:sz w:val="20"/>
          <w:szCs w:val="20"/>
          <w:color w:val="auto"/>
        </w:rPr>
      </w:pPr>
    </w:p>
    <w:p>
      <w:pPr>
        <w:ind w:left="460" w:right="20"/>
        <w:spacing w:after="0" w:line="289" w:lineRule="auto"/>
        <w:rPr>
          <w:sz w:val="20"/>
          <w:szCs w:val="20"/>
          <w:color w:val="auto"/>
        </w:rPr>
      </w:pPr>
      <w:r>
        <w:rPr>
          <w:rFonts w:ascii="Times New Roman" w:cs="Times New Roman" w:eastAsia="Times New Roman" w:hAnsi="Times New Roman"/>
          <w:sz w:val="15"/>
          <w:szCs w:val="15"/>
          <w:i w:val="1"/>
          <w:iCs w:val="1"/>
          <w:color w:val="auto"/>
        </w:rPr>
        <w:t>We may attempt to consummate our initial business combination with a private company about which little information is available, which may result in our initial business combination with a company that is not as profitable as we suspected, or at all.</w:t>
      </w:r>
    </w:p>
    <w:p>
      <w:pPr>
        <w:spacing w:after="0" w:line="133" w:lineRule="exact"/>
        <w:rPr>
          <w:sz w:val="20"/>
          <w:szCs w:val="20"/>
          <w:color w:val="auto"/>
        </w:rPr>
      </w:pPr>
    </w:p>
    <w:p>
      <w:pPr>
        <w:ind w:left="460" w:right="260" w:firstLine="379"/>
        <w:spacing w:after="0" w:line="284" w:lineRule="auto"/>
        <w:rPr>
          <w:sz w:val="20"/>
          <w:szCs w:val="20"/>
          <w:color w:val="auto"/>
        </w:rPr>
      </w:pPr>
      <w:r>
        <w:rPr>
          <w:rFonts w:ascii="Times New Roman" w:cs="Times New Roman" w:eastAsia="Times New Roman" w:hAnsi="Times New Roman"/>
          <w:sz w:val="15"/>
          <w:szCs w:val="15"/>
          <w:color w:val="auto"/>
        </w:rPr>
        <w:t>In pursuing our acquisition strategy, we may seek to effectuate our initial business combination with a privately held company. By definition, very little public information exists about private companies, and we</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79</w:t>
      </w:r>
    </w:p>
    <w:p>
      <w:pPr>
        <w:sectPr>
          <w:pgSz w:w="11900" w:h="16840" w:orient="portrait"/>
          <w:cols w:equalWidth="0" w:num="1">
            <w:col w:w="10120"/>
          </w:cols>
          <w:pgMar w:left="660" w:top="874" w:right="1120" w:bottom="1440" w:gutter="0" w:footer="0" w:header="0"/>
        </w:sectPr>
      </w:pPr>
    </w:p>
    <w:bookmarkStart w:id="90" w:name="page91"/>
    <w:bookmarkEnd w:id="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84" w:lineRule="auto"/>
        <w:rPr>
          <w:sz w:val="20"/>
          <w:szCs w:val="20"/>
          <w:color w:val="auto"/>
        </w:rPr>
      </w:pPr>
      <w:r>
        <w:rPr>
          <w:rFonts w:ascii="Times New Roman" w:cs="Times New Roman" w:eastAsia="Times New Roman" w:hAnsi="Times New Roman"/>
          <w:sz w:val="15"/>
          <w:szCs w:val="15"/>
          <w:color w:val="auto"/>
        </w:rPr>
        <w:t>could be required to make our decision on whether to pursue a potential initial business combination on the basis of limited information, which may result in our initial business combination with a company that is not as profitable as we suspected, or at all.</w:t>
      </w:r>
    </w:p>
    <w:p>
      <w:pPr>
        <w:spacing w:after="0" w:line="133" w:lineRule="exact"/>
        <w:rPr>
          <w:sz w:val="20"/>
          <w:szCs w:val="20"/>
          <w:color w:val="auto"/>
        </w:rPr>
      </w:pPr>
    </w:p>
    <w:p>
      <w:pPr>
        <w:ind w:left="460" w:right="180"/>
        <w:spacing w:after="0" w:line="289" w:lineRule="auto"/>
        <w:rPr>
          <w:sz w:val="20"/>
          <w:szCs w:val="20"/>
          <w:color w:val="auto"/>
        </w:rPr>
      </w:pPr>
      <w:r>
        <w:rPr>
          <w:rFonts w:ascii="Times New Roman" w:cs="Times New Roman" w:eastAsia="Times New Roman" w:hAnsi="Times New Roman"/>
          <w:sz w:val="15"/>
          <w:szCs w:val="15"/>
          <w:i w:val="1"/>
          <w:iCs w:val="1"/>
          <w:color w:val="auto"/>
        </w:rPr>
        <w:t>Unlike some blank check companies, we do not have a specified maximum redemption threshold. The absence of such a redemption threshold may make it easier for us to consummate our initial business combination with which a substantial majority of our shareholders do not agree.</w:t>
      </w:r>
    </w:p>
    <w:p>
      <w:pPr>
        <w:spacing w:after="0" w:line="133" w:lineRule="exact"/>
        <w:rPr>
          <w:sz w:val="20"/>
          <w:szCs w:val="20"/>
          <w:color w:val="auto"/>
        </w:rPr>
      </w:pPr>
    </w:p>
    <w:p>
      <w:pPr>
        <w:ind w:left="460" w:right="40" w:firstLine="379"/>
        <w:spacing w:after="0" w:line="250" w:lineRule="auto"/>
        <w:rPr>
          <w:sz w:val="20"/>
          <w:szCs w:val="20"/>
          <w:color w:val="auto"/>
        </w:rPr>
      </w:pPr>
      <w:r>
        <w:rPr>
          <w:rFonts w:ascii="Times New Roman" w:cs="Times New Roman" w:eastAsia="Times New Roman" w:hAnsi="Times New Roman"/>
          <w:sz w:val="15"/>
          <w:szCs w:val="15"/>
          <w:color w:val="auto"/>
        </w:rPr>
        <w:t>Since we have no specified percentage threshold for redemption contained in our amended and restated memorandum and articles of association, our structure is different in this respect from the structure that has been used by many blank check companies. Historically, blank check companies would not be able to consummate an initial business combination if the holders of such company’s public shares voted against a proposed business combination and elected to redeem more than a specified maximum percentage of the shares sold in such company’s IPO, which percentage threshold was typically between 19.99% and 39.99%. As a result, many blank check companies were unable to complete a business combination because the amount of shares voted by their public shareholders electing redemption exceeded the maximum redemption threshold pursuant to which such company could proceed with its initial business combination. As a result, we may be able to consummate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business combination pursuant to the tender offer, have entered into privately negotiated agreements to sell their shares to us or our sponsor, executive officers, directors, or their affiliates. If too many public shareholders exercise their redemption rights so that we cannot satisfy any net worth or cash requirements, we would not proceed with the redemption of our public shares and the related business combination, and instead may search for an alternate business combination.</w:t>
      </w:r>
    </w:p>
    <w:p>
      <w:pPr>
        <w:spacing w:after="0" w:line="161"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5"/>
          <w:szCs w:val="15"/>
          <w:i w:val="1"/>
          <w:iCs w:val="1"/>
          <w:color w:val="auto"/>
        </w:rPr>
        <w:t>Provisions of our amended and restated memorandum and articles of association that relate to ourpre-business combination activity (and corresponding provisions of the agreement governing the release of funds from our trust account) may be amended with the approval of holders of at least a majority of our issued and outstanding shares.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54" w:lineRule="exact"/>
        <w:rPr>
          <w:sz w:val="20"/>
          <w:szCs w:val="20"/>
          <w:color w:val="auto"/>
        </w:rPr>
      </w:pPr>
    </w:p>
    <w:p>
      <w:pPr>
        <w:ind w:left="460" w:right="40" w:firstLine="379"/>
        <w:spacing w:after="0" w:line="249" w:lineRule="auto"/>
        <w:rPr>
          <w:sz w:val="20"/>
          <w:szCs w:val="20"/>
          <w:color w:val="auto"/>
        </w:rPr>
      </w:pPr>
      <w:r>
        <w:rPr>
          <w:rFonts w:ascii="Times New Roman" w:cs="Times New Roman" w:eastAsia="Times New Roman" w:hAnsi="Times New Roman"/>
          <w:sz w:val="15"/>
          <w:szCs w:val="15"/>
          <w:color w:val="auto"/>
        </w:rPr>
        <w:t xml:space="preserve">Our amended and restated memorandum and articles of association will provide that any of its provisions related topre-business combination activity (including the requirement to deposit proceeds of this offering and the sale of the private investor shares and private placement units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which are represented in person or by proxy and are voted at a general meeting;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 thirds) of our ordinary shares voting at the applicable general meeting. Our initial shareholders, and their permitted transferees, if any, who will collectively beneficially own, on an 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w:t>
      </w:r>
    </w:p>
    <w:p>
      <w:pPr>
        <w:spacing w:after="0" w:line="13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80</w:t>
      </w:r>
    </w:p>
    <w:p>
      <w:pPr>
        <w:sectPr>
          <w:pgSz w:w="11900" w:h="16840" w:orient="portrait"/>
          <w:cols w:equalWidth="0" w:num="1">
            <w:col w:w="10140"/>
          </w:cols>
          <w:pgMar w:left="660" w:top="874" w:right="1100" w:bottom="1440" w:gutter="0" w:footer="0" w:header="0"/>
        </w:sectPr>
      </w:pPr>
    </w:p>
    <w:bookmarkStart w:id="91" w:name="page92"/>
    <w:bookmarkEnd w:id="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5"/>
          <w:szCs w:val="15"/>
          <w:color w:val="auto"/>
        </w:rPr>
        <w:t>30.7%,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58" w:lineRule="exact"/>
        <w:rPr>
          <w:sz w:val="20"/>
          <w:szCs w:val="20"/>
          <w:color w:val="auto"/>
        </w:rPr>
      </w:pPr>
    </w:p>
    <w:p>
      <w:pPr>
        <w:ind w:left="460" w:firstLine="379"/>
        <w:spacing w:after="0" w:line="249" w:lineRule="auto"/>
        <w:rPr>
          <w:sz w:val="20"/>
          <w:szCs w:val="20"/>
          <w:color w:val="auto"/>
        </w:rPr>
      </w:pPr>
      <w:r>
        <w:rPr>
          <w:rFonts w:ascii="Times New Roman" w:cs="Times New Roman" w:eastAsia="Times New Roman" w:hAnsi="Times New Roman"/>
          <w:sz w:val="15"/>
          <w:szCs w:val="15"/>
          <w:color w:val="auto"/>
        </w:rPr>
        <w:t xml:space="preserve">If an amendment to any such provision is approved by the requisite shareholder vote, then the corresponding provisions of the trust agreement governing the release of funds from our trust account may be amended. Subsequent to this offering and prior to the consummation of our initial business combination, we may not issue additional securities that can vote on amendments to our amended and restated memorandum and articles of association. Our sponsor, executive officers and directors (and their permitted transferees) will collectively beneficially own approximately 17.8% of our outstanding ordinary shares upon the closing of this offering (assuming they do not purchase any public units in this offering and that the underwriters do not exercise their over- allotment option), and they may participate in any vote to amend our amended and restated memorandum and articles of association and/or trust agreement and will have the discretion to vote in any manner they choose;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each of them has agreed (and any of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w:t>
      </w:r>
    </w:p>
    <w:p>
      <w:pPr>
        <w:spacing w:after="0" w:line="345" w:lineRule="exact"/>
        <w:rPr>
          <w:sz w:val="20"/>
          <w:szCs w:val="20"/>
          <w:color w:val="auto"/>
        </w:rPr>
      </w:pPr>
    </w:p>
    <w:p>
      <w:pPr>
        <w:ind w:left="460" w:right="100"/>
        <w:spacing w:after="0" w:line="261" w:lineRule="auto"/>
        <w:rPr>
          <w:sz w:val="20"/>
          <w:szCs w:val="20"/>
          <w:color w:val="auto"/>
        </w:rPr>
      </w:pPr>
      <w:r>
        <w:rPr>
          <w:rFonts w:ascii="Times New Roman" w:cs="Times New Roman" w:eastAsia="Times New Roman" w:hAnsi="Times New Roman"/>
          <w:sz w:val="15"/>
          <w:szCs w:val="15"/>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$10.00 per share (whether or not the underwriters’ over-allotment option is exercised in full) or potentially less than $10.00 per share on our redemption.</w:t>
      </w:r>
    </w:p>
    <w:p>
      <w:pPr>
        <w:spacing w:after="0" w:line="154"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color w:val="auto"/>
        </w:rPr>
        <w:t>Although we believe that the net proceeds of this offering and the sale of the founder shares, including the interest earned on the proceeds held in the trust account that may be available to us for our initial business combination, will be sufficient to allow us to consummate our initial business combination, because we have not yet identified any prospective target business we cannot ascertain the capital requirements for any particular transaction. If the net proceeds of this offering and the sale of the private investor shares and private placement units prove to be insufficient, either because of the size of our initial business combination, the depletion of the available net proceeds in search of a target business, the obligation to repurchase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shareholders may only receive $10.00 per share (whether or not the underwriters’ over -allotment option is exercised in full) or potentially less than $10.00 per share on our redemption. In addition, even if we do not need additional financing to consummate our initial business combination, we may require such financing to fund the operations or growth</w:t>
      </w:r>
    </w:p>
    <w:p>
      <w:pPr>
        <w:spacing w:after="0" w:line="3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81</w:t>
      </w:r>
    </w:p>
    <w:p>
      <w:pPr>
        <w:sectPr>
          <w:pgSz w:w="11900" w:h="16840" w:orient="portrait"/>
          <w:cols w:equalWidth="0" w:num="1">
            <w:col w:w="10100"/>
          </w:cols>
          <w:pgMar w:left="660" w:top="874" w:right="1140" w:bottom="1440" w:gutter="0" w:footer="0" w:header="0"/>
        </w:sectPr>
      </w:pPr>
    </w:p>
    <w:bookmarkStart w:id="92" w:name="page93"/>
    <w:bookmarkEnd w:id="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160"/>
        <w:spacing w:after="0" w:line="274" w:lineRule="auto"/>
        <w:rPr>
          <w:sz w:val="20"/>
          <w:szCs w:val="20"/>
          <w:color w:val="auto"/>
        </w:rPr>
      </w:pPr>
      <w:r>
        <w:rPr>
          <w:rFonts w:ascii="Times New Roman" w:cs="Times New Roman" w:eastAsia="Times New Roman" w:hAnsi="Times New Roman"/>
          <w:sz w:val="15"/>
          <w:szCs w:val="15"/>
          <w:color w:val="auto"/>
        </w:rPr>
        <w:t>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Our initial shareholders will control a substantial interest in us and thus may influence certain actions requiring a shareholder vote.</w:t>
      </w:r>
    </w:p>
    <w:p>
      <w:pPr>
        <w:spacing w:after="0" w:line="199" w:lineRule="exact"/>
        <w:rPr>
          <w:sz w:val="20"/>
          <w:szCs w:val="20"/>
          <w:color w:val="auto"/>
        </w:rPr>
      </w:pPr>
    </w:p>
    <w:p>
      <w:pPr>
        <w:ind w:left="460" w:right="20" w:firstLine="379"/>
        <w:spacing w:after="0" w:line="249" w:lineRule="auto"/>
        <w:rPr>
          <w:sz w:val="20"/>
          <w:szCs w:val="20"/>
          <w:color w:val="auto"/>
        </w:rPr>
      </w:pPr>
      <w:r>
        <w:rPr>
          <w:rFonts w:ascii="Times New Roman" w:cs="Times New Roman" w:eastAsia="Times New Roman" w:hAnsi="Times New Roman"/>
          <w:sz w:val="15"/>
          <w:szCs w:val="15"/>
          <w:color w:val="auto"/>
        </w:rPr>
        <w:t>Upon consummation of our offering, our initial shareholders will own approximately 30.7% of the issued and outstanding shares (assuming that they do not purchase any public units in this offering and that the underwriters do not exercise their over-allotment option). None of our sponsor, executive officers, directors, or any of their affiliates has indicated any intention to purchase public units in this offering or any public units or public shares from persons on the open market or in private transactions. Similarly, none of the non- managing investors have currently expressed to us an interest in purchasing any of the public units in this offering and neither us nor the representatives have had discussions with any non- 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 -managing investors.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 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169" w:lineRule="exact"/>
        <w:rPr>
          <w:sz w:val="20"/>
          <w:szCs w:val="20"/>
          <w:color w:val="auto"/>
        </w:rPr>
      </w:pPr>
    </w:p>
    <w:p>
      <w:pPr>
        <w:ind w:left="460" w:right="60" w:firstLine="379"/>
        <w:spacing w:after="0" w:line="256" w:lineRule="auto"/>
        <w:rPr>
          <w:sz w:val="20"/>
          <w:szCs w:val="20"/>
          <w:color w:val="auto"/>
        </w:rPr>
      </w:pPr>
      <w:r>
        <w:rPr>
          <w:rFonts w:ascii="Times New Roman" w:cs="Times New Roman" w:eastAsia="Times New Roman" w:hAnsi="Times New Roman"/>
          <w:sz w:val="15"/>
          <w:szCs w:val="15"/>
          <w:color w:val="auto"/>
        </w:rPr>
        <w:t>In addition, our sponsor, executive officers, directors, or any of their affiliates could determine in the future to make additional purchases on the open market or in private transactions, to the extent permitted by law, in order to influence the vote or magnitude of the number of shareholders seeking to tender their shares to us. Factors that would be considered in making such additional purchases would include consideration of the current trading price of our public shares. Accordingly, the initial shareholders may exert a substantial influence on actions requiring a shareholder vote, potentially in a manner that you do not support, including amendments to our amended and restated memorandum and articles of association.</w:t>
      </w:r>
    </w:p>
    <w:p>
      <w:pPr>
        <w:spacing w:after="0" w:line="158"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If our initial shareholders purchase any public shares in this offering or if our initial shareholders purchase any additional public shares in the aftermarket or in privately negotiated transactions, this would increase their control. Accordingly, our initial shareholders will continue to exert control at least until the completion of our initial business combination. In addition, we have agreed not to enter into a definitive agreement regarding an initial business combination without the prior consent of our sponsor. In connection with any vote for a proposed business combination our sponsor, executive officers and directors have agreed to vote all their shares held by them immediately before this offering, as well as any public shares acquired in this offering or in the aftermarket in favor of such proposed business combination.</w:t>
      </w:r>
    </w:p>
    <w:p>
      <w:pPr>
        <w:spacing w:after="0" w:line="156" w:lineRule="exact"/>
        <w:rPr>
          <w:sz w:val="20"/>
          <w:szCs w:val="20"/>
          <w:color w:val="auto"/>
        </w:rPr>
      </w:pPr>
    </w:p>
    <w:p>
      <w:pPr>
        <w:ind w:left="460" w:right="140"/>
        <w:spacing w:after="0" w:line="289" w:lineRule="auto"/>
        <w:rPr>
          <w:sz w:val="20"/>
          <w:szCs w:val="20"/>
          <w:color w:val="auto"/>
        </w:rPr>
      </w:pPr>
      <w:r>
        <w:rPr>
          <w:rFonts w:ascii="Times New Roman" w:cs="Times New Roman" w:eastAsia="Times New Roman" w:hAnsi="Times New Roman"/>
          <w:sz w:val="15"/>
          <w:szCs w:val="15"/>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33" w:lineRule="exact"/>
        <w:rPr>
          <w:sz w:val="20"/>
          <w:szCs w:val="20"/>
          <w:color w:val="auto"/>
        </w:rPr>
      </w:pPr>
    </w:p>
    <w:p>
      <w:pPr>
        <w:ind w:left="460" w:right="520" w:firstLine="379"/>
        <w:spacing w:after="0" w:line="284" w:lineRule="auto"/>
        <w:rPr>
          <w:sz w:val="20"/>
          <w:szCs w:val="20"/>
          <w:color w:val="auto"/>
        </w:rPr>
      </w:pPr>
      <w:r>
        <w:rPr>
          <w:rFonts w:ascii="Times New Roman" w:cs="Times New Roman" w:eastAsia="Times New Roman" w:hAnsi="Times New Roman"/>
          <w:sz w:val="15"/>
          <w:szCs w:val="15"/>
          <w:color w:val="auto"/>
        </w:rPr>
        <w:t>The United States federal proxy rules require that a proxy statement with respect to a vote on a business combination meeting certain financial significance tests include historical and/or pro forma financial statement</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82</w:t>
      </w:r>
    </w:p>
    <w:p>
      <w:pPr>
        <w:sectPr>
          <w:pgSz w:w="11900" w:h="16840" w:orient="portrait"/>
          <w:cols w:equalWidth="0" w:num="1">
            <w:col w:w="10120"/>
          </w:cols>
          <w:pgMar w:left="660" w:top="874" w:right="1120" w:bottom="1440" w:gutter="0" w:footer="0" w:header="0"/>
        </w:sectPr>
      </w:pPr>
    </w:p>
    <w:bookmarkStart w:id="93" w:name="page94"/>
    <w:bookmarkEnd w:id="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3" w:lineRule="auto"/>
        <w:rPr>
          <w:sz w:val="20"/>
          <w:szCs w:val="20"/>
          <w:color w:val="auto"/>
        </w:rPr>
      </w:pPr>
      <w:r>
        <w:rPr>
          <w:rFonts w:ascii="Times New Roman" w:cs="Times New Roman" w:eastAsia="Times New Roman" w:hAnsi="Times New Roman"/>
          <w:sz w:val="15"/>
          <w:szCs w:val="15"/>
          <w:color w:val="auto"/>
        </w:rPr>
        <w:t>disclosure in periodic reports. We will include the same financial statement disclosure in connection with our tender offer documents, whether or not they are required under the tender offer rules. These financial statements must be prepared in accordance with, or be reconciled to, United States generally accepted accounting principles (“GAAP”), or International Financial Reporting Standards (“IFRS”) as issued by the International Accounting Standards Board, and the historical financial statements must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consummate our initial business combination within our 24-month time frame.</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i w:val="1"/>
          <w:iCs w:val="1"/>
          <w:color w:val="auto"/>
        </w:rPr>
        <w:t>Redeeming shareholders may be unable to sell their securities when they wish to in the event that the proposed business combination is not approved.</w:t>
      </w:r>
    </w:p>
    <w:p>
      <w:pPr>
        <w:spacing w:after="0" w:line="199"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We will require public shareholders who wish to redeem their public shares in connection with any proposed business combination to comply with the delivery requirements discussed above for redemption. If such proposed business combination is not consummated, we will promptly return such certificates to the tendering public shareholders. Accordingly, investors who attempted to redeem their shares in such a circumstance will be unable to sell their securities after the failed acquisition until we have returned their securities to them. The market price for our public shares may decline during this time and you may not be able to sell your securities when you wish to, even while other shareholders that did not seek redemption may be able to sell their securities.</w:t>
      </w:r>
    </w:p>
    <w:p>
      <w:pPr>
        <w:spacing w:after="0" w:line="154"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5"/>
          <w:szCs w:val="15"/>
          <w:i w:val="1"/>
          <w:iCs w:val="1"/>
          <w:color w:val="auto"/>
        </w:rPr>
        <w:t>Our management team, the non- 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spacing w:after="0" w:line="149"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color w:val="auto"/>
        </w:rPr>
        <w:t>Like most special purpose acquisition companies, our structure may not fully align the economic interests of our sponsor and those persons, including certain of our officers and directors, who have interests in our sponsor with the economic interests of our public shareholders. Upon the closing of this offering, assuming no exercise of the underwriters’ over-allotment option and the forfeiture of 1,023,943 founder shares, our insiders will have invested in us an aggregate of $452,000.48 comprised of the $2,626 purchase price paid by the sponsor for 6,053,167 founder shares (after giving effect to the sales of shares to the four directors and Lynrock and the transfer of 5,000 founder shares to our Chief Financial Officer), the $9,244 purchase price paid by the four directors for the aggregate of 375,397 founder shares and $440,130.48 purchase price for the 45,200 private placement units which our insiders will hold. Assuming a trading price of $10.00 per share upon consummation of our initial business combination, the 5,599,050 founder shares held by the insiders would have an aggregate implied value of $55,990,500, and the 45,200 private placement shares that would be held by the insiders would have an aggregate implied value of $ 452,000, for an aggregated implied value of all such shares held by our insiders of $56,442,500. Even if the trading price of our public shares was as low as $0.000434 per share, the value of the founder shares would be equal to the insiders’ aggregate investment in us for such shares. Furthermore, if the trading price of our public shares was as low as $0.080 per share, the value of the aggregated shares of our insiders (the founder shares and the private placement shares combined) would be equal to the insiders’ total aggregated investment in us.</w:t>
      </w:r>
    </w:p>
    <w:p>
      <w:pPr>
        <w:spacing w:after="0" w:line="165"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Similarly, upon closing of this offering, assuming no exercise of the underwriters’ over-allotment option and the forfeiture of 386,681 private investor shares, the non-managing investors will have invested $2,430,006 in us in the aggregate for the purchase of 2,577,522 private investor shares at a purchase price of $0.023254 per private investor share and 242,475 private placement units at a purchase price of $9.7374 per private placement unit. Assuming the trading price of $10.00 per share upon consummation of our initial business combination, the 2,577,522 private placement shares held by the non-managing investors would have an aggregate implied value of $25,775,220, and the 242,475 private placement shares would have an aggregate implied value of $2,424,750,</w:t>
      </w:r>
    </w:p>
    <w:p>
      <w:pPr>
        <w:spacing w:after="0" w:line="1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83</w:t>
      </w:r>
    </w:p>
    <w:p>
      <w:pPr>
        <w:sectPr>
          <w:pgSz w:w="11900" w:h="16840" w:orient="portrait"/>
          <w:cols w:equalWidth="0" w:num="1">
            <w:col w:w="10100"/>
          </w:cols>
          <w:pgMar w:left="660" w:top="874" w:right="1140" w:bottom="1440" w:gutter="0" w:footer="0" w:header="0"/>
        </w:sectPr>
      </w:pPr>
    </w:p>
    <w:bookmarkStart w:id="94" w:name="page95"/>
    <w:bookmarkEnd w:id="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140"/>
        <w:spacing w:after="0" w:line="265" w:lineRule="auto"/>
        <w:rPr>
          <w:sz w:val="20"/>
          <w:szCs w:val="20"/>
          <w:color w:val="auto"/>
        </w:rPr>
      </w:pPr>
      <w:r>
        <w:rPr>
          <w:rFonts w:ascii="Times New Roman" w:cs="Times New Roman" w:eastAsia="Times New Roman" w:hAnsi="Times New Roman"/>
          <w:sz w:val="15"/>
          <w:szCs w:val="15"/>
          <w:color w:val="auto"/>
        </w:rPr>
        <w:t>for an aggregated implied value of all such shares held by thenon-managing investors of $28,199,970. Even if the trading price of our public shares was as low as $0.862 per share, the value of the combined private investor shares and private placement shares collectively held by the non-managing investors would be equal to the aggregate investment of the non-managing investors in us.</w:t>
      </w:r>
    </w:p>
    <w:p>
      <w:pPr>
        <w:spacing w:after="0" w:line="151" w:lineRule="exact"/>
        <w:rPr>
          <w:sz w:val="20"/>
          <w:szCs w:val="20"/>
          <w:color w:val="auto"/>
        </w:rPr>
      </w:pPr>
    </w:p>
    <w:p>
      <w:pPr>
        <w:ind w:left="460" w:right="80" w:firstLine="379"/>
        <w:spacing w:after="0" w:line="250" w:lineRule="auto"/>
        <w:rPr>
          <w:sz w:val="20"/>
          <w:szCs w:val="20"/>
          <w:color w:val="auto"/>
        </w:rPr>
      </w:pPr>
      <w:r>
        <w:rPr>
          <w:rFonts w:ascii="Times New Roman" w:cs="Times New Roman" w:eastAsia="Times New Roman" w:hAnsi="Times New Roman"/>
          <w:sz w:val="15"/>
          <w:szCs w:val="15"/>
          <w:color w:val="auto"/>
        </w:rPr>
        <w:t>As a result, so long as we complete an initial business combination, our insiders andnon-managing investors are likely to be able to recoup their investment in us and make a substantial profit on that investment, even if our public shares lose significant value. Accordingly, our insiders, the non-managing investors and members of our management team who own interests in our sponsor may have incentives to pursue and consummate an initial business combination quickly, with a risky or not well established target business, and/or on transaction terms favorable to the equityholders of the target business, rather than continue to seek a more favorable business combination transaction that could result in an improved outcome for our public shareholders or liquidate and return all of the cash in the trust to the public shareholders. For the foregoing reasons, you should consider our insiders’, the non -managing investors’ and our management team’s financial incentive to complete an initial business combination when evaluating whether to invest in this offering and/or redeem your shares prior to or in connection with an initial business combination. The non-managing investors will share in any appreciation of the private placement shares if we successfully complete a business combination. Accordingly, non-managing investors’ interests in the private placement shares owned by them may provide them with an incentive to vote any public shares they own in favor of a business combination, and make a substantial profit on such interests, even if the business combination is with a target that ultimately declines in value and is not profitable for other public shareholders.</w:t>
      </w:r>
    </w:p>
    <w:p>
      <w:pPr>
        <w:spacing w:after="0" w:line="341" w:lineRule="exact"/>
        <w:rPr>
          <w:sz w:val="20"/>
          <w:szCs w:val="20"/>
          <w:color w:val="auto"/>
        </w:rPr>
      </w:pPr>
    </w:p>
    <w:p>
      <w:pPr>
        <w:ind w:left="460" w:right="100"/>
        <w:spacing w:after="0" w:line="289" w:lineRule="auto"/>
        <w:rPr>
          <w:sz w:val="20"/>
          <w:szCs w:val="20"/>
          <w:color w:val="auto"/>
        </w:rPr>
      </w:pPr>
      <w:r>
        <w:rPr>
          <w:rFonts w:ascii="Times New Roman" w:cs="Times New Roman" w:eastAsia="Times New Roman" w:hAnsi="Times New Roman"/>
          <w:sz w:val="15"/>
          <w:szCs w:val="15"/>
          <w:i w:val="1"/>
          <w:iCs w:val="1"/>
          <w:color w:val="auto"/>
        </w:rPr>
        <w:t>If we are unable to consummate our initial business combination within 24 months from the closing of this offering, our public shareholders may be forced to wait beyond such period before redemption from our trust account.</w:t>
      </w:r>
    </w:p>
    <w:p>
      <w:pPr>
        <w:spacing w:after="0" w:line="133" w:lineRule="exact"/>
        <w:rPr>
          <w:sz w:val="20"/>
          <w:szCs w:val="20"/>
          <w:color w:val="auto"/>
        </w:rPr>
      </w:pPr>
    </w:p>
    <w:p>
      <w:pPr>
        <w:ind w:left="460" w:right="180" w:firstLine="379"/>
        <w:spacing w:after="0" w:line="254" w:lineRule="auto"/>
        <w:rPr>
          <w:sz w:val="20"/>
          <w:szCs w:val="20"/>
          <w:color w:val="auto"/>
        </w:rPr>
      </w:pPr>
      <w:r>
        <w:rPr>
          <w:rFonts w:ascii="Times New Roman" w:cs="Times New Roman" w:eastAsia="Times New Roman" w:hAnsi="Times New Roman"/>
          <w:sz w:val="15"/>
          <w:szCs w:val="15"/>
          <w:color w:val="auto"/>
        </w:rPr>
        <w:t>If we are unable to consummate our initial business combination within 24 months from the closing of this offering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w:t>
      </w:r>
    </w:p>
    <w:p>
      <w:pPr>
        <w:spacing w:after="0" w:line="1" w:lineRule="exact"/>
        <w:rPr>
          <w:sz w:val="20"/>
          <w:szCs w:val="20"/>
          <w:color w:val="auto"/>
        </w:rPr>
      </w:pPr>
    </w:p>
    <w:p>
      <w:pPr>
        <w:ind w:left="460" w:right="60"/>
        <w:spacing w:after="0" w:line="250" w:lineRule="auto"/>
        <w:rPr>
          <w:sz w:val="20"/>
          <w:szCs w:val="20"/>
          <w:color w:val="auto"/>
        </w:rPr>
      </w:pPr>
      <w:r>
        <w:rPr>
          <w:rFonts w:ascii="Times New Roman" w:cs="Times New Roman" w:eastAsia="Times New Roman" w:hAnsi="Times New Roman"/>
          <w:sz w:val="15"/>
          <w:szCs w:val="15"/>
          <w:color w:val="auto"/>
        </w:rPr>
        <w:t>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61"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If we are required to liquidate prior to distributing the aggregate amount then on deposit in the trust account (net of permitted withdrawals, and less up to $100,000 of interest to pay dissolution expenses) pro rata to our public shareholders, then such winding up, liquidation and distribution must comply with the applicable provisions of Cayman law. In that case, investors may be forced to wait beyond 24 months from the closing of this offering before the redemption proceeds of our trust account become available to them, and they receive the return of their pro rata portion of the proceeds from our trust account.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public shares. Only upon any such redemption of public shares as we are required to effect or any liquidation will public shareholders be entitled to distributions if we are unable to complete our initial business combination.</w:t>
      </w:r>
    </w:p>
    <w:p>
      <w:pPr>
        <w:spacing w:after="0" w:line="30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84</w:t>
      </w:r>
    </w:p>
    <w:p>
      <w:pPr>
        <w:sectPr>
          <w:pgSz w:w="11900" w:h="16840" w:orient="portrait"/>
          <w:cols w:equalWidth="0" w:num="1">
            <w:col w:w="10100"/>
          </w:cols>
          <w:pgMar w:left="660" w:top="874" w:right="1140" w:bottom="1440" w:gutter="0" w:footer="0" w:header="0"/>
        </w:sectPr>
      </w:pPr>
    </w:p>
    <w:bookmarkStart w:id="95" w:name="page96"/>
    <w:bookmarkEnd w:id="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60"/>
        <w:spacing w:after="0" w:line="268" w:lineRule="auto"/>
        <w:rPr>
          <w:sz w:val="20"/>
          <w:szCs w:val="20"/>
          <w:color w:val="auto"/>
        </w:rPr>
      </w:pPr>
      <w:r>
        <w:rPr>
          <w:rFonts w:ascii="Times New Roman" w:cs="Times New Roman" w:eastAsia="Times New Roman" w:hAnsi="Times New Roman"/>
          <w:sz w:val="15"/>
          <w:szCs w:val="15"/>
          <w:i w:val="1"/>
          <w:iCs w:val="1"/>
          <w:color w:val="auto"/>
        </w:rPr>
        <w:t>We may be unable to consummate an initial business combination if a target business requires that we have a certain amount of cash at closing, in which case public shareholders may have to remain shareholders of our company and wait until our redemption of the public shares to receive a pro rata share of the trust account or attempt to sell their shares on the open market.</w:t>
      </w:r>
    </w:p>
    <w:p>
      <w:pPr>
        <w:spacing w:after="0" w:line="149" w:lineRule="exact"/>
        <w:rPr>
          <w:sz w:val="20"/>
          <w:szCs w:val="20"/>
          <w:color w:val="auto"/>
        </w:rPr>
      </w:pPr>
    </w:p>
    <w:p>
      <w:pPr>
        <w:ind w:left="460" w:right="60" w:firstLine="379"/>
        <w:spacing w:after="0" w:line="251" w:lineRule="auto"/>
        <w:rPr>
          <w:sz w:val="20"/>
          <w:szCs w:val="20"/>
          <w:color w:val="auto"/>
        </w:rPr>
      </w:pPr>
      <w:r>
        <w:rPr>
          <w:rFonts w:ascii="Times New Roman" w:cs="Times New Roman" w:eastAsia="Times New Roman" w:hAnsi="Times New Roman"/>
          <w:sz w:val="15"/>
          <w:szCs w:val="15"/>
          <w:color w:val="auto"/>
        </w:rPr>
        <w:t>If the number of our public shareholders electing to exercise their redemption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 business combination and we may not be able to locate another suitable target within the applicable time period, if at all. In that case, public shareholders may have to remain shareholders of our company and wait the full 24 months from the closing of this offering, in order to be able to receive a portion of the trust account, or attempt to sell their shares on the open market prior to such time, in which case they may receive less than they would have in a liquidation of the trust account. If you are in need of immediate liquidity, you could attempt to sell your shares on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on the open market.</w:t>
      </w:r>
    </w:p>
    <w:p>
      <w:pPr>
        <w:spacing w:after="0" w:line="161" w:lineRule="exact"/>
        <w:rPr>
          <w:sz w:val="20"/>
          <w:szCs w:val="20"/>
          <w:color w:val="auto"/>
        </w:rPr>
      </w:pPr>
    </w:p>
    <w:p>
      <w:pPr>
        <w:ind w:left="460" w:right="20"/>
        <w:spacing w:after="0" w:line="289" w:lineRule="auto"/>
        <w:rPr>
          <w:sz w:val="20"/>
          <w:szCs w:val="20"/>
          <w:color w:val="auto"/>
        </w:rPr>
      </w:pPr>
      <w:r>
        <w:rPr>
          <w:rFonts w:ascii="Times New Roman" w:cs="Times New Roman" w:eastAsia="Times New Roman" w:hAnsi="Times New Roman"/>
          <w:sz w:val="15"/>
          <w:szCs w:val="15"/>
          <w:i w:val="1"/>
          <w:iCs w:val="1"/>
          <w:color w:val="auto"/>
        </w:rPr>
        <w:t>Our sponsor may decide not to extend the term we have to consummate our initial business combination, in which case we would cease all operations except for the purpose of winding up and we would redeem our public shares and liquidate.</w:t>
      </w:r>
    </w:p>
    <w:p>
      <w:pPr>
        <w:spacing w:after="0" w:line="133" w:lineRule="exact"/>
        <w:rPr>
          <w:sz w:val="20"/>
          <w:szCs w:val="20"/>
          <w:color w:val="auto"/>
        </w:rPr>
      </w:pPr>
    </w:p>
    <w:p>
      <w:pPr>
        <w:ind w:left="460" w:right="40" w:firstLine="379"/>
        <w:spacing w:after="0" w:line="251" w:lineRule="auto"/>
        <w:rPr>
          <w:sz w:val="20"/>
          <w:szCs w:val="20"/>
          <w:color w:val="auto"/>
        </w:rPr>
      </w:pPr>
      <w:r>
        <w:rPr>
          <w:rFonts w:ascii="Times New Roman" w:cs="Times New Roman" w:eastAsia="Times New Roman" w:hAnsi="Times New Roman"/>
          <w:sz w:val="15"/>
          <w:szCs w:val="15"/>
          <w:color w:val="auto"/>
        </w:rPr>
        <w:t>We will have until 24 months from the closing of this offering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we will, as promptly as reasonably possible but not more than ten (10) business days thereafter, redeem the public shares for a pro rata portion of the funds held in the trust account and as promptly as reasonably possible following such redemption, subject to the approval of our remaining shareholders and our board of directors, liquidate and dissolve, subject in each case to possible claims of creditors and the requirements of other applicable law.</w:t>
      </w:r>
    </w:p>
    <w:p>
      <w:pPr>
        <w:spacing w:after="0" w:line="158" w:lineRule="exact"/>
        <w:rPr>
          <w:sz w:val="20"/>
          <w:szCs w:val="20"/>
          <w:color w:val="auto"/>
        </w:rPr>
      </w:pPr>
    </w:p>
    <w:p>
      <w:pPr>
        <w:ind w:left="460" w:right="120"/>
        <w:spacing w:after="0" w:line="289" w:lineRule="auto"/>
        <w:rPr>
          <w:sz w:val="20"/>
          <w:szCs w:val="20"/>
          <w:color w:val="auto"/>
        </w:rPr>
      </w:pPr>
      <w:r>
        <w:rPr>
          <w:rFonts w:ascii="Times New Roman" w:cs="Times New Roman" w:eastAsia="Times New Roman" w:hAnsi="Times New Roman"/>
          <w:sz w:val="15"/>
          <w:szCs w:val="15"/>
          <w:i w:val="1"/>
          <w:iCs w:val="1"/>
          <w:color w:val="auto"/>
        </w:rPr>
        <w:t>We may seek business combination opportunities with a high degree of complexity that require significant operational improvements, which could delay or prevent us from achieving our desired results.</w:t>
      </w:r>
    </w:p>
    <w:p>
      <w:pPr>
        <w:spacing w:after="0" w:line="133" w:lineRule="exact"/>
        <w:rPr>
          <w:sz w:val="20"/>
          <w:szCs w:val="20"/>
          <w:color w:val="auto"/>
        </w:rPr>
      </w:pPr>
    </w:p>
    <w:p>
      <w:pPr>
        <w:ind w:left="460" w:right="640" w:firstLine="379"/>
        <w:spacing w:after="0" w:line="265" w:lineRule="auto"/>
        <w:rPr>
          <w:sz w:val="20"/>
          <w:szCs w:val="20"/>
          <w:color w:val="auto"/>
        </w:rPr>
      </w:pPr>
      <w:r>
        <w:rPr>
          <w:rFonts w:ascii="Times New Roman" w:cs="Times New Roman" w:eastAsia="Times New Roman" w:hAnsi="Times New Roman"/>
          <w:sz w:val="15"/>
          <w:szCs w:val="15"/>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51"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w:t>
      </w:r>
    </w:p>
    <w:p>
      <w:pPr>
        <w:spacing w:after="0" w:line="1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85</w:t>
      </w:r>
    </w:p>
    <w:p>
      <w:pPr>
        <w:sectPr>
          <w:pgSz w:w="11900" w:h="16840" w:orient="portrait"/>
          <w:cols w:equalWidth="0" w:num="1">
            <w:col w:w="10140"/>
          </w:cols>
          <w:pgMar w:left="660" w:top="874" w:right="1100" w:bottom="1440" w:gutter="0" w:footer="0" w:header="0"/>
        </w:sectPr>
      </w:pPr>
    </w:p>
    <w:bookmarkStart w:id="96" w:name="page97"/>
    <w:bookmarkEnd w:id="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60"/>
        <w:spacing w:after="0" w:line="284" w:lineRule="auto"/>
        <w:rPr>
          <w:sz w:val="20"/>
          <w:szCs w:val="20"/>
          <w:color w:val="auto"/>
        </w:rPr>
      </w:pPr>
      <w:r>
        <w:rPr>
          <w:rFonts w:ascii="Times New Roman" w:cs="Times New Roman" w:eastAsia="Times New Roman" w:hAnsi="Times New Roman"/>
          <w:sz w:val="15"/>
          <w:szCs w:val="15"/>
          <w:color w:val="auto"/>
        </w:rPr>
        <w:t>chances that those risks and complexities will adversely impact a target business. Such combination may not be as successful as a combination with a smaller, less complex organization.</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We may not hold an annual meeting of shareholders until after the consummation of our initial business combination.</w:t>
      </w:r>
    </w:p>
    <w:p>
      <w:pPr>
        <w:spacing w:after="0" w:line="199"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In accordance with Nasdaq corporate governance requirements, we are not required to hold an annual meeting until one year after the first full fiscal year that the company is in existence. As an exempted company, there is no requirement under the Companies Act for us to hold annual or shareholder meetings to elect directors. Until we hold an annual meeting of shareholders, public shareholders may not be afforded the opportunity to elect directors and to discuss company affairs with management.</w:t>
      </w:r>
    </w:p>
    <w:p>
      <w:pPr>
        <w:spacing w:after="0" w:line="152" w:lineRule="exact"/>
        <w:rPr>
          <w:sz w:val="20"/>
          <w:szCs w:val="20"/>
          <w:color w:val="auto"/>
        </w:rPr>
      </w:pPr>
    </w:p>
    <w:p>
      <w:pPr>
        <w:jc w:val="both"/>
        <w:ind w:left="460" w:right="300"/>
        <w:spacing w:after="0" w:line="268" w:lineRule="auto"/>
        <w:rPr>
          <w:sz w:val="20"/>
          <w:szCs w:val="20"/>
          <w:color w:val="auto"/>
        </w:rPr>
      </w:pPr>
      <w:r>
        <w:rPr>
          <w:rFonts w:ascii="Times New Roman" w:cs="Times New Roman" w:eastAsia="Times New Roman" w:hAnsi="Times New Roman"/>
          <w:sz w:val="15"/>
          <w:szCs w:val="15"/>
          <w:i w:val="1"/>
          <w:iCs w:val="1"/>
          <w:color w:val="auto"/>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p>
    <w:p>
      <w:pPr>
        <w:spacing w:after="0" w:line="149"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 -thirds of our ordinary shares who attend and vote at a shareholder meeting of the company. In addition, our amended and restated memorandum and articles of association will require us to provide our public shareholders with the opportunity to redeem their public shares for cash if we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To the extent any of such amendments would be deemed to fundamentally change the nature of the securities offered hereby,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339" w:lineRule="exact"/>
        <w:rPr>
          <w:sz w:val="20"/>
          <w:szCs w:val="20"/>
          <w:color w:val="auto"/>
        </w:rPr>
      </w:pPr>
    </w:p>
    <w:p>
      <w:pPr>
        <w:jc w:val="both"/>
        <w:ind w:left="460"/>
        <w:spacing w:after="0" w:line="268" w:lineRule="auto"/>
        <w:rPr>
          <w:sz w:val="20"/>
          <w:szCs w:val="20"/>
          <w:color w:val="auto"/>
        </w:rPr>
      </w:pPr>
      <w:r>
        <w:rPr>
          <w:rFonts w:ascii="Times New Roman" w:cs="Times New Roman" w:eastAsia="Times New Roman" w:hAnsi="Times New Roman"/>
          <w:sz w:val="15"/>
          <w:szCs w:val="15"/>
          <w:i w:val="1"/>
          <w:i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49" w:lineRule="exact"/>
        <w:rPr>
          <w:sz w:val="20"/>
          <w:szCs w:val="20"/>
          <w:color w:val="auto"/>
        </w:rPr>
      </w:pPr>
    </w:p>
    <w:p>
      <w:pPr>
        <w:ind w:left="460" w:firstLine="379"/>
        <w:spacing w:after="0" w:line="255" w:lineRule="auto"/>
        <w:rPr>
          <w:sz w:val="20"/>
          <w:szCs w:val="20"/>
          <w:color w:val="auto"/>
        </w:rPr>
      </w:pPr>
      <w:r>
        <w:rPr>
          <w:rFonts w:ascii="Times New Roman" w:cs="Times New Roman" w:eastAsia="Times New Roman" w:hAnsi="Times New Roman"/>
          <w:sz w:val="15"/>
          <w:szCs w:val="15"/>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30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86</w:t>
      </w:r>
    </w:p>
    <w:p>
      <w:pPr>
        <w:sectPr>
          <w:pgSz w:w="11900" w:h="16840" w:orient="portrait"/>
          <w:cols w:equalWidth="0" w:num="1">
            <w:col w:w="10120"/>
          </w:cols>
          <w:pgMar w:left="660" w:top="874" w:right="1120" w:bottom="1440" w:gutter="0" w:footer="0" w:header="0"/>
        </w:sectPr>
      </w:pPr>
    </w:p>
    <w:bookmarkStart w:id="97" w:name="page98"/>
    <w:bookmarkEnd w:id="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both"/>
        <w:ind w:left="460" w:right="260"/>
        <w:spacing w:after="0" w:line="268" w:lineRule="auto"/>
        <w:rPr>
          <w:sz w:val="20"/>
          <w:szCs w:val="20"/>
          <w:color w:val="auto"/>
        </w:rPr>
      </w:pPr>
      <w:r>
        <w:rPr>
          <w:rFonts w:ascii="Times New Roman" w:cs="Times New Roman" w:eastAsia="Times New Roman" w:hAnsi="Times New Roman"/>
          <w:sz w:val="15"/>
          <w:szCs w:val="15"/>
          <w:i w:val="1"/>
          <w:i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49" w:lineRule="exact"/>
        <w:rPr>
          <w:sz w:val="20"/>
          <w:szCs w:val="20"/>
          <w:color w:val="auto"/>
        </w:rPr>
      </w:pPr>
    </w:p>
    <w:p>
      <w:pPr>
        <w:ind w:left="460" w:right="40" w:firstLine="379"/>
        <w:spacing w:after="0" w:line="259" w:lineRule="auto"/>
        <w:rPr>
          <w:sz w:val="20"/>
          <w:szCs w:val="20"/>
          <w:color w:val="auto"/>
        </w:rPr>
      </w:pPr>
      <w:r>
        <w:rPr>
          <w:rFonts w:ascii="Times New Roman" w:cs="Times New Roman" w:eastAsia="Times New Roman" w:hAnsi="Times New Roman"/>
          <w:sz w:val="15"/>
          <w:szCs w:val="15"/>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52" w:lineRule="exact"/>
        <w:rPr>
          <w:sz w:val="20"/>
          <w:szCs w:val="20"/>
          <w:color w:val="auto"/>
        </w:rPr>
      </w:pPr>
    </w:p>
    <w:p>
      <w:pPr>
        <w:ind w:left="460" w:right="280"/>
        <w:spacing w:after="0" w:line="289" w:lineRule="auto"/>
        <w:rPr>
          <w:sz w:val="20"/>
          <w:szCs w:val="20"/>
          <w:color w:val="auto"/>
        </w:rPr>
      </w:pPr>
      <w:r>
        <w:rPr>
          <w:rFonts w:ascii="Times New Roman" w:cs="Times New Roman" w:eastAsia="Times New Roman" w:hAnsi="Times New Roman"/>
          <w:sz w:val="15"/>
          <w:szCs w:val="15"/>
          <w:i w:val="1"/>
          <w:iCs w:val="1"/>
          <w:color w:val="auto"/>
        </w:rPr>
        <w:t>Holders of Class A ordinary shares will not be entitled to vote on any appointment of directors we hold prior to the completion of our initial business combination and will also not be able to vote on our continuation in a jurisdiction outside the Cayman Islands prior to our initial business combination.</w:t>
      </w:r>
    </w:p>
    <w:p>
      <w:pPr>
        <w:spacing w:after="0" w:line="133"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Prior to the completion of our initial business combination, only holders of our founder shares and private investor shares will have the right to vote on the appointment of directors. Holders of our public shares will not be entitled to vote on the election of directors during such time. Accordingly, you may not have any say in the management of our company prior to the consummation of an initial business combination.</w:t>
      </w:r>
    </w:p>
    <w:p>
      <w:pPr>
        <w:spacing w:after="0" w:line="151" w:lineRule="exact"/>
        <w:rPr>
          <w:sz w:val="20"/>
          <w:szCs w:val="20"/>
          <w:color w:val="auto"/>
        </w:rPr>
      </w:pPr>
    </w:p>
    <w:p>
      <w:pPr>
        <w:ind w:left="460" w:right="60" w:firstLine="379"/>
        <w:spacing w:after="0" w:line="284" w:lineRule="auto"/>
        <w:rPr>
          <w:sz w:val="20"/>
          <w:szCs w:val="20"/>
          <w:color w:val="auto"/>
        </w:rPr>
      </w:pPr>
      <w:r>
        <w:rPr>
          <w:rFonts w:ascii="Times New Roman" w:cs="Times New Roman" w:eastAsia="Times New Roman" w:hAnsi="Times New Roman"/>
          <w:sz w:val="15"/>
          <w:szCs w:val="15"/>
          <w:color w:val="auto"/>
        </w:rPr>
        <w:t>Further, prior to the closing of our initial business combination, transferring the company by way of continuation in a jurisdiction outside the Cayman Islands would only require the approval of our board of directors.</w:t>
      </w:r>
    </w:p>
    <w:p>
      <w:pPr>
        <w:spacing w:after="0" w:line="137" w:lineRule="exact"/>
        <w:rPr>
          <w:sz w:val="20"/>
          <w:szCs w:val="20"/>
          <w:color w:val="auto"/>
        </w:rPr>
      </w:pPr>
    </w:p>
    <w:p>
      <w:pPr>
        <w:ind w:left="460" w:right="80" w:firstLine="379"/>
        <w:spacing w:after="0" w:line="259" w:lineRule="auto"/>
        <w:rPr>
          <w:sz w:val="20"/>
          <w:szCs w:val="20"/>
          <w:color w:val="auto"/>
        </w:rPr>
      </w:pPr>
      <w:r>
        <w:rPr>
          <w:rFonts w:ascii="Times New Roman" w:cs="Times New Roman" w:eastAsia="Times New Roman" w:hAnsi="Times New Roman"/>
          <w:sz w:val="15"/>
          <w:szCs w:val="15"/>
          <w:color w:val="auto"/>
        </w:rPr>
        <w:t>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w:t>
      </w:r>
    </w:p>
    <w:p>
      <w:pPr>
        <w:spacing w:after="0" w:line="152" w:lineRule="exact"/>
        <w:rPr>
          <w:sz w:val="20"/>
          <w:szCs w:val="20"/>
          <w:color w:val="auto"/>
        </w:rPr>
      </w:pPr>
    </w:p>
    <w:p>
      <w:pPr>
        <w:ind w:left="460" w:right="160"/>
        <w:spacing w:after="0" w:line="289" w:lineRule="auto"/>
        <w:rPr>
          <w:sz w:val="20"/>
          <w:szCs w:val="20"/>
          <w:color w:val="auto"/>
        </w:rPr>
      </w:pPr>
      <w:r>
        <w:rPr>
          <w:rFonts w:ascii="Times New Roman" w:cs="Times New Roman" w:eastAsia="Times New Roman" w:hAnsi="Times New Roman"/>
          <w:sz w:val="15"/>
          <w:szCs w:val="15"/>
          <w:i w:val="1"/>
          <w:iCs w:val="1"/>
          <w:color w:val="auto"/>
        </w:rPr>
        <w:t>We may not be able to complete a business combination with certain potential target companies if a proposed transaction with the target company may be subject to review or approval by regulatory authorities pursuant to certain U.S. or foreign laws or regulations.</w:t>
      </w:r>
    </w:p>
    <w:p>
      <w:pPr>
        <w:spacing w:after="0" w:line="133"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Our sponsor is a Cayman Islands exempted company. Our sponsor, following the sale of founders shares to the four directors and Lynrock and transfer of 5,000 founder shares to the Chief Financial Officer, owns 6,053,167 founder shares (of which, 781,207 are subject to forfeiture if the underwriters do not exercise their over- allotment option). Our sponsor is governed by a board of directors consisting of two directors, Avi S. Katz and Raluca Dinu, who are U.S. citizens. As such, Drs. Katz and Dinu have voting and investment discretion with respect to the securities held of record by the sponsor and may be deemed to have shared beneficial ownership of the securities held directly by the sponsor. The sponsor is not “controlled” (as defined in 31 CFR 800.208) by a foreign person, such that the sponsor’s involvement in any business combination would be a “covered transaction” (as defined in 31 CFR 800.213). However, we do have two directors, Admiral (Ret.) David Ben-Bashat and Rear Admiral (Ret.) Omri Dagul, who are non-U.S. persons, neither of whom are deemed to have voting and investment discretion with respect to the securities held of record by the sponsor or “control” of the sponsor, and neither of whom has purchased any of our securities (unlike four of our other directors who have purchased our securities, and all four of those other directors are U.S. citizens). Further, it is possible that non-U.S. persons could be involved in our business combination, which may increase the risk that our business combination becomes subject to regulatory review, including review by the Committee on Foreign Investment in the United States (“CFIUS”), and that restrictions, limitations or conditions will be imposed by CFIUS. If our business combination with a U.S. business is subject to CFIUS review, the scope of which was expanded by</w:t>
      </w:r>
    </w:p>
    <w:p>
      <w:pPr>
        <w:spacing w:after="0" w:line="3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87</w:t>
      </w:r>
    </w:p>
    <w:p>
      <w:pPr>
        <w:sectPr>
          <w:pgSz w:w="11900" w:h="16840" w:orient="portrait"/>
          <w:cols w:equalWidth="0" w:num="1">
            <w:col w:w="10120"/>
          </w:cols>
          <w:pgMar w:left="660" w:top="874" w:right="1120" w:bottom="1440" w:gutter="0" w:footer="0" w:header="0"/>
        </w:sectPr>
      </w:pPr>
    </w:p>
    <w:bookmarkStart w:id="98" w:name="page99"/>
    <w:bookmarkEnd w:id="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0" w:lineRule="auto"/>
        <w:rPr>
          <w:sz w:val="20"/>
          <w:szCs w:val="20"/>
          <w:color w:val="auto"/>
        </w:rPr>
      </w:pPr>
      <w:r>
        <w:rPr>
          <w:rFonts w:ascii="Times New Roman" w:cs="Times New Roman" w:eastAsia="Times New Roman" w:hAnsi="Times New Roman"/>
          <w:sz w:val="15"/>
          <w:szCs w:val="15"/>
          <w:color w:val="auto"/>
        </w:rPr>
        <w:t>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our potential business combination with a U.S. business falls within CFIUS’s jurisdiction, we may determine that we are required to make a mandatory filing or that we will submit a voluntary notice to CFIUS, or to proceed with a business combination without notifying CFIUS and risk CFIUS intervention, before or after closing a business combination. CFIUS may decide to block or delay our business combination, impose conditions to mitigate national security concerns with respect to such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shareholders. As a result, the pool of potential targets with which we could complete a business combination may be limited and we may be adversely affected in terms of competing with other special purpose acquisition companies which do not have similar foreign ownership issues. A failure to notify CFIUS of a transaction where such notification was required or otherwise warranted based on the national security considerations presented by an investment target may expose our sponsor and/or the combined company to legal penalties, costs, and/or other adverse reputational and financial effects, thus potentially diminishing the value of the combined company. In addition, CFIUS is actively pursuing transactions that were not notified to it and may ask questions regarding, or impose restrictions or mitigation on, a business combination post-closing.</w:t>
      </w:r>
    </w:p>
    <w:p>
      <w:pPr>
        <w:spacing w:after="0" w:line="341"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Moreover, the process of government review, whether by the CFIUS or otherwise, could be lengthy and we have limited time to complete our business combination. If we cannot complete a business combination within 24 months from the closing of this offering because the transaction is still under review or because our business combination is ultimately prohibited by CFIUS or another U.S. government entity, we may be required to liquidate. If we liquidate, shareholders of record may only receive their pro rata portion of funds available in the trust account. This will also cause you to lose the investment opportunity in a target company and the chance of realizing future gains on your investment through any price appreciation in the combined company.</w:t>
      </w:r>
    </w:p>
    <w:p>
      <w:pPr>
        <w:spacing w:after="0" w:line="154" w:lineRule="exact"/>
        <w:rPr>
          <w:sz w:val="20"/>
          <w:szCs w:val="20"/>
          <w:color w:val="auto"/>
        </w:rPr>
      </w:pPr>
    </w:p>
    <w:p>
      <w:pPr>
        <w:ind w:left="460" w:right="80"/>
        <w:spacing w:after="0" w:line="261" w:lineRule="auto"/>
        <w:rPr>
          <w:sz w:val="20"/>
          <w:szCs w:val="20"/>
          <w:color w:val="auto"/>
        </w:rPr>
      </w:pPr>
      <w:r>
        <w:rPr>
          <w:rFonts w:ascii="Times New Roman" w:cs="Times New Roman" w:eastAsia="Times New Roman" w:hAnsi="Times New Roman"/>
          <w:sz w:val="15"/>
          <w:szCs w:val="15"/>
          <w:i w:val="1"/>
          <w:iCs w:val="1"/>
          <w:color w:val="auto"/>
        </w:rPr>
        <w:t>We may engage one or more of our underwriters or one of their respective affiliates to provide additional services to us after this offering, which may include acting as M&amp;A advisor in connection with an initial business combination or as placement agent in connection with a related financing transaction for an additional fee. These financial incentives may cause them to have potential conflicts of interest in rendering any such additional services to us after this offering, including, for example, in connection with the sourcing and consummation of an initial business combination.</w:t>
      </w:r>
    </w:p>
    <w:p>
      <w:pPr>
        <w:spacing w:after="0" w:line="154" w:lineRule="exact"/>
        <w:rPr>
          <w:sz w:val="20"/>
          <w:szCs w:val="20"/>
          <w:color w:val="auto"/>
        </w:rPr>
      </w:pPr>
    </w:p>
    <w:p>
      <w:pPr>
        <w:ind w:left="460" w:right="80" w:firstLine="379"/>
        <w:spacing w:after="0" w:line="251" w:lineRule="auto"/>
        <w:rPr>
          <w:sz w:val="20"/>
          <w:szCs w:val="20"/>
          <w:color w:val="auto"/>
        </w:rPr>
      </w:pPr>
      <w:r>
        <w:rPr>
          <w:rFonts w:ascii="Times New Roman" w:cs="Times New Roman" w:eastAsia="Times New Roman" w:hAnsi="Times New Roman"/>
          <w:sz w:val="15"/>
          <w:szCs w:val="15"/>
          <w:color w:val="auto"/>
        </w:rPr>
        <w:t xml:space="preserve">We may engage one or more of our underwriters or one of their respective affiliates to provide additional services to us after this offering, including, for example, identifying potential targets, providing M&amp;A advisory services, acting as a placement agent in a private offering or arranging debt financing transactions. We may pay such underwriter or its affiliate fair and reasonable fees or other compensation that would be determined at that time in an arm’s length negotiation;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agreement will be entered into with any of the underwriters or their respective affiliates and no fees or other compensation for such services will be paid to any of the underwriters or their respective affiliates prior to the date that is 60 days from the date of this prospectus, unless the Financial Industry Regulatory Authority (“FINRA”) determines that such payment would not be deemed underwriters’ compensation in connection with this offering.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valuation and consummation of an initial business combination.</w:t>
      </w:r>
    </w:p>
    <w:p>
      <w:pPr>
        <w:spacing w:after="0" w:line="1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88</w:t>
      </w:r>
    </w:p>
    <w:p>
      <w:pPr>
        <w:sectPr>
          <w:pgSz w:w="11900" w:h="16840" w:orient="portrait"/>
          <w:cols w:equalWidth="0" w:num="1">
            <w:col w:w="10140"/>
          </w:cols>
          <w:pgMar w:left="660" w:top="874" w:right="1100" w:bottom="1440" w:gutter="0" w:footer="0" w:header="0"/>
        </w:sectPr>
      </w:pPr>
    </w:p>
    <w:bookmarkStart w:id="99" w:name="page100"/>
    <w:bookmarkEnd w:id="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240"/>
        <w:spacing w:after="0" w:line="289" w:lineRule="auto"/>
        <w:rPr>
          <w:sz w:val="20"/>
          <w:szCs w:val="20"/>
          <w:color w:val="auto"/>
        </w:rPr>
      </w:pPr>
      <w:r>
        <w:rPr>
          <w:rFonts w:ascii="Times New Roman" w:cs="Times New Roman" w:eastAsia="Times New Roman" w:hAnsi="Times New Roman"/>
          <w:sz w:val="15"/>
          <w:szCs w:val="15"/>
          <w:i w:val="1"/>
          <w:iCs w:val="1"/>
          <w:color w:val="auto"/>
        </w:rPr>
        <w:t>Changes in international trade policies, tariffs and treaties affecting imports and exports may have a material adverse effect on our search for an initial business combination target or the performance or business prospects of a post-business combination company.</w:t>
      </w:r>
    </w:p>
    <w:p>
      <w:pPr>
        <w:spacing w:after="0" w:line="133"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There have recently been significant changes to international trade policies and tariffs affecting imports and exports. Any significant increases in tariffs on goods or materials or other changes in trade policy could negatively affect our search for a target and/or our ability to complete our initial business combination.</w:t>
      </w:r>
    </w:p>
    <w:p>
      <w:pPr>
        <w:spacing w:after="0" w:line="151"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Recently, the U.S. has implemented a range of new tariffs and increases to existing tariffs. In response to the tariffs announced by the U.S.,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we cannot predict whether, and to what extent, current tariffs will continue or trade policies will change in the future.</w:t>
      </w:r>
    </w:p>
    <w:p>
      <w:pPr>
        <w:spacing w:after="0" w:line="156" w:lineRule="exact"/>
        <w:rPr>
          <w:sz w:val="20"/>
          <w:szCs w:val="20"/>
          <w:color w:val="auto"/>
        </w:rPr>
      </w:pPr>
    </w:p>
    <w:p>
      <w:pPr>
        <w:ind w:left="460" w:right="40" w:firstLine="379"/>
        <w:spacing w:after="0" w:line="251" w:lineRule="auto"/>
        <w:rPr>
          <w:sz w:val="20"/>
          <w:szCs w:val="20"/>
          <w:color w:val="auto"/>
        </w:rPr>
      </w:pPr>
      <w:r>
        <w:rPr>
          <w:rFonts w:ascii="Times New Roman" w:cs="Times New Roman" w:eastAsia="Times New Roman" w:hAnsi="Times New Roman"/>
          <w:sz w:val="15"/>
          <w:szCs w:val="15"/>
          <w:color w:val="auto"/>
        </w:rPr>
        <w:t>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we enter into a business combination agreement, as a result of tariffs or the threat of tariffs that may have a material impact on that target’s business, and it may be costly or impractical for us to terminate that business combination agreement. These factors could affect our selection of a business combination target.</w:t>
      </w:r>
    </w:p>
    <w:p>
      <w:pPr>
        <w:spacing w:after="0" w:line="162"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We may not be able to adequately address the risks presented by these tariffs or other potential trade policy changes. As a result, we may deem it costly, impractical or risky to complete an initial business combination with a particular target or with a target in a particular industry or from a particular country. Consequently, the pool of potential target companies may be reduced, which could impair our ability to identify a suitable target and to complete an initial business combination. If we complete an initial business combination with such a target, the post-business combination company’s operations and financial results could be adversely affected as a result of tariffs or changes to trade policies, which may cause the market value of the securities of the post-business combination company to decline.</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Risks Relating to the Post-Business Combination Company</w:t>
      </w:r>
    </w:p>
    <w:p>
      <w:pPr>
        <w:spacing w:after="0" w:line="100"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5"/>
          <w:szCs w:val="15"/>
          <w:i w:val="1"/>
          <w:iCs w:val="1"/>
          <w:color w:val="auto"/>
        </w:rPr>
        <w:t>Subsequent to our consummation of our initial business combination, we may be required to take write-downs or write -offs, or we may be subject to restructuring and impairment or other charges that could have a significant negative effect on our financial condition, results of operations and the price of our public shares, which could cause you to lose some or all of your investment.</w:t>
      </w:r>
    </w:p>
    <w:p>
      <w:pPr>
        <w:spacing w:after="0" w:line="149"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Even if we conduct thorough due diligence on a target business with which we combine, this diligence may not surface all material issues that may be present inside a particular target business. Factors outside of the target business and outside of our control may, at any time,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w:t>
      </w:r>
    </w:p>
    <w:p>
      <w:pPr>
        <w:spacing w:after="0" w:line="1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89</w:t>
      </w:r>
    </w:p>
    <w:p>
      <w:pPr>
        <w:sectPr>
          <w:pgSz w:w="11900" w:h="16840" w:orient="portrait"/>
          <w:cols w:equalWidth="0" w:num="1">
            <w:col w:w="10080"/>
          </w:cols>
          <w:pgMar w:left="660" w:top="874" w:right="1160" w:bottom="1440" w:gutter="0" w:footer="0" w:header="0"/>
        </w:sectPr>
      </w:pPr>
    </w:p>
    <w:bookmarkStart w:id="100" w:name="page101"/>
    <w:bookmarkEnd w:id="1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53" w:lineRule="auto"/>
        <w:rPr>
          <w:sz w:val="20"/>
          <w:szCs w:val="20"/>
          <w:color w:val="auto"/>
        </w:rPr>
      </w:pPr>
      <w:r>
        <w:rPr>
          <w:rFonts w:ascii="Times New Roman" w:cs="Times New Roman" w:eastAsia="Times New Roman" w:hAnsi="Times New Roman"/>
          <w:sz w:val="15"/>
          <w:szCs w:val="15"/>
          <w:color w:val="auto"/>
        </w:rPr>
        <w:t>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Our management team and our shareholders may not be able to maintain control of a target business after our initial business combination.</w:t>
      </w:r>
    </w:p>
    <w:p>
      <w:pPr>
        <w:spacing w:after="0" w:line="199"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We may structure our initial business combination to acquire less than 100% of the equity interests or assets of a target business, but we will only consummate such business combination if we become the majority shareholder of the target (or control the target through contractual arrangements in limited circumstances for regulatory compliance purposes) or are otherwise not required to register as an investment company under the Investment Company Act. Even though we may own a majority interest in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shareholders immediately prior to such transaction could own less than a majority of our outstanding shares subsequent to such transaction. In addition, other minority shareholders may subsequently combine their holdings resulting in a single person or group obtaining a larger share of the company’s stock than we initially acquired. Accordingly, this may make it more likely that we will not be able to maintain our control of the post-transaction company.</w:t>
      </w:r>
    </w:p>
    <w:p>
      <w:pPr>
        <w:spacing w:after="0" w:line="158" w:lineRule="exact"/>
        <w:rPr>
          <w:sz w:val="20"/>
          <w:szCs w:val="20"/>
          <w:color w:val="auto"/>
        </w:rPr>
      </w:pPr>
    </w:p>
    <w:p>
      <w:pPr>
        <w:ind w:left="460" w:right="780"/>
        <w:spacing w:after="0" w:line="289" w:lineRule="auto"/>
        <w:rPr>
          <w:sz w:val="20"/>
          <w:szCs w:val="20"/>
          <w:color w:val="auto"/>
        </w:rPr>
      </w:pPr>
      <w:r>
        <w:rPr>
          <w:rFonts w:ascii="Times New Roman" w:cs="Times New Roman" w:eastAsia="Times New Roman" w:hAnsi="Times New Roman"/>
          <w:sz w:val="15"/>
          <w:szCs w:val="15"/>
          <w:i w:val="1"/>
          <w:iCs w:val="1"/>
          <w:color w:val="auto"/>
        </w:rPr>
        <w:t>Transactions in connection with or in anticipation of our initial business combination and our structure thereafter may not betax-efficient to our shareholders. As a result of our initial business combination, our tax obligations may be more complex, burdensome and uncertain.</w:t>
      </w:r>
    </w:p>
    <w:p>
      <w:pPr>
        <w:spacing w:after="0" w:line="133" w:lineRule="exact"/>
        <w:rPr>
          <w:sz w:val="20"/>
          <w:szCs w:val="20"/>
          <w:color w:val="auto"/>
        </w:rPr>
      </w:pPr>
    </w:p>
    <w:p>
      <w:pPr>
        <w:ind w:left="460" w:right="140" w:firstLine="379"/>
        <w:spacing w:after="0" w:line="253" w:lineRule="auto"/>
        <w:rPr>
          <w:sz w:val="20"/>
          <w:szCs w:val="20"/>
          <w:color w:val="auto"/>
        </w:rPr>
      </w:pPr>
      <w:r>
        <w:rPr>
          <w:rFonts w:ascii="Times New Roman" w:cs="Times New Roman" w:eastAsia="Times New Roman" w:hAnsi="Times New Roman"/>
          <w:sz w:val="15"/>
          <w:szCs w:val="15"/>
          <w:color w:val="auto"/>
        </w:rPr>
        <w:t>Although we will attempt to structure transactions in connection with our initial business combination in atax-efficient manner, tax structuring considerations are complex, the relevant facts and law are uncertain and may change, and we may prioritize commercial and other considerations over tax considerations. For example, in anticipation of or as a result of our initial business combination, we may enter into one or more transactions that require shareholders to recognize gain or income for tax purposes or otherwise increase their tax burden without prior notice to or approval from our shareholders. We do not intend to make any cash distributions to shareholders to pay taxes in connection with our business combination or thereafter. Accordingly, a shareholder may be required to satisfy any liability resulting from any such transactions with cash from its own funds or by selling all or a portion of such holder’s shares.</w:t>
      </w:r>
    </w:p>
    <w:p>
      <w:pPr>
        <w:spacing w:after="0" w:line="160" w:lineRule="exact"/>
        <w:rPr>
          <w:sz w:val="20"/>
          <w:szCs w:val="20"/>
          <w:color w:val="auto"/>
        </w:rPr>
      </w:pPr>
    </w:p>
    <w:p>
      <w:pPr>
        <w:ind w:left="460" w:right="100" w:firstLine="379"/>
        <w:spacing w:after="0" w:line="252" w:lineRule="auto"/>
        <w:rPr>
          <w:sz w:val="20"/>
          <w:szCs w:val="20"/>
          <w:color w:val="auto"/>
        </w:rPr>
      </w:pPr>
      <w:r>
        <w:rPr>
          <w:rFonts w:ascii="Times New Roman" w:cs="Times New Roman" w:eastAsia="Times New Roman" w:hAnsi="Times New Roman"/>
          <w:sz w:val="15"/>
          <w:szCs w:val="15"/>
          <w:color w:val="auto"/>
        </w:rPr>
        <w:t>Furthermore, we will likely effect a business combination with a target company that has business operations outside of the Cayman Islands and, possibly, business operations in multiple jurisdictions, and we may reincorporate in a different jurisdiction in connection therewith (including, but not limited to, the jurisdiction in which the target company or business is located). For example, in anticipation of engaging in a business combination with certain target companies, we may unilaterally convert into a U.S. company without notice pursuant to our amended and restated memorandum and articles, even if such a business combination ultimately is not achieved. If we effect any such transaction, including such a conversion, we could be subject to significant income, withholding and other tax obligations in a number of jurisdictions with respect to income, operations and subsidiaries related to those jurisdictions. Due to the complexity of tax obligations and filings in many jurisdictions, we may have a heightened risk related to audits or examinations by taxing authorities. This</w:t>
      </w:r>
    </w:p>
    <w:p>
      <w:pPr>
        <w:spacing w:after="0" w:line="3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90</w:t>
      </w:r>
    </w:p>
    <w:p>
      <w:pPr>
        <w:sectPr>
          <w:pgSz w:w="11900" w:h="16840" w:orient="portrait"/>
          <w:cols w:equalWidth="0" w:num="1">
            <w:col w:w="10120"/>
          </w:cols>
          <w:pgMar w:left="660" w:top="874" w:right="1120" w:bottom="1440" w:gutter="0" w:footer="0" w:header="0"/>
        </w:sectPr>
      </w:pPr>
    </w:p>
    <w:bookmarkStart w:id="101" w:name="page102"/>
    <w:bookmarkEnd w:id="1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80"/>
        <w:spacing w:after="0" w:line="284" w:lineRule="auto"/>
        <w:rPr>
          <w:sz w:val="20"/>
          <w:szCs w:val="20"/>
          <w:color w:val="auto"/>
        </w:rPr>
      </w:pPr>
      <w:r>
        <w:rPr>
          <w:rFonts w:ascii="Times New Roman" w:cs="Times New Roman" w:eastAsia="Times New Roman" w:hAnsi="Times New Roman"/>
          <w:sz w:val="15"/>
          <w:szCs w:val="15"/>
          <w:color w:val="auto"/>
        </w:rPr>
        <w:t>additional complexity and risk could have an adverse effect on our after-tax profitability and financial condition. In addition, shareholders may be subject to additional income, withholding or other taxes with respect to their ownership of us after any such transaction.</w:t>
      </w:r>
    </w:p>
    <w:p>
      <w:pPr>
        <w:spacing w:after="0" w:line="133" w:lineRule="exact"/>
        <w:rPr>
          <w:sz w:val="20"/>
          <w:szCs w:val="20"/>
          <w:color w:val="auto"/>
        </w:rPr>
      </w:pPr>
    </w:p>
    <w:p>
      <w:pPr>
        <w:ind w:left="460" w:right="40"/>
        <w:spacing w:after="0" w:line="268" w:lineRule="auto"/>
        <w:rPr>
          <w:sz w:val="20"/>
          <w:szCs w:val="20"/>
          <w:color w:val="auto"/>
        </w:rPr>
      </w:pPr>
      <w:r>
        <w:rPr>
          <w:rFonts w:ascii="Times New Roman" w:cs="Times New Roman" w:eastAsia="Times New Roman" w:hAnsi="Times New Roman"/>
          <w:sz w:val="15"/>
          <w:szCs w:val="15"/>
          <w:i w:val="1"/>
          <w:i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149" w:lineRule="exact"/>
        <w:rPr>
          <w:sz w:val="20"/>
          <w:szCs w:val="20"/>
          <w:color w:val="auto"/>
        </w:rPr>
      </w:pPr>
    </w:p>
    <w:p>
      <w:pPr>
        <w:ind w:left="460" w:right="180" w:firstLine="379"/>
        <w:spacing w:after="0" w:line="254" w:lineRule="auto"/>
        <w:rPr>
          <w:sz w:val="20"/>
          <w:szCs w:val="20"/>
          <w:color w:val="auto"/>
        </w:rPr>
      </w:pPr>
      <w:r>
        <w:rPr>
          <w:rFonts w:ascii="Times New Roman" w:cs="Times New Roman" w:eastAsia="Times New Roman" w:hAnsi="Times New Roman"/>
          <w:sz w:val="15"/>
          <w:szCs w:val="15"/>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56" w:lineRule="exact"/>
        <w:rPr>
          <w:sz w:val="20"/>
          <w:szCs w:val="20"/>
          <w:color w:val="auto"/>
        </w:rPr>
      </w:pPr>
    </w:p>
    <w:p>
      <w:pPr>
        <w:ind w:left="460" w:right="380"/>
        <w:spacing w:after="0" w:line="289" w:lineRule="auto"/>
        <w:rPr>
          <w:sz w:val="20"/>
          <w:szCs w:val="20"/>
          <w:color w:val="auto"/>
        </w:rPr>
      </w:pPr>
      <w:r>
        <w:rPr>
          <w:rFonts w:ascii="Times New Roman" w:cs="Times New Roman" w:eastAsia="Times New Roman" w:hAnsi="Times New Roman"/>
          <w:sz w:val="15"/>
          <w:szCs w:val="15"/>
          <w:i w:val="1"/>
          <w:iCs w:val="1"/>
          <w:color w:val="auto"/>
        </w:rPr>
        <w:t>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w:t>
      </w:r>
    </w:p>
    <w:p>
      <w:pPr>
        <w:spacing w:after="0" w:line="133" w:lineRule="exact"/>
        <w:rPr>
          <w:sz w:val="20"/>
          <w:szCs w:val="20"/>
          <w:color w:val="auto"/>
        </w:rPr>
      </w:pPr>
    </w:p>
    <w:p>
      <w:pPr>
        <w:ind w:left="460" w:right="60" w:firstLine="379"/>
        <w:spacing w:after="0" w:line="250" w:lineRule="auto"/>
        <w:rPr>
          <w:sz w:val="20"/>
          <w:szCs w:val="20"/>
          <w:color w:val="auto"/>
        </w:rPr>
      </w:pPr>
      <w:r>
        <w:rPr>
          <w:rFonts w:ascii="Times New Roman" w:cs="Times New Roman" w:eastAsia="Times New Roman" w:hAnsi="Times New Roman"/>
          <w:sz w:val="15"/>
          <w:szCs w:val="15"/>
          <w:color w:val="auto"/>
        </w:rPr>
        <w:t>In connection with our initial business combination, the post-business combination company may issue shares to investors in private placement transactions (so-called PIPE transactions) in order to complete an initial business combination and provide sufficient liquidity and capital to the post-business combination entity. The price of the shares so issued in connection with an initial business combination may b</w:t>
      </w: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5"/>
          <w:szCs w:val="15"/>
          <w:color w:val="auto"/>
        </w:rPr>
        <w:t xml:space="preserve"> less, and potentially significantly less, than $10.00 per share or the market price for our shares at such time. Any such issuances of equity securities at a price that is less than $10.00 or the prevailing market price of our shares at that time could be structured to ensure a return on investment to the investors and could dilute the interests of our existing shareholders in a manner that would not ordinarily occur in a traditional initial public offering and could result in both a reduction in the trading price of our shares to the price at which the post -business combination company issues such equity securities and fluctuations in the net tangible book value per share of the combined company’s securities following the completion of our initial business combination. The post-business combination company may also provide price protection or other incentives, or issue convertible securities such as preferred equity or convertible debt, and the exercise or conversion price of those securities may be fixed or adjustable, and may be less, and potentially significantly less, than $10.00 per share or the market price for our shares at such time. Such issuances could also result in additional transaction costs related to our initial business combination compared to a traditional initial public offering, including the placement fees associated with the engagement of a placement agent in connection with PIPE transactions.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Risks Relating to Acquiring and Operating a Business in Foreign Countries</w:t>
      </w:r>
    </w:p>
    <w:p>
      <w:pPr>
        <w:spacing w:after="0" w:line="100" w:lineRule="exact"/>
        <w:rPr>
          <w:sz w:val="20"/>
          <w:szCs w:val="20"/>
          <w:color w:val="auto"/>
        </w:rPr>
      </w:pPr>
    </w:p>
    <w:p>
      <w:pPr>
        <w:ind w:left="460" w:right="240"/>
        <w:spacing w:after="0" w:line="289" w:lineRule="auto"/>
        <w:rPr>
          <w:sz w:val="20"/>
          <w:szCs w:val="20"/>
          <w:color w:val="auto"/>
        </w:rPr>
      </w:pPr>
      <w:r>
        <w:rPr>
          <w:rFonts w:ascii="Times New Roman" w:cs="Times New Roman" w:eastAsia="Times New Roman" w:hAnsi="Times New Roman"/>
          <w:sz w:val="15"/>
          <w:szCs w:val="15"/>
          <w:i w:val="1"/>
          <w:iCs w:val="1"/>
          <w:color w:val="auto"/>
        </w:rPr>
        <w:t>If we effect our initial business combination with a company located outside of the United States, we would be subject to a variety of additional risks that may adversely affect us.</w:t>
      </w:r>
    </w:p>
    <w:p>
      <w:pPr>
        <w:spacing w:after="0" w:line="133" w:lineRule="exact"/>
        <w:rPr>
          <w:sz w:val="20"/>
          <w:szCs w:val="20"/>
          <w:color w:val="auto"/>
        </w:rPr>
      </w:pPr>
    </w:p>
    <w:p>
      <w:pPr>
        <w:ind w:left="460" w:right="340" w:firstLine="379"/>
        <w:spacing w:after="0" w:line="265" w:lineRule="auto"/>
        <w:rPr>
          <w:sz w:val="20"/>
          <w:szCs w:val="20"/>
          <w:color w:val="auto"/>
        </w:rPr>
      </w:pPr>
      <w:r>
        <w:rPr>
          <w:rFonts w:ascii="Times New Roman" w:cs="Times New Roman" w:eastAsia="Times New Roman" w:hAnsi="Times New Roman"/>
          <w:sz w:val="15"/>
          <w:szCs w:val="15"/>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51"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w:t>
      </w:r>
    </w:p>
    <w:p>
      <w:pPr>
        <w:spacing w:after="0" w:line="1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91</w:t>
      </w:r>
    </w:p>
    <w:p>
      <w:pPr>
        <w:sectPr>
          <w:pgSz w:w="11900" w:h="16840" w:orient="portrait"/>
          <w:cols w:equalWidth="0" w:num="1">
            <w:col w:w="10120"/>
          </w:cols>
          <w:pgMar w:left="660" w:top="874" w:right="1120" w:bottom="1440" w:gutter="0" w:footer="0" w:header="0"/>
        </w:sectPr>
      </w:pPr>
    </w:p>
    <w:bookmarkStart w:id="102" w:name="page103"/>
    <w:bookmarkEnd w:id="1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regulators or agencies and changes in the purchase price based on fluctuations in foreign exchange rates.</w:t>
      </w:r>
    </w:p>
    <w:p>
      <w:pPr>
        <w:spacing w:after="0" w:line="195" w:lineRule="exact"/>
        <w:rPr>
          <w:sz w:val="20"/>
          <w:szCs w:val="20"/>
          <w:color w:val="auto"/>
        </w:rPr>
      </w:pPr>
    </w:p>
    <w:p>
      <w:pPr>
        <w:ind w:left="460" w:right="560" w:firstLine="379"/>
        <w:spacing w:after="0" w:line="284" w:lineRule="auto"/>
        <w:rPr>
          <w:sz w:val="20"/>
          <w:szCs w:val="20"/>
          <w:color w:val="auto"/>
        </w:rPr>
      </w:pPr>
      <w:r>
        <w:rPr>
          <w:rFonts w:ascii="Times New Roman" w:cs="Times New Roman" w:eastAsia="Times New Roman" w:hAnsi="Times New Roman"/>
          <w:sz w:val="15"/>
          <w:szCs w:val="15"/>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6" w:lineRule="exact"/>
        <w:rPr>
          <w:sz w:val="20"/>
          <w:szCs w:val="20"/>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and difficulties inherent in managing cross-border business operations;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rules and regulations regarding currency redemption;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complex corporate withholding taxes on individuals;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governing the manner in which future business combinations may be effected;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listing and/or delisting requirements;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tariffs and trade barriers;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regulations related to customs and import/export matters;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local or regional economic policies and market conditions;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changes in regulatory requirements;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in managing and staffing international operations;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longer payment cycles;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issues, such as tax law changes and variations in tax laws as compared to the United States;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currency fluctuations and exchange controls;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rates of inflation;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in collecting accounts receivable;</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cultural and language differences;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employment regulations;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underdeveloped or unpredictable legal or regulatory systems;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corruption;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protection of intellectual property;</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social unrest, crime, strikes, riots and civil disturbances;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regime changes and political upheaval;</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terrorist attacks, natural disasters, widespread health emergencies and wars;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deterioration of political relations with the United States.</w:t>
      </w:r>
    </w:p>
    <w:p>
      <w:pPr>
        <w:spacing w:after="0" w:line="195"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92</w:t>
      </w:r>
    </w:p>
    <w:p>
      <w:pPr>
        <w:sectPr>
          <w:pgSz w:w="11900" w:h="16840" w:orient="portrait"/>
          <w:cols w:equalWidth="0" w:num="1">
            <w:col w:w="10080"/>
          </w:cols>
          <w:pgMar w:left="660" w:top="874" w:right="1160" w:bottom="1440" w:gutter="0" w:footer="0" w:header="0"/>
        </w:sectPr>
      </w:pPr>
    </w:p>
    <w:bookmarkStart w:id="103" w:name="page104"/>
    <w:bookmarkEnd w:id="1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Risks Relating to Our Management Team</w:t>
      </w:r>
    </w:p>
    <w:p>
      <w:pPr>
        <w:spacing w:after="0" w:line="100" w:lineRule="exact"/>
        <w:rPr>
          <w:sz w:val="20"/>
          <w:szCs w:val="20"/>
          <w:color w:val="auto"/>
        </w:rPr>
      </w:pPr>
    </w:p>
    <w:p>
      <w:pPr>
        <w:ind w:left="460" w:right="300"/>
        <w:spacing w:after="0" w:line="289" w:lineRule="auto"/>
        <w:rPr>
          <w:sz w:val="20"/>
          <w:szCs w:val="20"/>
          <w:color w:val="auto"/>
        </w:rPr>
      </w:pPr>
      <w:r>
        <w:rPr>
          <w:rFonts w:ascii="Times New Roman" w:cs="Times New Roman" w:eastAsia="Times New Roman" w:hAnsi="Times New Roman"/>
          <w:sz w:val="15"/>
          <w:szCs w:val="15"/>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33" w:lineRule="exact"/>
        <w:rPr>
          <w:sz w:val="20"/>
          <w:szCs w:val="20"/>
          <w:color w:val="auto"/>
        </w:rPr>
      </w:pPr>
    </w:p>
    <w:p>
      <w:pPr>
        <w:ind w:left="460" w:right="20" w:firstLine="379"/>
        <w:spacing w:after="0" w:line="251" w:lineRule="auto"/>
        <w:rPr>
          <w:sz w:val="20"/>
          <w:szCs w:val="20"/>
          <w:color w:val="auto"/>
        </w:rPr>
      </w:pPr>
      <w:r>
        <w:rPr>
          <w:rFonts w:ascii="Times New Roman" w:cs="Times New Roman" w:eastAsia="Times New Roman" w:hAnsi="Times New Roman"/>
          <w:sz w:val="15"/>
          <w:szCs w:val="15"/>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 -time employees prior to the completion of our initial business combination. Each of our officers is engaged in several other business endeavors, including but not limited to new and existing Private-to-Public Equity (PPE) companies, for which they may be entitled to substantial compensation and our officers are not obligated to contribute any specific number of hours per week to our affairs. In particular, certain of our officers and directors provide services to affiliates of our sponsor. In particular, certain of our officers and directors serve as officers or directors of UpHealth, Inc., QT Imaging Holdings, Inc. and GIG7. Our independent directors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w:t>
      </w:r>
      <w:r>
        <w:rPr>
          <w:rFonts w:ascii="Times New Roman" w:cs="Times New Roman" w:eastAsia="Times New Roman" w:hAnsi="Times New Roman"/>
          <w:sz w:val="15"/>
          <w:szCs w:val="15"/>
          <w:i w:val="1"/>
          <w:iCs w:val="1"/>
          <w:color w:val="auto"/>
        </w:rPr>
        <w:t>Management—Directors and Officers</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5"/>
          <w:szCs w:val="15"/>
          <w:i w:val="1"/>
          <w:iCs w:val="1"/>
          <w:color w:val="auto"/>
        </w:rPr>
        <w:t>Our ability to successfully effect our initial business combination and to be successful thereafter will be largely dependent upon the efforts of our executive officers and directors, some of whom may join the post-transaction company following our initial business combination. The loss of our executive officers or directors could negatively impact the operations and profitability of our business.</w:t>
      </w:r>
    </w:p>
    <w:p>
      <w:pPr>
        <w:spacing w:after="0" w:line="149" w:lineRule="exact"/>
        <w:rPr>
          <w:sz w:val="20"/>
          <w:szCs w:val="20"/>
          <w:color w:val="auto"/>
        </w:rPr>
      </w:pPr>
    </w:p>
    <w:p>
      <w:pPr>
        <w:ind w:left="460" w:right="60" w:firstLine="379"/>
        <w:spacing w:after="0" w:line="253" w:lineRule="auto"/>
        <w:rPr>
          <w:sz w:val="20"/>
          <w:szCs w:val="20"/>
          <w:color w:val="auto"/>
        </w:rPr>
      </w:pPr>
      <w:r>
        <w:rPr>
          <w:rFonts w:ascii="Times New Roman" w:cs="Times New Roman" w:eastAsia="Times New Roman" w:hAnsi="Times New Roman"/>
          <w:sz w:val="15"/>
          <w:szCs w:val="15"/>
          <w:color w:val="auto"/>
        </w:rPr>
        <w:t>Our operations are dependent upon a relatively small group of individuals and, in particular, our executive officers and directors. We believe that our success depends on the continued service of our executive officers and directors, at least until we have consummated our initial business combination. In addition, our executive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 Additionally, we do not intend to have any full-time employees prior to the consummation of our initial business combination.</w:t>
      </w:r>
    </w:p>
    <w:p>
      <w:pPr>
        <w:spacing w:after="0" w:line="160" w:lineRule="exact"/>
        <w:rPr>
          <w:sz w:val="20"/>
          <w:szCs w:val="20"/>
          <w:color w:val="auto"/>
        </w:rPr>
      </w:pPr>
    </w:p>
    <w:p>
      <w:pPr>
        <w:ind w:left="460" w:right="60" w:firstLine="379"/>
        <w:spacing w:after="0" w:line="255" w:lineRule="auto"/>
        <w:rPr>
          <w:sz w:val="20"/>
          <w:szCs w:val="20"/>
          <w:color w:val="auto"/>
        </w:rPr>
      </w:pPr>
      <w:r>
        <w:rPr>
          <w:rFonts w:ascii="Times New Roman" w:cs="Times New Roman" w:eastAsia="Times New Roman" w:hAnsi="Times New Roman"/>
          <w:sz w:val="15"/>
          <w:szCs w:val="15"/>
          <w:color w:val="auto"/>
        </w:rPr>
        <w:t>The role of such persons in the target business following a business combination, however, cannot presently be ascertained. Although some of such persons may remain with the post-transaction company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335" w:lineRule="exact"/>
        <w:rPr>
          <w:sz w:val="20"/>
          <w:szCs w:val="20"/>
          <w:color w:val="auto"/>
        </w:rPr>
      </w:pPr>
    </w:p>
    <w:p>
      <w:pPr>
        <w:ind w:left="460" w:right="60"/>
        <w:spacing w:after="0" w:line="289" w:lineRule="auto"/>
        <w:rPr>
          <w:sz w:val="20"/>
          <w:szCs w:val="20"/>
          <w:color w:val="auto"/>
        </w:rPr>
      </w:pPr>
      <w:r>
        <w:rPr>
          <w:rFonts w:ascii="Times New Roman" w:cs="Times New Roman" w:eastAsia="Times New Roman" w:hAnsi="Times New Roman"/>
          <w:sz w:val="15"/>
          <w:szCs w:val="15"/>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33" w:lineRule="exact"/>
        <w:rPr>
          <w:sz w:val="20"/>
          <w:szCs w:val="20"/>
          <w:color w:val="auto"/>
        </w:rPr>
      </w:pPr>
    </w:p>
    <w:p>
      <w:pPr>
        <w:jc w:val="both"/>
        <w:ind w:left="460" w:right="460" w:firstLine="379"/>
        <w:spacing w:after="0" w:line="265" w:lineRule="auto"/>
        <w:rPr>
          <w:sz w:val="20"/>
          <w:szCs w:val="20"/>
          <w:color w:val="auto"/>
        </w:rPr>
      </w:pPr>
      <w:r>
        <w:rPr>
          <w:rFonts w:ascii="Times New Roman" w:cs="Times New Roman" w:eastAsia="Times New Roman" w:hAnsi="Times New Roman"/>
          <w:sz w:val="15"/>
          <w:szCs w:val="15"/>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w:t>
      </w:r>
    </w:p>
    <w:p>
      <w:pPr>
        <w:spacing w:after="0" w:line="1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93</w:t>
      </w:r>
    </w:p>
    <w:p>
      <w:pPr>
        <w:sectPr>
          <w:pgSz w:w="11900" w:h="16840" w:orient="portrait"/>
          <w:cols w:equalWidth="0" w:num="1">
            <w:col w:w="10100"/>
          </w:cols>
          <w:pgMar w:left="660" w:top="874" w:right="1140" w:bottom="1440" w:gutter="0" w:footer="0" w:header="0"/>
        </w:sectPr>
      </w:pPr>
    </w:p>
    <w:bookmarkStart w:id="104" w:name="page105"/>
    <w:bookmarkEnd w:id="1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spacing w:after="0" w:line="253" w:lineRule="auto"/>
        <w:rPr>
          <w:sz w:val="20"/>
          <w:szCs w:val="20"/>
          <w:color w:val="auto"/>
        </w:rPr>
      </w:pPr>
      <w:r>
        <w:rPr>
          <w:rFonts w:ascii="Times New Roman" w:cs="Times New Roman" w:eastAsia="Times New Roman" w:hAnsi="Times New Roman"/>
          <w:sz w:val="15"/>
          <w:szCs w:val="15"/>
          <w:color w:val="auto"/>
        </w:rPr>
        <w:t>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shareholders who choose to retain their securities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56" w:lineRule="exact"/>
        <w:rPr>
          <w:sz w:val="20"/>
          <w:szCs w:val="20"/>
          <w:color w:val="auto"/>
        </w:rPr>
      </w:pPr>
    </w:p>
    <w:p>
      <w:pPr>
        <w:ind w:left="460" w:right="20"/>
        <w:spacing w:after="0" w:line="268" w:lineRule="auto"/>
        <w:rPr>
          <w:sz w:val="20"/>
          <w:szCs w:val="20"/>
          <w:color w:val="auto"/>
        </w:rPr>
      </w:pPr>
      <w:r>
        <w:rPr>
          <w:rFonts w:ascii="Times New Roman" w:cs="Times New Roman" w:eastAsia="Times New Roman" w:hAnsi="Times New Roman"/>
          <w:sz w:val="15"/>
          <w:szCs w:val="15"/>
          <w:i w:val="1"/>
          <w:iCs w:val="1"/>
          <w:color w:val="auto"/>
        </w:rPr>
        <w:t>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p>
    <w:p>
      <w:pPr>
        <w:spacing w:after="0" w:line="149"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Following the completion of this offering and until we consummate our initial business combination, we intend to engage in the business of identifying and combining with one or more businesses. Our sponsor and officers and directors are, and may in the future become, affiliated with entities that are engaged in a similar business.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or operating company, with which they may become involved. Any of such companies may present additional conflicts of interest in pursuing an acquisition target.</w:t>
      </w:r>
    </w:p>
    <w:p>
      <w:pPr>
        <w:spacing w:after="0" w:line="160" w:lineRule="exact"/>
        <w:rPr>
          <w:sz w:val="20"/>
          <w:szCs w:val="20"/>
          <w:color w:val="auto"/>
        </w:rPr>
      </w:pPr>
    </w:p>
    <w:p>
      <w:pPr>
        <w:ind w:left="460" w:right="160" w:firstLine="379"/>
        <w:spacing w:after="0" w:line="284" w:lineRule="auto"/>
        <w:rPr>
          <w:sz w:val="20"/>
          <w:szCs w:val="20"/>
          <w:color w:val="auto"/>
        </w:rPr>
      </w:pPr>
      <w:r>
        <w:rPr>
          <w:rFonts w:ascii="Times New Roman" w:cs="Times New Roman" w:eastAsia="Times New Roman" w:hAnsi="Times New Roman"/>
          <w:sz w:val="15"/>
          <w:szCs w:val="15"/>
          <w:color w:val="auto"/>
        </w:rPr>
        <w:t>Our officers and directors also may become aware of business opportunities which may be appropriate for presentation to us and the other entities to which they owe certain fiduciary or contractual duties.</w:t>
      </w:r>
    </w:p>
    <w:p>
      <w:pPr>
        <w:spacing w:after="0" w:line="137"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memorandum and articles of association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w:t>
      </w:r>
    </w:p>
    <w:p>
      <w:pPr>
        <w:spacing w:after="0" w:line="158" w:lineRule="exact"/>
        <w:rPr>
          <w:sz w:val="20"/>
          <w:szCs w:val="20"/>
          <w:color w:val="auto"/>
        </w:rPr>
      </w:pPr>
    </w:p>
    <w:p>
      <w:pPr>
        <w:ind w:left="460" w:right="80" w:firstLine="379"/>
        <w:spacing w:after="0" w:line="265" w:lineRule="auto"/>
        <w:rPr>
          <w:sz w:val="20"/>
          <w:szCs w:val="20"/>
          <w:color w:val="auto"/>
        </w:rPr>
      </w:pPr>
      <w:r>
        <w:rPr>
          <w:rFonts w:ascii="Times New Roman" w:cs="Times New Roman" w:eastAsia="Times New Roman" w:hAnsi="Times New Roman"/>
          <w:sz w:val="15"/>
          <w:szCs w:val="15"/>
          <w:color w:val="auto"/>
        </w:rPr>
        <w:t>For a complete discussion of our officers’ and directors’ business affiliations and the potential conflicts of interest that you should be aware of, please see the sections of this prospectus entitled “</w:t>
      </w:r>
      <w:r>
        <w:rPr>
          <w:rFonts w:ascii="Times New Roman" w:cs="Times New Roman" w:eastAsia="Times New Roman" w:hAnsi="Times New Roman"/>
          <w:sz w:val="15"/>
          <w:szCs w:val="15"/>
          <w:i w:val="1"/>
          <w:iCs w:val="1"/>
          <w:color w:val="auto"/>
        </w:rPr>
        <w:t>Management—Directors and Officers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Management—Conflicts of Interest</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Certain Relationships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Related Party Transactions</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460" w:right="120"/>
        <w:spacing w:after="0" w:line="289" w:lineRule="auto"/>
        <w:rPr>
          <w:sz w:val="20"/>
          <w:szCs w:val="20"/>
          <w:color w:val="auto"/>
        </w:rPr>
      </w:pPr>
      <w:r>
        <w:rPr>
          <w:rFonts w:ascii="Times New Roman" w:cs="Times New Roman" w:eastAsia="Times New Roman" w:hAnsi="Times New Roman"/>
          <w:sz w:val="15"/>
          <w:szCs w:val="15"/>
          <w:i w:val="1"/>
          <w:i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shareholders.</w:t>
      </w:r>
    </w:p>
    <w:p>
      <w:pPr>
        <w:spacing w:after="0" w:line="133" w:lineRule="exact"/>
        <w:rPr>
          <w:sz w:val="20"/>
          <w:szCs w:val="20"/>
          <w:color w:val="auto"/>
        </w:rPr>
      </w:pPr>
    </w:p>
    <w:p>
      <w:pPr>
        <w:ind w:left="460" w:right="40" w:firstLine="379"/>
        <w:spacing w:after="0" w:line="256" w:lineRule="auto"/>
        <w:rPr>
          <w:sz w:val="20"/>
          <w:szCs w:val="20"/>
          <w:color w:val="auto"/>
        </w:rPr>
      </w:pPr>
      <w:r>
        <w:rPr>
          <w:rFonts w:ascii="Times New Roman" w:cs="Times New Roman" w:eastAsia="Times New Roman" w:hAnsi="Times New Roman"/>
          <w:sz w:val="15"/>
          <w:szCs w:val="15"/>
          <w:color w:val="auto"/>
        </w:rPr>
        <w:t>Subject to the requirement that our initial business combination must be with one or more target businesses or assets having an aggregate fair market value of at least 80% of the value of the trust account (less any taxes, if any, payable on interest earned)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w:t>
      </w:r>
    </w:p>
    <w:p>
      <w:pPr>
        <w:spacing w:after="0" w:line="12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94</w:t>
      </w:r>
    </w:p>
    <w:p>
      <w:pPr>
        <w:sectPr>
          <w:pgSz w:w="11900" w:h="16840" w:orient="portrait"/>
          <w:cols w:equalWidth="0" w:num="1">
            <w:col w:w="10140"/>
          </w:cols>
          <w:pgMar w:left="660" w:top="874" w:right="1100" w:bottom="1440" w:gutter="0" w:footer="0" w:header="0"/>
        </w:sectPr>
      </w:pPr>
    </w:p>
    <w:bookmarkStart w:id="105" w:name="page106"/>
    <w:bookmarkEnd w:id="1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business combination, may lead management to enter into an acquisition agreement that is not in the best interest of our shareholders.</w:t>
      </w:r>
    </w:p>
    <w:p>
      <w:pPr>
        <w:spacing w:after="0" w:line="191" w:lineRule="exact"/>
        <w:rPr>
          <w:sz w:val="20"/>
          <w:szCs w:val="20"/>
          <w:color w:val="auto"/>
        </w:rPr>
      </w:pPr>
    </w:p>
    <w:p>
      <w:pPr>
        <w:ind w:left="460" w:right="20"/>
        <w:spacing w:after="0" w:line="268" w:lineRule="auto"/>
        <w:rPr>
          <w:sz w:val="20"/>
          <w:szCs w:val="20"/>
          <w:color w:val="auto"/>
        </w:rPr>
      </w:pPr>
      <w:r>
        <w:rPr>
          <w:rFonts w:ascii="Times New Roman" w:cs="Times New Roman" w:eastAsia="Times New Roman" w:hAnsi="Times New Roman"/>
          <w:sz w:val="15"/>
          <w:szCs w:val="15"/>
          <w:i w:val="1"/>
          <w:iCs w:val="1"/>
          <w:color w:val="auto"/>
        </w:rPr>
        <w:t>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9" w:lineRule="exact"/>
        <w:rPr>
          <w:sz w:val="20"/>
          <w:szCs w:val="20"/>
          <w:color w:val="auto"/>
        </w:rPr>
      </w:pPr>
    </w:p>
    <w:p>
      <w:pPr>
        <w:ind w:left="460" w:right="120" w:firstLine="379"/>
        <w:spacing w:after="0" w:line="252" w:lineRule="auto"/>
        <w:rPr>
          <w:sz w:val="20"/>
          <w:szCs w:val="20"/>
          <w:color w:val="auto"/>
        </w:rPr>
      </w:pPr>
      <w:r>
        <w:rPr>
          <w:rFonts w:ascii="Times New Roman" w:cs="Times New Roman" w:eastAsia="Times New Roman" w:hAnsi="Times New Roman"/>
          <w:sz w:val="15"/>
          <w:szCs w:val="15"/>
          <w:color w:val="auto"/>
        </w:rPr>
        <w:t>Our executive officers and directors may be able to remain with the post-transaction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Moreover, there is no certainty that any of our executive officers or directors will remain with the post-transaction company after the consummation of our initial business combination. Our executive officers and directors may not remain in senior management or advisory positions with the post-transaction company. The determination as to whether any of our executive officers and directors will remain with the post-transaction company will be made at the time of our initial business combination.</w:t>
      </w:r>
    </w:p>
    <w:p>
      <w:pPr>
        <w:spacing w:after="0" w:line="158" w:lineRule="exact"/>
        <w:rPr>
          <w:sz w:val="20"/>
          <w:szCs w:val="20"/>
          <w:color w:val="auto"/>
        </w:rPr>
      </w:pPr>
    </w:p>
    <w:p>
      <w:pPr>
        <w:ind w:left="460" w:right="20"/>
        <w:spacing w:after="0" w:line="289" w:lineRule="auto"/>
        <w:rPr>
          <w:sz w:val="20"/>
          <w:szCs w:val="20"/>
          <w:color w:val="auto"/>
        </w:rPr>
      </w:pPr>
      <w:r>
        <w:rPr>
          <w:rFonts w:ascii="Times New Roman" w:cs="Times New Roman" w:eastAsia="Times New Roman" w:hAnsi="Times New Roman"/>
          <w:sz w:val="15"/>
          <w:szCs w:val="15"/>
          <w:i w:val="1"/>
          <w:i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33" w:lineRule="exact"/>
        <w:rPr>
          <w:sz w:val="20"/>
          <w:szCs w:val="20"/>
          <w:color w:val="auto"/>
        </w:rPr>
      </w:pPr>
    </w:p>
    <w:p>
      <w:pPr>
        <w:ind w:left="460" w:right="120" w:firstLine="379"/>
        <w:spacing w:after="0" w:line="262" w:lineRule="auto"/>
        <w:rPr>
          <w:sz w:val="20"/>
          <w:szCs w:val="20"/>
          <w:color w:val="auto"/>
        </w:rPr>
      </w:pPr>
      <w:r>
        <w:rPr>
          <w:rFonts w:ascii="Times New Roman" w:cs="Times New Roman" w:eastAsia="Times New Roman" w:hAnsi="Times New Roman"/>
          <w:sz w:val="15"/>
          <w:szCs w:val="15"/>
          <w:color w:val="auto"/>
        </w:rPr>
        <w:t>The role of an acquisition target’s key personnel upon the consummation of our initial business combination cannot be ascertained at this time. Although we contemplate that certain members of an acquisition candidate’s management team will remain associated with the post-transaction company following our initial business combination, it is possible that some members of the management team of an acquisition candidate will not wish to remain in place.</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Past performance by our management team may not be indicative of future performance of an investment in the company.</w:t>
      </w:r>
    </w:p>
    <w:p>
      <w:pPr>
        <w:spacing w:after="0" w:line="199" w:lineRule="exact"/>
        <w:rPr>
          <w:sz w:val="20"/>
          <w:szCs w:val="20"/>
          <w:color w:val="auto"/>
        </w:rPr>
      </w:pPr>
    </w:p>
    <w:p>
      <w:pPr>
        <w:ind w:left="460" w:right="100" w:firstLine="379"/>
        <w:spacing w:after="0" w:line="256" w:lineRule="auto"/>
        <w:rPr>
          <w:sz w:val="20"/>
          <w:szCs w:val="20"/>
          <w:color w:val="auto"/>
        </w:rPr>
      </w:pPr>
      <w:r>
        <w:rPr>
          <w:rFonts w:ascii="Times New Roman" w:cs="Times New Roman" w:eastAsia="Times New Roman" w:hAnsi="Times New Roman"/>
          <w:sz w:val="15"/>
          <w:szCs w:val="15"/>
          <w:color w:val="auto"/>
        </w:rPr>
        <w:t>Information regarding performance by, or businesses associated with, our management team and their affiliates, including GIG1, GIG2, GIG3, GIG4 and GIG5, is presented for informational purposes only. Past performance by our management team, including with respect to GIG1, GIG2, GIG3, GIG4, and GIG5, is not a guarantee either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of an investment in the company or the returns the company will, or is likely to, generate going forward.</w:t>
      </w:r>
    </w:p>
    <w:p>
      <w:pPr>
        <w:spacing w:after="0" w:line="154" w:lineRule="exact"/>
        <w:rPr>
          <w:sz w:val="20"/>
          <w:szCs w:val="20"/>
          <w:color w:val="auto"/>
        </w:rPr>
      </w:pPr>
    </w:p>
    <w:p>
      <w:pPr>
        <w:ind w:left="460" w:right="20"/>
        <w:spacing w:after="0" w:line="261" w:lineRule="auto"/>
        <w:rPr>
          <w:sz w:val="20"/>
          <w:szCs w:val="20"/>
          <w:color w:val="auto"/>
        </w:rPr>
      </w:pPr>
      <w:r>
        <w:rPr>
          <w:rFonts w:ascii="Times New Roman" w:cs="Times New Roman" w:eastAsia="Times New Roman" w:hAnsi="Times New Roman"/>
          <w:sz w:val="15"/>
          <w:szCs w:val="15"/>
          <w:i w:val="1"/>
          <w:iCs w:val="1"/>
          <w:color w:val="auto"/>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p>
    <w:p>
      <w:pPr>
        <w:spacing w:after="0" w:line="154"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Individual members of our management team and board of directors</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95</w:t>
      </w:r>
    </w:p>
    <w:p>
      <w:pPr>
        <w:sectPr>
          <w:pgSz w:w="11900" w:h="16840" w:orient="portrait"/>
          <w:cols w:equalWidth="0" w:num="1">
            <w:col w:w="10140"/>
          </w:cols>
          <w:pgMar w:left="660" w:top="874" w:right="1100" w:bottom="1440" w:gutter="0" w:footer="0" w:header="0"/>
        </w:sectPr>
      </w:pPr>
    </w:p>
    <w:bookmarkStart w:id="106" w:name="page107"/>
    <w:bookmarkEnd w:id="1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5"/>
          <w:szCs w:val="15"/>
          <w:color w:val="auto"/>
        </w:rPr>
        <w:t>also may become involved in litigation, investigations or other proceedings involving claims or allegations related to or as a result of their personal conduct, either in their capacity as a corporate officer or director or otherwise, and may be personally named in such actions and potentially subject to personal liability. Any such liability may or may not be covered by insurance and/or indemnification, depending on the facts and circumstances. The defense or prosecution of these matters could be time-consuming.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w:t>
      </w:r>
    </w:p>
    <w:p>
      <w:pPr>
        <w:spacing w:after="0" w:line="156" w:lineRule="exact"/>
        <w:rPr>
          <w:sz w:val="20"/>
          <w:szCs w:val="20"/>
          <w:color w:val="auto"/>
        </w:rPr>
      </w:pPr>
    </w:p>
    <w:p>
      <w:pPr>
        <w:ind w:left="460" w:right="300"/>
        <w:spacing w:after="0" w:line="289" w:lineRule="auto"/>
        <w:rPr>
          <w:sz w:val="20"/>
          <w:szCs w:val="20"/>
          <w:color w:val="auto"/>
        </w:rPr>
      </w:pPr>
      <w:r>
        <w:rPr>
          <w:rFonts w:ascii="Times New Roman" w:cs="Times New Roman" w:eastAsia="Times New Roman" w:hAnsi="Times New Roman"/>
          <w:sz w:val="15"/>
          <w:szCs w:val="15"/>
          <w:i w:val="1"/>
          <w:iCs w:val="1"/>
          <w:color w:val="auto"/>
        </w:rPr>
        <w:t>Changes in the market for directors and officers liability insurance could make it more difficult and more expensive for us to negotiate and complete an initial business combination.</w:t>
      </w:r>
    </w:p>
    <w:p>
      <w:pPr>
        <w:spacing w:after="0" w:line="133" w:lineRule="exact"/>
        <w:rPr>
          <w:sz w:val="20"/>
          <w:szCs w:val="20"/>
          <w:color w:val="auto"/>
        </w:rPr>
      </w:pPr>
    </w:p>
    <w:p>
      <w:pPr>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51" w:lineRule="exact"/>
        <w:rPr>
          <w:sz w:val="20"/>
          <w:szCs w:val="20"/>
          <w:color w:val="auto"/>
        </w:rPr>
      </w:pPr>
    </w:p>
    <w:p>
      <w:pPr>
        <w:ind w:left="460" w:right="60" w:firstLine="379"/>
        <w:spacing w:after="0" w:line="256" w:lineRule="auto"/>
        <w:rPr>
          <w:sz w:val="20"/>
          <w:szCs w:val="20"/>
          <w:color w:val="auto"/>
        </w:rPr>
      </w:pPr>
      <w:r>
        <w:rPr>
          <w:rFonts w:ascii="Times New Roman" w:cs="Times New Roman" w:eastAsia="Times New Roman" w:hAnsi="Times New Roman"/>
          <w:sz w:val="15"/>
          <w:szCs w:val="15"/>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 -business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58" w:lineRule="exact"/>
        <w:rPr>
          <w:sz w:val="20"/>
          <w:szCs w:val="20"/>
          <w:color w:val="auto"/>
        </w:rPr>
      </w:pPr>
    </w:p>
    <w:p>
      <w:pPr>
        <w:ind w:left="460" w:right="120" w:firstLine="379"/>
        <w:spacing w:after="0" w:line="256" w:lineRule="auto"/>
        <w:rPr>
          <w:sz w:val="20"/>
          <w:szCs w:val="20"/>
          <w:color w:val="auto"/>
        </w:rPr>
      </w:pPr>
      <w:r>
        <w:rPr>
          <w:rFonts w:ascii="Times New Roman" w:cs="Times New Roman" w:eastAsia="Times New Roman" w:hAnsi="Times New Roman"/>
          <w:sz w:val="15"/>
          <w:szCs w:val="15"/>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Our letter agreement with our sponsor, officers and directors may be amended without shareholder approval.</w:t>
      </w:r>
    </w:p>
    <w:p>
      <w:pPr>
        <w:spacing w:after="0" w:line="199"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Our letter agreement with our sponsor, officers and directors contains provisions relating to transfer restrictions of our founder shares, indemnification of the trust account, waiver of redemption rights and participation in liquidating distributions from the trust account. The letter agreement may be amended without shareholder approval with our written consent as well as the written consent of the sponsor and our directors and officers to the extent they are the subject of any change, amendment, modification or waiver to the letter agreement. The written consent of D. Boral Capital LLC as the representative of the underwriters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 dispose of, directly or indirectly, Class A ordinary shares or any other securities convertible into, or exercisable, or exchangeable for, Class A ordinary shares (for more information, also see “</w:t>
      </w:r>
      <w:r>
        <w:rPr>
          <w:rFonts w:ascii="Times New Roman" w:cs="Times New Roman" w:eastAsia="Times New Roman" w:hAnsi="Times New Roman"/>
          <w:sz w:val="15"/>
          <w:szCs w:val="15"/>
          <w:i w:val="1"/>
          <w:iCs w:val="1"/>
          <w:color w:val="auto"/>
        </w:rPr>
        <w:t>Underwriting—Contractual Transfer Restrictions</w:t>
      </w:r>
      <w:r>
        <w:rPr>
          <w:rFonts w:ascii="Times New Roman" w:cs="Times New Roman" w:eastAsia="Times New Roman" w:hAnsi="Times New Roman"/>
          <w:sz w:val="15"/>
          <w:szCs w:val="15"/>
          <w:color w:val="auto"/>
        </w:rPr>
        <w:t>”).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1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96</w:t>
      </w:r>
    </w:p>
    <w:p>
      <w:pPr>
        <w:sectPr>
          <w:pgSz w:w="11900" w:h="16840" w:orient="portrait"/>
          <w:cols w:equalWidth="0" w:num="1">
            <w:col w:w="10100"/>
          </w:cols>
          <w:pgMar w:left="660" w:top="874" w:right="1140" w:bottom="1440" w:gutter="0" w:footer="0" w:header="0"/>
        </w:sectPr>
      </w:pPr>
    </w:p>
    <w:bookmarkStart w:id="107" w:name="page108"/>
    <w:bookmarkEnd w:id="1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80"/>
        <w:spacing w:after="0" w:line="289" w:lineRule="auto"/>
        <w:rPr>
          <w:sz w:val="20"/>
          <w:szCs w:val="20"/>
          <w:color w:val="auto"/>
        </w:rPr>
      </w:pPr>
      <w:r>
        <w:rPr>
          <w:rFonts w:ascii="Times New Roman" w:cs="Times New Roman" w:eastAsia="Times New Roman" w:hAnsi="Times New Roman"/>
          <w:sz w:val="15"/>
          <w:szCs w:val="15"/>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33" w:lineRule="exact"/>
        <w:rPr>
          <w:sz w:val="20"/>
          <w:szCs w:val="20"/>
          <w:color w:val="auto"/>
        </w:rPr>
      </w:pPr>
    </w:p>
    <w:p>
      <w:pPr>
        <w:ind w:left="460" w:right="60" w:firstLine="379"/>
        <w:spacing w:after="0" w:line="259" w:lineRule="auto"/>
        <w:rPr>
          <w:sz w:val="20"/>
          <w:szCs w:val="20"/>
          <w:color w:val="auto"/>
        </w:rPr>
      </w:pPr>
      <w:r>
        <w:rPr>
          <w:rFonts w:ascii="Times New Roman" w:cs="Times New Roman" w:eastAsia="Times New Roman" w:hAnsi="Times New Roman"/>
          <w:sz w:val="15"/>
          <w:szCs w:val="15"/>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56" w:lineRule="exact"/>
        <w:rPr>
          <w:sz w:val="20"/>
          <w:szCs w:val="20"/>
          <w:color w:val="auto"/>
        </w:rPr>
      </w:pPr>
    </w:p>
    <w:p>
      <w:pPr>
        <w:ind w:left="460" w:right="80" w:firstLine="379"/>
        <w:spacing w:after="0" w:line="256" w:lineRule="auto"/>
        <w:rPr>
          <w:sz w:val="20"/>
          <w:szCs w:val="20"/>
          <w:color w:val="auto"/>
        </w:rPr>
      </w:pPr>
      <w:r>
        <w:rPr>
          <w:rFonts w:ascii="Times New Roman" w:cs="Times New Roman" w:eastAsia="Times New Roman" w:hAnsi="Times New Roman"/>
          <w:sz w:val="15"/>
          <w:szCs w:val="15"/>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For a more detailed discussion, see the section of this prospectus captioned “</w:t>
      </w:r>
      <w:r>
        <w:rPr>
          <w:rFonts w:ascii="Times New Roman" w:cs="Times New Roman" w:eastAsia="Times New Roman" w:hAnsi="Times New Roman"/>
          <w:sz w:val="15"/>
          <w:szCs w:val="15"/>
          <w:i w:val="1"/>
          <w:iCs w:val="1"/>
          <w:color w:val="auto"/>
        </w:rPr>
        <w:t>Description of Securities — Certain Differences in Corporate Law</w:t>
      </w:r>
      <w:r>
        <w:rPr>
          <w:rFonts w:ascii="Times New Roman" w:cs="Times New Roman" w:eastAsia="Times New Roman" w:hAnsi="Times New Roman"/>
          <w:sz w:val="15"/>
          <w:szCs w:val="15"/>
          <w:color w:val="auto"/>
        </w:rPr>
        <w:t>.”</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Risks Relating to Our Securities</w:t>
      </w:r>
    </w:p>
    <w:p>
      <w:pPr>
        <w:spacing w:after="0" w:line="100" w:lineRule="exact"/>
        <w:rPr>
          <w:sz w:val="20"/>
          <w:szCs w:val="20"/>
          <w:color w:val="auto"/>
        </w:rPr>
      </w:pPr>
    </w:p>
    <w:p>
      <w:pPr>
        <w:ind w:left="460" w:right="20"/>
        <w:spacing w:after="0" w:line="289" w:lineRule="auto"/>
        <w:rPr>
          <w:sz w:val="20"/>
          <w:szCs w:val="20"/>
          <w:color w:val="auto"/>
        </w:rPr>
      </w:pPr>
      <w:r>
        <w:rPr>
          <w:rFonts w:ascii="Times New Roman" w:cs="Times New Roman" w:eastAsia="Times New Roman" w:hAnsi="Times New Roman"/>
          <w:sz w:val="15"/>
          <w:szCs w:val="15"/>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33"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 -rata share of the proceeds held in the trust account, plus any interest income, net of permitted withdrawals (less, in the case we are unable to complete our initial business combination, of up to $100,000 of interest). Negative interest rates could reduce the value of the assets held in trust such that the per-share redemption amount received by public shareholders may be less than $10.00 per share.</w:t>
      </w:r>
    </w:p>
    <w:p>
      <w:pPr>
        <w:spacing w:after="0" w:line="161" w:lineRule="exact"/>
        <w:rPr>
          <w:sz w:val="20"/>
          <w:szCs w:val="20"/>
          <w:color w:val="auto"/>
        </w:rPr>
      </w:pPr>
    </w:p>
    <w:p>
      <w:pPr>
        <w:ind w:left="460"/>
        <w:spacing w:after="0" w:line="289" w:lineRule="auto"/>
        <w:rPr>
          <w:sz w:val="20"/>
          <w:szCs w:val="20"/>
          <w:color w:val="auto"/>
        </w:rPr>
      </w:pPr>
      <w:r>
        <w:rPr>
          <w:rFonts w:ascii="Times New Roman" w:cs="Times New Roman" w:eastAsia="Times New Roman" w:hAnsi="Times New Roman"/>
          <w:sz w:val="15"/>
          <w:szCs w:val="15"/>
          <w:i w:val="1"/>
          <w:i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33"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Our public shareholders shall be entitled to receive funds from the trust account only (i) in the event of a redemption to public shareholders prior to any winding up in the event we do not consummate our initial business combination or our liquidation, (ii) if they redeem their shares in connection with an initial business combination that we consummate or, (iii) if they redeem their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our pre-business combination activity and related shareholders’ rights. In no other circumstances will a shareholder have any right or interest of any kind to the funds in the trust account. Accordingly, to liquidate your investment, you may be forced to sell your securities, potentially at a loss.</w:t>
      </w:r>
    </w:p>
    <w:p>
      <w:pPr>
        <w:spacing w:after="0" w:line="1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97</w:t>
      </w:r>
    </w:p>
    <w:p>
      <w:pPr>
        <w:sectPr>
          <w:pgSz w:w="11900" w:h="16840" w:orient="portrait"/>
          <w:cols w:equalWidth="0" w:num="1">
            <w:col w:w="10100"/>
          </w:cols>
          <w:pgMar w:left="660" w:top="874" w:right="1140" w:bottom="1440" w:gutter="0" w:footer="0" w:header="0"/>
        </w:sectPr>
      </w:pPr>
    </w:p>
    <w:bookmarkStart w:id="108" w:name="page109"/>
    <w:bookmarkEnd w:id="1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140"/>
        <w:spacing w:after="0" w:line="289" w:lineRule="auto"/>
        <w:rPr>
          <w:sz w:val="20"/>
          <w:szCs w:val="20"/>
          <w:color w:val="auto"/>
        </w:rPr>
      </w:pPr>
      <w:r>
        <w:rPr>
          <w:rFonts w:ascii="Times New Roman" w:cs="Times New Roman" w:eastAsia="Times New Roman" w:hAnsi="Times New Roman"/>
          <w:sz w:val="15"/>
          <w:szCs w:val="15"/>
          <w:i w:val="1"/>
          <w:iCs w:val="1"/>
          <w:color w:val="auto"/>
        </w:rPr>
        <w:t>Nasdaq may delist our securities from trading on its exchange, which could limit investors’ ability to make transactions in our securities and subject us to additional trading restrictions.</w:t>
      </w:r>
    </w:p>
    <w:p>
      <w:pPr>
        <w:spacing w:after="0" w:line="133" w:lineRule="exact"/>
        <w:rPr>
          <w:sz w:val="20"/>
          <w:szCs w:val="20"/>
          <w:color w:val="auto"/>
        </w:rPr>
      </w:pPr>
    </w:p>
    <w:p>
      <w:pPr>
        <w:ind w:left="460" w:right="100" w:firstLine="379"/>
        <w:spacing w:after="0" w:line="250" w:lineRule="auto"/>
        <w:rPr>
          <w:sz w:val="20"/>
          <w:szCs w:val="20"/>
          <w:color w:val="auto"/>
        </w:rPr>
      </w:pPr>
      <w:r>
        <w:rPr>
          <w:rFonts w:ascii="Times New Roman" w:cs="Times New Roman" w:eastAsia="Times New Roman" w:hAnsi="Times New Roman"/>
          <w:sz w:val="15"/>
          <w:szCs w:val="15"/>
          <w:color w:val="auto"/>
        </w:rPr>
        <w:t>We have applied to have our public units listed on Nasdaq. We expect that our public units will be listed on Nasdaq on or promptly after the date of this prospectus. Following the date our public shares and public rights are eligible to trade separately, we anticipate that our public shares and public rights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initial public offering, we must maintain an average market value of listed securities (generally $50,000,000) and a minimum number of holders of our securities (generally 300 public shareholders).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unless we decide to list on a different Nasdaq tier, such as the Nasdaq Capital Market which has different initial listing requirements, our share price would generally be required to be at least $4.00 per share and we would be required to have a minimum of 400 round lot holders of our securities. We may not be able to meet those initial listing requirements at that time.</w:t>
      </w:r>
    </w:p>
    <w:p>
      <w:pPr>
        <w:spacing w:after="0" w:line="165" w:lineRule="exact"/>
        <w:rPr>
          <w:sz w:val="20"/>
          <w:szCs w:val="20"/>
          <w:color w:val="auto"/>
        </w:rPr>
      </w:pPr>
    </w:p>
    <w:p>
      <w:pPr>
        <w:ind w:left="460" w:right="340" w:firstLine="379"/>
        <w:spacing w:after="0" w:line="265" w:lineRule="auto"/>
        <w:rPr>
          <w:sz w:val="20"/>
          <w:szCs w:val="20"/>
          <w:color w:val="auto"/>
        </w:rPr>
      </w:pPr>
      <w:r>
        <w:rPr>
          <w:rFonts w:ascii="Times New Roman" w:cs="Times New Roman" w:eastAsia="Times New Roman" w:hAnsi="Times New Roman"/>
          <w:sz w:val="15"/>
          <w:szCs w:val="15"/>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0" w:lineRule="exact"/>
        <w:rPr>
          <w:sz w:val="20"/>
          <w:szCs w:val="20"/>
          <w:color w:val="auto"/>
        </w:rPr>
      </w:pPr>
    </w:p>
    <w:p>
      <w:pPr>
        <w:ind w:left="1300" w:hanging="371"/>
        <w:spacing w:after="0"/>
        <w:tabs>
          <w:tab w:leader="none" w:pos="13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limited availability of market quotations for our securities;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liquidity for our securities;</w:t>
      </w:r>
    </w:p>
    <w:p>
      <w:pPr>
        <w:spacing w:after="0" w:line="123" w:lineRule="exact"/>
        <w:rPr>
          <w:rFonts w:ascii="Times New Roman" w:cs="Times New Roman" w:eastAsia="Times New Roman" w:hAnsi="Times New Roman"/>
          <w:sz w:val="15"/>
          <w:szCs w:val="15"/>
          <w:color w:val="auto"/>
        </w:rPr>
      </w:pPr>
    </w:p>
    <w:p>
      <w:pPr>
        <w:ind w:left="1300" w:right="200" w:hanging="371"/>
        <w:spacing w:after="0" w:line="284" w:lineRule="auto"/>
        <w:tabs>
          <w:tab w:leader="none" w:pos="13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determination that our public shares is a “penny stock” which will require brokers trading in our public shares to adhere to more stringent rules and possibly result in a reduced level of trading activity in the secondary trading market for our securities;</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limited amount of news and analyst coverage;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decreased ability to issue additional securities or obtain additional financing in the future.</w:t>
      </w:r>
    </w:p>
    <w:p>
      <w:pPr>
        <w:spacing w:after="0" w:line="195"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The National Securities Markets Improvement Act of 1996, which is a federal statute, prevents or preempts the states from regulating the sale of certain securities, which are referred to as “covered securities.” Because we expect that our public units and eventually our public shares and public rights will be listed on Nasdaq, our public units, public shares, and public rights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You will not be entitled to protections normally afforded to investors of many other blank check companies.</w:t>
      </w:r>
    </w:p>
    <w:p>
      <w:pPr>
        <w:spacing w:after="0" w:line="199" w:lineRule="exact"/>
        <w:rPr>
          <w:sz w:val="20"/>
          <w:szCs w:val="20"/>
          <w:color w:val="auto"/>
        </w:rPr>
      </w:pPr>
    </w:p>
    <w:p>
      <w:pPr>
        <w:ind w:left="460" w:right="100" w:firstLine="379"/>
        <w:spacing w:after="0" w:line="284" w:lineRule="auto"/>
        <w:rPr>
          <w:sz w:val="20"/>
          <w:szCs w:val="20"/>
          <w:color w:val="auto"/>
        </w:rPr>
      </w:pPr>
      <w:r>
        <w:rPr>
          <w:rFonts w:ascii="Times New Roman" w:cs="Times New Roman" w:eastAsia="Times New Roman" w:hAnsi="Times New Roman"/>
          <w:sz w:val="15"/>
          <w:szCs w:val="15"/>
          <w:color w:val="auto"/>
        </w:rPr>
        <w:t>Since the net proceeds of this offering and the sale of the private placement units are intended to be used to complete an initial business combination with a target business that has not been selected, we may be deemed to</w:t>
      </w:r>
    </w:p>
    <w:p>
      <w:pPr>
        <w:spacing w:after="0" w:line="1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98</w:t>
      </w:r>
    </w:p>
    <w:p>
      <w:pPr>
        <w:sectPr>
          <w:pgSz w:w="11900" w:h="16840" w:orient="portrait"/>
          <w:cols w:equalWidth="0" w:num="1">
            <w:col w:w="10080"/>
          </w:cols>
          <w:pgMar w:left="660" w:top="874" w:right="1160" w:bottom="1440" w:gutter="0" w:footer="0" w:header="0"/>
        </w:sectPr>
      </w:pPr>
    </w:p>
    <w:bookmarkStart w:id="109" w:name="page110"/>
    <w:bookmarkEnd w:id="1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5"/>
          <w:szCs w:val="15"/>
          <w:color w:val="auto"/>
        </w:rPr>
        <w:t>be a “blank check” company under the United States securities laws. However, we are exempt from rules promulgated by the SEC to protect investors in blank check companies, such as Rule 419. Accordingly, investors will not be afforded the benefits or protections of those rules. Among other things, this means our units will be immediately tradable and we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spacing w:after="0" w:line="156" w:lineRule="exact"/>
        <w:rPr>
          <w:sz w:val="20"/>
          <w:szCs w:val="20"/>
          <w:color w:val="auto"/>
        </w:rPr>
      </w:pPr>
    </w:p>
    <w:p>
      <w:pPr>
        <w:ind w:left="460" w:right="240"/>
        <w:spacing w:after="0" w:line="289" w:lineRule="auto"/>
        <w:rPr>
          <w:sz w:val="20"/>
          <w:szCs w:val="20"/>
          <w:color w:val="auto"/>
        </w:rPr>
      </w:pPr>
      <w:r>
        <w:rPr>
          <w:rFonts w:ascii="Times New Roman" w:cs="Times New Roman" w:eastAsia="Times New Roman" w:hAnsi="Times New Roman"/>
          <w:sz w:val="15"/>
          <w:szCs w:val="15"/>
          <w:i w:val="1"/>
          <w:iCs w:val="1"/>
          <w:color w:val="auto"/>
        </w:rPr>
        <w:t>Purchases of public shares on the open market or in privately negotiated transactions by our sponsor, directors, executive officers, or their affiliates may make it difficult for us to maintain the listing of our public shares on Nasdaq following the consummation of an initial business combination.</w:t>
      </w:r>
    </w:p>
    <w:p>
      <w:pPr>
        <w:spacing w:after="0" w:line="39" w:lineRule="exact"/>
        <w:rPr>
          <w:sz w:val="20"/>
          <w:szCs w:val="20"/>
          <w:color w:val="auto"/>
        </w:rPr>
      </w:pPr>
    </w:p>
    <w:p>
      <w:pPr>
        <w:ind w:left="460" w:firstLine="379"/>
        <w:spacing w:after="0" w:line="249" w:lineRule="auto"/>
        <w:rPr>
          <w:sz w:val="20"/>
          <w:szCs w:val="20"/>
          <w:color w:val="auto"/>
        </w:rPr>
      </w:pPr>
      <w:r>
        <w:rPr>
          <w:rFonts w:ascii="Times New Roman" w:cs="Times New Roman" w:eastAsia="Times New Roman" w:hAnsi="Times New Roman"/>
          <w:sz w:val="15"/>
          <w:szCs w:val="15"/>
          <w:color w:val="auto"/>
        </w:rPr>
        <w:t>If our sponsor, directors, executive officers, or their affiliates purchase public shares on the open market or in privately negotiated transactions, the public “float” of our public shares and the number of beneficial holders of our securities would both be reduced, possibly making it difficult to maintain the listing or trading of our securities on Nasdaq following consummation of the initial business combination. Additionally, at any time at or prior to the completion of our initial business combination, subject to applicable securities laws (including with respect to material nonpublic information), our initial shareholders, directors, executive officers, or their affiliates may enter into transactions with investors and others to provide them with incentives to acquire public shares or not redeem their public shares. Such a purchase may include a contractual acknowledgment that such shareholder, although still the record holder of our shares is no longer the beneficial owner thereof and therefore agrees not to exercise its redemption rights. In the event that our initial shareholders, directors, officers, and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It is intended that, if Rule 10b- 18 would apply to purchases by our initial shareholders, directors, officers, and their affiliates, then such purchases will comply with Rule 10b-18 under the Exchange Act, to the extent it applies, which provides a safe harbor for purchases made under certain conditions, including with respect to timing, pricing and volume of purchases.</w:t>
      </w:r>
    </w:p>
    <w:p>
      <w:pPr>
        <w:spacing w:after="0" w:line="170" w:lineRule="exact"/>
        <w:rPr>
          <w:sz w:val="20"/>
          <w:szCs w:val="20"/>
          <w:color w:val="auto"/>
        </w:rPr>
      </w:pPr>
    </w:p>
    <w:p>
      <w:pPr>
        <w:ind w:left="460" w:right="100" w:firstLine="379"/>
        <w:spacing w:after="0" w:line="256" w:lineRule="auto"/>
        <w:rPr>
          <w:sz w:val="20"/>
          <w:szCs w:val="20"/>
          <w:color w:val="auto"/>
        </w:rPr>
      </w:pPr>
      <w:r>
        <w:rPr>
          <w:rFonts w:ascii="Times New Roman" w:cs="Times New Roman" w:eastAsia="Times New Roman" w:hAnsi="Times New Roman"/>
          <w:sz w:val="15"/>
          <w:szCs w:val="15"/>
          <w:color w:val="auto"/>
        </w:rPr>
        <w:t>There is no limit on the number of shares our initial shareholders,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public shares in such transactions. Such persons will be subject to restrictions in making any such purchases when they are in possession of any material non-public information not disclosed to the seller or if such purchases are prohibited by Regulation M under the Exchange Act.</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purpose of any such purchases of shares could be to (i) increase the likelihood of obtaining shareholder approval of the business combination or</w:t>
      </w:r>
    </w:p>
    <w:p>
      <w:pPr>
        <w:spacing w:after="0" w:line="21" w:lineRule="exact"/>
        <w:rPr>
          <w:sz w:val="20"/>
          <w:szCs w:val="20"/>
          <w:color w:val="auto"/>
        </w:rPr>
      </w:pPr>
    </w:p>
    <w:p>
      <w:pPr>
        <w:ind w:left="460" w:right="60" w:hanging="5"/>
        <w:spacing w:after="0" w:line="254" w:lineRule="auto"/>
        <w:tabs>
          <w:tab w:leader="none" w:pos="687"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satisfy a closing condition in an agreement with a target that requires us to have a minimum net worth or a certain amount of cash at the closing of the business combination, where it appears that such requirement would otherwise not be met. Any such transactions may result in the completion of our business combination that may not otherwise have been possible.</w:t>
      </w:r>
    </w:p>
    <w:p>
      <w:pPr>
        <w:spacing w:after="0" w:line="159" w:lineRule="exact"/>
        <w:rPr>
          <w:sz w:val="20"/>
          <w:szCs w:val="20"/>
          <w:color w:val="auto"/>
        </w:rPr>
      </w:pPr>
    </w:p>
    <w:p>
      <w:pPr>
        <w:ind w:left="460" w:right="80" w:firstLine="379"/>
        <w:spacing w:after="0" w:line="284" w:lineRule="auto"/>
        <w:rPr>
          <w:sz w:val="20"/>
          <w:szCs w:val="20"/>
          <w:color w:val="auto"/>
        </w:rPr>
      </w:pPr>
      <w:r>
        <w:rPr>
          <w:rFonts w:ascii="Times New Roman" w:cs="Times New Roman" w:eastAsia="Times New Roman" w:hAnsi="Times New Roman"/>
          <w:sz w:val="15"/>
          <w:szCs w:val="15"/>
          <w:color w:val="auto"/>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99</w:t>
      </w:r>
    </w:p>
    <w:p>
      <w:pPr>
        <w:sectPr>
          <w:pgSz w:w="11900" w:h="16840" w:orient="portrait"/>
          <w:cols w:equalWidth="0" w:num="1">
            <w:col w:w="10140"/>
          </w:cols>
          <w:pgMar w:left="660" w:top="874" w:right="1100" w:bottom="1440" w:gutter="0" w:footer="0" w:header="0"/>
        </w:sectPr>
      </w:pPr>
    </w:p>
    <w:bookmarkStart w:id="110" w:name="page111"/>
    <w:bookmarkEnd w:id="1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80" w:firstLine="379"/>
        <w:spacing w:after="0" w:line="251" w:lineRule="auto"/>
        <w:rPr>
          <w:sz w:val="20"/>
          <w:szCs w:val="20"/>
          <w:color w:val="auto"/>
        </w:rPr>
      </w:pPr>
      <w:r>
        <w:rPr>
          <w:rFonts w:ascii="Times New Roman" w:cs="Times New Roman" w:eastAsia="Times New Roman" w:hAnsi="Times New Roman"/>
          <w:sz w:val="15"/>
          <w:szCs w:val="15"/>
          <w:color w:val="auto"/>
        </w:rPr>
        <w:t>Our initial shareholders, directors, officers, and/or their affiliates anticipate that they may identify the shareholders with whom our initial shareholders, directors, officers, or their affiliates may pursue privately negotiated purchases by either the shareholders contacting us directly or by our receipt of redemption requests submitted by shareholders (holding public shares) following our mailing of proxy materials in connection with our initial business combination. To the extent that our initial shareholders, directors, officers, or their affiliates enter into a private purchase, they would identify and contact only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initial shareholders, directors, officers,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165"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Any purchases by our initial shareholders, directors, officers, and/or their affiliates who are affiliated purchasers under Rule10b-18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initial shareholders, directors, officers, and/or their affiliates will be subject to restrictions in making purchases of ordinary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160"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Additionally, in the event our initial shareholders, directors, officers, or their affiliates were to purchase public shares from public shareholders, such purchases would be structured in compliance with the requirements of Rule 14e-5 under the Exchange Act including, in pertinent part, through adherence to the following:</w:t>
      </w:r>
    </w:p>
    <w:p>
      <w:pPr>
        <w:spacing w:after="0" w:line="80" w:lineRule="exact"/>
        <w:rPr>
          <w:sz w:val="20"/>
          <w:szCs w:val="20"/>
          <w:color w:val="auto"/>
        </w:rPr>
      </w:pPr>
    </w:p>
    <w:p>
      <w:pPr>
        <w:ind w:left="1300" w:right="340" w:hanging="371"/>
        <w:spacing w:after="0" w:line="265" w:lineRule="auto"/>
        <w:tabs>
          <w:tab w:leader="none" w:pos="13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registration statement/proxy statement filed for our business combination transaction would disclose the possibility that our initial shareholders, directors, officers, and their affiliates may purchase public shares from public shareholders outside the redemption process, along with the purpose of such purchases;</w:t>
      </w:r>
    </w:p>
    <w:p>
      <w:pPr>
        <w:spacing w:after="0" w:line="80" w:lineRule="exact"/>
        <w:rPr>
          <w:rFonts w:ascii="Times New Roman" w:cs="Times New Roman" w:eastAsia="Times New Roman" w:hAnsi="Times New Roman"/>
          <w:sz w:val="15"/>
          <w:szCs w:val="15"/>
          <w:color w:val="auto"/>
        </w:rPr>
      </w:pPr>
    </w:p>
    <w:p>
      <w:pPr>
        <w:ind w:left="1300" w:right="80" w:hanging="371"/>
        <w:spacing w:after="0" w:line="284" w:lineRule="auto"/>
        <w:tabs>
          <w:tab w:leader="none" w:pos="13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our initial shareholders, directors, officers, and their affiliates were to purchase public shares from public shareholders, they would do so at a price no higher than the price offered through our redemption process;</w:t>
      </w:r>
    </w:p>
    <w:p>
      <w:pPr>
        <w:spacing w:after="0" w:line="65" w:lineRule="exact"/>
        <w:rPr>
          <w:rFonts w:ascii="Times New Roman" w:cs="Times New Roman" w:eastAsia="Times New Roman" w:hAnsi="Times New Roman"/>
          <w:sz w:val="15"/>
          <w:szCs w:val="15"/>
          <w:color w:val="auto"/>
        </w:rPr>
      </w:pPr>
    </w:p>
    <w:p>
      <w:pPr>
        <w:ind w:left="1300" w:right="160" w:hanging="371"/>
        <w:spacing w:after="0" w:line="265" w:lineRule="auto"/>
        <w:tabs>
          <w:tab w:leader="none" w:pos="13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registration statement/proxy statement filed for our business combination transaction would include a representation that any of our securities purchased by our initial shareholders, directors, officers, and their affiliates would not be voted in favor of approving the business combination transaction;</w:t>
      </w:r>
    </w:p>
    <w:p>
      <w:pPr>
        <w:spacing w:after="0" w:line="80" w:lineRule="exact"/>
        <w:rPr>
          <w:rFonts w:ascii="Times New Roman" w:cs="Times New Roman" w:eastAsia="Times New Roman" w:hAnsi="Times New Roman"/>
          <w:sz w:val="15"/>
          <w:szCs w:val="15"/>
          <w:color w:val="auto"/>
        </w:rPr>
      </w:pPr>
    </w:p>
    <w:p>
      <w:pPr>
        <w:ind w:left="1300" w:hanging="371"/>
        <w:spacing w:after="0" w:line="284" w:lineRule="auto"/>
        <w:tabs>
          <w:tab w:leader="none" w:pos="13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initial shareholders, directors, officers, and their affiliates would not possess any redemption rights with respect to our securities or, if they do acquire and possess redemption rights, they would waive such rights; and</w:t>
      </w:r>
    </w:p>
    <w:p>
      <w:pPr>
        <w:spacing w:after="0" w:line="65" w:lineRule="exact"/>
        <w:rPr>
          <w:rFonts w:ascii="Times New Roman" w:cs="Times New Roman" w:eastAsia="Times New Roman" w:hAnsi="Times New Roman"/>
          <w:sz w:val="15"/>
          <w:szCs w:val="15"/>
          <w:color w:val="auto"/>
        </w:rPr>
      </w:pPr>
    </w:p>
    <w:p>
      <w:pPr>
        <w:ind w:left="1300" w:right="80" w:hanging="371"/>
        <w:spacing w:after="0" w:line="284" w:lineRule="auto"/>
        <w:tabs>
          <w:tab w:leader="none" w:pos="13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would disclose in a Form 8-K, before our security holder meeting to approve the business combination transaction, the following material items:</w:t>
      </w:r>
    </w:p>
    <w:p>
      <w:pPr>
        <w:spacing w:after="0" w:line="65" w:lineRule="exact"/>
        <w:rPr>
          <w:rFonts w:ascii="Times New Roman" w:cs="Times New Roman" w:eastAsia="Times New Roman" w:hAnsi="Times New Roman"/>
          <w:sz w:val="15"/>
          <w:szCs w:val="15"/>
          <w:color w:val="auto"/>
        </w:rPr>
      </w:pPr>
    </w:p>
    <w:p>
      <w:pPr>
        <w:ind w:left="1300" w:right="20" w:hanging="371"/>
        <w:spacing w:after="0" w:line="284" w:lineRule="auto"/>
        <w:tabs>
          <w:tab w:leader="none" w:pos="13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our securities purchased outside of the redemption offer by our initial shareholders, directors, officers, and their affiliates, along with the purchase price;</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purpose of the purchases by our initial shareholders, directors, officers, and their affiliates;</w:t>
      </w:r>
    </w:p>
    <w:p>
      <w:pPr>
        <w:spacing w:after="0" w:line="123" w:lineRule="exact"/>
        <w:rPr>
          <w:rFonts w:ascii="Times New Roman" w:cs="Times New Roman" w:eastAsia="Times New Roman" w:hAnsi="Times New Roman"/>
          <w:sz w:val="15"/>
          <w:szCs w:val="15"/>
          <w:color w:val="auto"/>
        </w:rPr>
      </w:pPr>
    </w:p>
    <w:p>
      <w:pPr>
        <w:ind w:left="1300" w:right="480" w:hanging="371"/>
        <w:spacing w:after="0" w:line="284" w:lineRule="auto"/>
        <w:tabs>
          <w:tab w:leader="none" w:pos="13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if any, of the purchases by our initial shareholders, directors, officers, and their affiliates on the likelihood that the business combination transaction will be approved;</w:t>
      </w:r>
    </w:p>
    <w:p>
      <w:pPr>
        <w:spacing w:after="0" w:line="1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100</w:t>
      </w:r>
    </w:p>
    <w:p>
      <w:pPr>
        <w:sectPr>
          <w:pgSz w:w="11900" w:h="16840" w:orient="portrait"/>
          <w:cols w:equalWidth="0" w:num="1">
            <w:col w:w="10080"/>
          </w:cols>
          <w:pgMar w:left="660" w:top="874" w:right="1160" w:bottom="1440" w:gutter="0" w:footer="0" w:header="0"/>
        </w:sectPr>
      </w:pPr>
    </w:p>
    <w:bookmarkStart w:id="111" w:name="page112"/>
    <w:bookmarkEnd w:id="1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right="160" w:hanging="371"/>
        <w:spacing w:after="0" w:line="265" w:lineRule="auto"/>
        <w:tabs>
          <w:tab w:leader="none" w:pos="13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identities of our security holders who sold to our initial shareholders, directors, officers, and their affiliates (if not purchased on the open market) or the nature of our security holders (e.g., 5% security holders) who sold to our initial shareholders, directors, officers, and their affiliates; and</w:t>
      </w:r>
    </w:p>
    <w:p>
      <w:pPr>
        <w:spacing w:after="0" w:line="80"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our securities for which we have received redemption requests pursuant to our redemption offer.</w:t>
      </w:r>
    </w:p>
    <w:p>
      <w:pPr>
        <w:spacing w:after="0" w:line="191" w:lineRule="exact"/>
        <w:rPr>
          <w:sz w:val="20"/>
          <w:szCs w:val="20"/>
          <w:color w:val="auto"/>
        </w:rPr>
      </w:pPr>
    </w:p>
    <w:p>
      <w:pPr>
        <w:jc w:val="both"/>
        <w:ind w:left="460" w:right="100"/>
        <w:spacing w:after="0" w:line="268" w:lineRule="auto"/>
        <w:rPr>
          <w:sz w:val="20"/>
          <w:szCs w:val="20"/>
          <w:color w:val="auto"/>
        </w:rPr>
      </w:pPr>
      <w:r>
        <w:rPr>
          <w:rFonts w:ascii="Times New Roman" w:cs="Times New Roman" w:eastAsia="Times New Roman" w:hAnsi="Times New Roman"/>
          <w:sz w:val="15"/>
          <w:szCs w:val="15"/>
          <w:i w:val="1"/>
          <w:iCs w:val="1"/>
          <w:color w:val="auto"/>
        </w:rPr>
        <w:t>Since only holders of our founder shares and private investor shares will have the right to vote on the appointment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p>
    <w:p>
      <w:pPr>
        <w:spacing w:after="0" w:line="149"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After completion of this offering, only holders of our founder shares and private investor shares will have the right to vote on the appointment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spacing w:after="0" w:line="85" w:lineRule="exact"/>
        <w:rPr>
          <w:sz w:val="20"/>
          <w:szCs w:val="20"/>
          <w:color w:val="auto"/>
        </w:rPr>
      </w:pPr>
    </w:p>
    <w:p>
      <w:pPr>
        <w:ind w:left="1300" w:hanging="371"/>
        <w:spacing w:after="0"/>
        <w:tabs>
          <w:tab w:leader="none" w:pos="13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board that includes a majority of “independent directors,” as defined under Nasdaq rules;</w:t>
      </w:r>
    </w:p>
    <w:p>
      <w:pPr>
        <w:spacing w:after="0" w:line="123" w:lineRule="exact"/>
        <w:rPr>
          <w:rFonts w:ascii="Times New Roman" w:cs="Times New Roman" w:eastAsia="Times New Roman" w:hAnsi="Times New Roman"/>
          <w:sz w:val="15"/>
          <w:szCs w:val="15"/>
          <w:color w:val="auto"/>
        </w:rPr>
      </w:pPr>
    </w:p>
    <w:p>
      <w:pPr>
        <w:ind w:left="1300" w:right="380" w:hanging="371"/>
        <w:spacing w:after="0" w:line="284" w:lineRule="auto"/>
        <w:tabs>
          <w:tab w:leader="none" w:pos="13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compensation committee of our board that is comprised entirely of independent directors with a written charter addressing the committee’s purpose and responsibilities; and</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independent director oversight of our director nominations.</w:t>
      </w:r>
    </w:p>
    <w:p>
      <w:pPr>
        <w:spacing w:after="0" w:line="195" w:lineRule="exact"/>
        <w:rPr>
          <w:sz w:val="20"/>
          <w:szCs w:val="20"/>
          <w:color w:val="auto"/>
        </w:rPr>
      </w:pPr>
    </w:p>
    <w:p>
      <w:pPr>
        <w:ind w:left="460" w:right="420" w:firstLine="379"/>
        <w:spacing w:after="0" w:line="265" w:lineRule="auto"/>
        <w:rPr>
          <w:sz w:val="20"/>
          <w:szCs w:val="20"/>
          <w:color w:val="auto"/>
        </w:rPr>
      </w:pPr>
      <w:r>
        <w:rPr>
          <w:rFonts w:ascii="Times New Roman" w:cs="Times New Roman" w:eastAsia="Times New Roman" w:hAnsi="Times New Roman"/>
          <w:sz w:val="15"/>
          <w:szCs w:val="15"/>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w:t>
      </w:r>
    </w:p>
    <w:p>
      <w:pPr>
        <w:spacing w:after="0" w:line="147" w:lineRule="exact"/>
        <w:rPr>
          <w:sz w:val="20"/>
          <w:szCs w:val="20"/>
          <w:color w:val="auto"/>
        </w:rPr>
      </w:pPr>
    </w:p>
    <w:p>
      <w:pPr>
        <w:ind w:left="460" w:right="60"/>
        <w:spacing w:after="0" w:line="255" w:lineRule="auto"/>
        <w:rPr>
          <w:sz w:val="20"/>
          <w:szCs w:val="20"/>
          <w:color w:val="auto"/>
        </w:rPr>
      </w:pPr>
      <w:r>
        <w:rPr>
          <w:rFonts w:ascii="Times New Roman" w:cs="Times New Roman" w:eastAsia="Times New Roman" w:hAnsi="Times New Roman"/>
          <w:sz w:val="15"/>
          <w:szCs w:val="15"/>
          <w:i w:val="1"/>
          <w:iCs w:val="1"/>
          <w:color w:val="auto"/>
        </w:rPr>
        <w:t>Because our sponsor paid an aggregate of $2,626, or $ 0.000434 per founder share (assuming the full exercise of the over-allotment option and after giving effect to the sales of shares to four of our directors and Lynrock), our four directors paid an aggregate of $9,244, or $0.02462 per founder share, and Lynrock paid an aggregate of $13,130, or $ 0.00927 per share, and, concurrent with the consummation of this offering, the non-managing investors will purchase 2,964,203 private investor shares at a purchase price of $0.023254 per private investor share, and our insiders and the non-managing investors will purchase 337,675 private placement units at a purchase price of $9.7374 per private placement unit, you will experience immediate and substantial dilution from the purchase of our public shares.</w:t>
      </w:r>
    </w:p>
    <w:p>
      <w:pPr>
        <w:spacing w:after="0" w:line="160"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The difference between the public offering price per share and the pro forma net tangible book value per public share after this offering constitutes the dilution to you and the other investors in this offering. Our sponsor acquired the founder shares at a nominal price of $0.000434 per founder share, our directors will pay $0.02462 per founder share, and Lynrock will pay $0.00927 per founder share, and concurrent with the consummation of this offering, the non-managing investors will purchase 2,964,203 private investor shares at a purchase price of $0.023254 per private investor share, and our insiders, Lynrock and the non-managing investors will purchase 337,675 private placement units at a purchase price of $9.7374 per private placement unit, contributing to this dilution. Upon closing of this offering, and assuming that the underwriters do not exercise the over-allotment option, you and the other public shareholders will incur an immediate and substantial dilution of approximately 98.9% or $9.89 per share (the difference between the pro forma net tangible book value of $0.11 per share and the initial offering price of $10.00 per share).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w:t>
      </w:r>
    </w:p>
    <w:p>
      <w:pPr>
        <w:spacing w:after="0" w:line="30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101</w:t>
      </w:r>
    </w:p>
    <w:p>
      <w:pPr>
        <w:sectPr>
          <w:pgSz w:w="11900" w:h="16840" w:orient="portrait"/>
          <w:cols w:equalWidth="0" w:num="1">
            <w:col w:w="10100"/>
          </w:cols>
          <w:pgMar w:left="660" w:top="874" w:right="1140" w:bottom="1440" w:gutter="0" w:footer="0" w:header="0"/>
        </w:sectPr>
      </w:pPr>
    </w:p>
    <w:bookmarkStart w:id="112" w:name="page113"/>
    <w:bookmarkEnd w:id="1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9" w:lineRule="auto"/>
        <w:rPr>
          <w:sz w:val="20"/>
          <w:szCs w:val="20"/>
          <w:color w:val="auto"/>
        </w:rPr>
      </w:pPr>
      <w:r>
        <w:rPr>
          <w:rFonts w:ascii="Times New Roman" w:cs="Times New Roman" w:eastAsia="Times New Roman" w:hAnsi="Times New Roman"/>
          <w:sz w:val="15"/>
          <w:szCs w:val="15"/>
          <w:color w:val="auto"/>
        </w:rPr>
        <w:t>addition, because of the anti-dilution protection in the founder shares, any equity or equity-linked securities issued in connection with our initial business combination would be disproportionately dilutive to our Class A ordinary shares. Moreover, although we are of the view that our sponsor, directors and officers paid fair value for the founder shares, there is no assurance that a taxing authority would agree with us, and if a taxing authority were to successfully assert otherwise, we may be subject to material withholding and other tax liabilities that could adversely affect our financial condition.</w:t>
      </w:r>
    </w:p>
    <w:p>
      <w:pPr>
        <w:spacing w:after="0" w:line="152" w:lineRule="exact"/>
        <w:rPr>
          <w:sz w:val="20"/>
          <w:szCs w:val="20"/>
          <w:color w:val="auto"/>
        </w:rPr>
      </w:pPr>
    </w:p>
    <w:p>
      <w:pPr>
        <w:ind w:left="460" w:right="220"/>
        <w:spacing w:after="0" w:line="261" w:lineRule="auto"/>
        <w:rPr>
          <w:sz w:val="20"/>
          <w:szCs w:val="20"/>
          <w:color w:val="auto"/>
        </w:rPr>
      </w:pPr>
      <w:r>
        <w:rPr>
          <w:rFonts w:ascii="Times New Roman" w:cs="Times New Roman" w:eastAsia="Times New Roman" w:hAnsi="Times New Roman"/>
          <w:sz w:val="15"/>
          <w:szCs w:val="15"/>
          <w:i w:val="1"/>
          <w:iCs w:val="1"/>
          <w:color w:val="auto"/>
        </w:rPr>
        <w:t>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post-offering not to trade any public shares that they acquire in the offering or otherwise, and it may adversely affect the trading price of our public shares.</w:t>
      </w:r>
    </w:p>
    <w:p>
      <w:pPr>
        <w:spacing w:after="0" w:line="154"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None of the non-managing investors have currently expressed to us an interest in purchasing any of the public units in this offering and neither us nor the representatives have had discussions with any non- 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 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 managing investors, the post-offering trading volume, volatility and liquidity of our securities may be reduced relative to what they would have been had the units been more widely offered and sold to other public investors.</w:t>
      </w:r>
    </w:p>
    <w:p>
      <w:pPr>
        <w:spacing w:after="0" w:line="167"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We do not expect any potential purchases of units by the non-managing investors to negatively impact our ability to meet Nasdaq listing eligibility requirements. However, Nasdaq’s initial listing eligibility requirements for special purpose acquisition companies provide that we must have at least 300 round lot holders upon the completion of the offering, and that in order to maintain the listing on Nasdaq, that we must have at least 300 public shareholders. To the extent that the non-managing investors purchase substantially all of the public units in this offering, then unless there are a sufficient number of other purchasers of public units in this offering to satisfy the Nasdaq listing eligibility requirements, we will not be successful in listing on Nasdaq, and if we are able to list on Nasdaq, but the non -managing investors continue to hold the shares included in the public units that they acquire in this offering, whereas other purchasers do not do so and the trading volume, volatility or liquidity are effected by the public units not having been more widely offered, then it is possible that we will not be able to maintain the number of public shareholders required by Nasdaq to continue to list on Nasdaq.</w:t>
      </w:r>
    </w:p>
    <w:p>
      <w:pPr>
        <w:spacing w:after="0" w:line="162" w:lineRule="exact"/>
        <w:rPr>
          <w:sz w:val="20"/>
          <w:szCs w:val="20"/>
          <w:color w:val="auto"/>
        </w:rPr>
      </w:pPr>
    </w:p>
    <w:p>
      <w:pPr>
        <w:ind w:left="460" w:right="40" w:firstLine="379"/>
        <w:spacing w:after="0" w:line="252" w:lineRule="auto"/>
        <w:rPr>
          <w:sz w:val="20"/>
          <w:szCs w:val="20"/>
          <w:color w:val="auto"/>
        </w:rPr>
      </w:pPr>
      <w:r>
        <w:rPr>
          <w:rFonts w:ascii="Times New Roman" w:cs="Times New Roman" w:eastAsia="Times New Roman" w:hAnsi="Times New Roman"/>
          <w:sz w:val="15"/>
          <w:szCs w:val="15"/>
          <w:color w:val="auto"/>
        </w:rPr>
        <w:t>The underwriters will receive the same upfront discounts and commissions on public units purchased by thenon-managing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 -managing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w:t>
      </w:r>
    </w:p>
    <w:p>
      <w:pPr>
        <w:spacing w:after="0" w:line="3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102</w:t>
      </w:r>
    </w:p>
    <w:p>
      <w:pPr>
        <w:sectPr>
          <w:pgSz w:w="11900" w:h="16840" w:orient="portrait"/>
          <w:cols w:equalWidth="0" w:num="1">
            <w:col w:w="10120"/>
          </w:cols>
          <w:pgMar w:left="660" w:top="874" w:right="1120" w:bottom="1440" w:gutter="0" w:footer="0" w:header="0"/>
        </w:sectPr>
      </w:pPr>
    </w:p>
    <w:bookmarkStart w:id="113" w:name="page114"/>
    <w:bookmarkEnd w:id="1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5"/>
          <w:szCs w:val="15"/>
          <w:color w:val="auto"/>
        </w:rPr>
        <w:t>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 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Such ownership may create an incentive for the non-managing investors to vote any public shares they own in favor of a business combination and make a substantial profit on their private investor shares and private placement units, even if the business combination is with a target that ultimately declines in value and is not profitable for other public shareholders.</w:t>
      </w:r>
    </w:p>
    <w:p>
      <w:pPr>
        <w:spacing w:after="0" w:line="158" w:lineRule="exact"/>
        <w:rPr>
          <w:sz w:val="20"/>
          <w:szCs w:val="20"/>
          <w:color w:val="auto"/>
        </w:rPr>
      </w:pPr>
    </w:p>
    <w:p>
      <w:pPr>
        <w:jc w:val="both"/>
        <w:ind w:left="460" w:right="140"/>
        <w:spacing w:after="0" w:line="268" w:lineRule="auto"/>
        <w:rPr>
          <w:sz w:val="20"/>
          <w:szCs w:val="20"/>
          <w:color w:val="auto"/>
        </w:rPr>
      </w:pPr>
      <w:r>
        <w:rPr>
          <w:rFonts w:ascii="Times New Roman" w:cs="Times New Roman" w:eastAsia="Times New Roman" w:hAnsi="Times New Roman"/>
          <w:sz w:val="15"/>
          <w:szCs w:val="15"/>
          <w:i w:val="1"/>
          <w:iCs w:val="1"/>
          <w:color w:val="auto"/>
        </w:rPr>
        <w:t>The nominal purchase price paid by our insiders for the founder shares and paid by thenon-managing investors for the private investor shares, in addition to the sale of private placement units to the insiders and the non-managing investors, may result in significant dilution to the implied value of your public shares upon the consummation of our initial business combination.</w:t>
      </w:r>
    </w:p>
    <w:p>
      <w:pPr>
        <w:spacing w:after="0" w:line="149" w:lineRule="exact"/>
        <w:rPr>
          <w:sz w:val="20"/>
          <w:szCs w:val="20"/>
          <w:color w:val="auto"/>
        </w:rPr>
      </w:pPr>
    </w:p>
    <w:p>
      <w:pPr>
        <w:ind w:left="460" w:right="60" w:firstLine="379"/>
        <w:spacing w:after="0" w:line="250" w:lineRule="auto"/>
        <w:rPr>
          <w:sz w:val="20"/>
          <w:szCs w:val="20"/>
          <w:color w:val="auto"/>
        </w:rPr>
      </w:pPr>
      <w:r>
        <w:rPr>
          <w:rFonts w:ascii="Times New Roman" w:cs="Times New Roman" w:eastAsia="Times New Roman" w:hAnsi="Times New Roman"/>
          <w:sz w:val="15"/>
          <w:szCs w:val="15"/>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over-allotment option is exercised during this offering. Our sponsor intends at the time of this offering to sell 375,397 founder shares in the aggregate to Messrs. Greene, Machuca, Timm and Horowitz at an aggregate price of $9,244 (or $0.02462 per share) and 1,416,665 founder shares to Lynrock at an aggregate price of $13,130, or $0.00927 per share, thus reducing the price paid by our sponsor for the 6,058,167 founder shares which it is retaining to $2,626, or $0.000434 per share. Up to 1,023,943 founder shares held by our insiders and Lynrock will remain subject to forfeiture on a pro rata basis depending on the extent to which the underwriters’ over-allotment option is exercised during this offering. Our sponsor which is owned by two of our directors, Dr. Avi S. Katz and Dr. Raluca Dinu, (or non-affiliated investors to which our sponsor assigns this subscription) together with four of our other directors, James Greene, Luis Machuca, Bryan Timm and Raanan Horowitz, will also purchase 45,200 private placement units (including if the underwriters’ over-allotment option is exercised in full), at a price of $9.7374 per unit, for an aggregate purchase price of $440,130.48 in a private placement that will close simultaneously with the closing of this offering.</w:t>
      </w:r>
    </w:p>
    <w:p>
      <w:pPr>
        <w:spacing w:after="0" w:line="343" w:lineRule="exact"/>
        <w:rPr>
          <w:sz w:val="20"/>
          <w:szCs w:val="20"/>
          <w:color w:val="auto"/>
        </w:rPr>
      </w:pPr>
    </w:p>
    <w:p>
      <w:pPr>
        <w:ind w:left="460" w:right="80" w:firstLine="379"/>
        <w:spacing w:after="0" w:line="259" w:lineRule="auto"/>
        <w:rPr>
          <w:sz w:val="20"/>
          <w:szCs w:val="20"/>
          <w:color w:val="auto"/>
        </w:rPr>
      </w:pPr>
      <w:r>
        <w:rPr>
          <w:rFonts w:ascii="Times New Roman" w:cs="Times New Roman" w:eastAsia="Times New Roman" w:hAnsi="Times New Roman"/>
          <w:sz w:val="15"/>
          <w:szCs w:val="15"/>
          <w:color w:val="auto"/>
        </w:rPr>
        <w:t>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156" w:lineRule="exact"/>
        <w:rPr>
          <w:sz w:val="20"/>
          <w:szCs w:val="20"/>
          <w:color w:val="auto"/>
        </w:rPr>
      </w:pPr>
    </w:p>
    <w:p>
      <w:pPr>
        <w:ind w:left="460" w:right="100" w:firstLine="379"/>
        <w:spacing w:after="0" w:line="254" w:lineRule="auto"/>
        <w:rPr>
          <w:sz w:val="20"/>
          <w:szCs w:val="20"/>
          <w:color w:val="auto"/>
        </w:rPr>
      </w:pPr>
      <w:r>
        <w:rPr>
          <w:rFonts w:ascii="Times New Roman" w:cs="Times New Roman" w:eastAsia="Times New Roman" w:hAnsi="Times New Roman"/>
          <w:sz w:val="15"/>
          <w:szCs w:val="15"/>
          <w:color w:val="auto"/>
        </w:rPr>
        <w:t>Separately, the non-managing investors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$ 9.7374 per private placement unit, for an aggregate purchase price of $2,430,006 (or $2,624,578 if the underwriters’ over-allotment option is exercised in full) in a private placement that will close simultaneously with the completion of this offering.</w:t>
      </w:r>
    </w:p>
    <w:p>
      <w:pPr>
        <w:spacing w:after="0" w:line="1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103</w:t>
      </w:r>
    </w:p>
    <w:p>
      <w:pPr>
        <w:sectPr>
          <w:pgSz w:w="11900" w:h="16840" w:orient="portrait"/>
          <w:cols w:equalWidth="0" w:num="1">
            <w:col w:w="10120"/>
          </w:cols>
          <w:pgMar w:left="660" w:top="874" w:right="1120" w:bottom="1440" w:gutter="0" w:footer="0" w:header="0"/>
        </w:sectPr>
      </w:pPr>
    </w:p>
    <w:bookmarkStart w:id="114" w:name="page115"/>
    <w:bookmarkEnd w:id="1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firstLine="379"/>
        <w:spacing w:after="0" w:line="251" w:lineRule="auto"/>
        <w:rPr>
          <w:sz w:val="20"/>
          <w:szCs w:val="20"/>
          <w:color w:val="auto"/>
        </w:rPr>
      </w:pPr>
      <w:r>
        <w:rPr>
          <w:rFonts w:ascii="Times New Roman" w:cs="Times New Roman" w:eastAsia="Times New Roman" w:hAnsi="Times New Roman"/>
          <w:sz w:val="15"/>
          <w:szCs w:val="15"/>
          <w:color w:val="auto"/>
        </w:rPr>
        <w:t>As a result, the value of your public shares may be significantly diluted upon the consummation of our initial business combination, when the founder shares, private placement shares and private investor shares are converted into public shares. For example, the following table shows the dilutive effect of the founder shares, private investor shares and private placement shares on the implied value of the public shares upon the consummation of our initial business combination, assuming that our equity value at that time is $220,000,000, which is the amount in cash we would have for our initial business combination in the trust account, assuming the underwriters’ over-allotment option is not exercised,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equityholders or other third parties, or the target’s business itself, including its assets, liabilities, management and prospects. At such valuation, our shares would have an implied value of $6.93 per share upon consummation of our initial business combination, which would be a 30.7% decrease as compared to the initial implied value per public share of $10.00 (the price per unit in this offering, assuming no value is ascribed to the public rights).</w:t>
      </w:r>
    </w:p>
    <w:p>
      <w:pPr>
        <w:sectPr>
          <w:pgSz w:w="11900" w:h="16840" w:orient="portrait"/>
          <w:cols w:equalWidth="0" w:num="1">
            <w:col w:w="10120"/>
          </w:cols>
          <w:pgMar w:left="660" w:top="874" w:right="1120" w:bottom="1440" w:gutter="0" w:footer="0" w:header="0"/>
        </w:sectPr>
      </w:pPr>
    </w:p>
    <w:p>
      <w:pPr>
        <w:spacing w:after="0" w:line="25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-101600</wp:posOffset>
            </wp:positionV>
            <wp:extent cx="4166870" cy="113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66870" cy="113030"/>
                    </a:xfrm>
                    <a:prstGeom prst="rect">
                      <a:avLst/>
                    </a:prstGeom>
                    <a:noFill/>
                  </pic:spPr>
                </pic:pic>
              </a:graphicData>
            </a:graphic>
          </wp:anchor>
        </w:drawing>
      </w:r>
    </w:p>
    <w:p>
      <w:pPr>
        <w:spacing w:after="0" w:line="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Founder shares</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0</wp:posOffset>
            </wp:positionV>
            <wp:extent cx="4166870" cy="113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66870" cy="113030"/>
                    </a:xfrm>
                    <a:prstGeom prst="rect">
                      <a:avLst/>
                    </a:prstGeom>
                    <a:noFill/>
                  </pic:spPr>
                </pic:pic>
              </a:graphicData>
            </a:graphic>
          </wp:anchor>
        </w:drawing>
      </w:r>
    </w:p>
    <w:p>
      <w:pPr>
        <w:ind w:left="2000"/>
        <w:spacing w:after="0"/>
        <w:rPr>
          <w:sz w:val="20"/>
          <w:szCs w:val="20"/>
          <w:color w:val="auto"/>
        </w:rPr>
      </w:pPr>
      <w:r>
        <w:rPr>
          <w:rFonts w:ascii="Times New Roman" w:cs="Times New Roman" w:eastAsia="Times New Roman" w:hAnsi="Times New Roman"/>
          <w:sz w:val="15"/>
          <w:szCs w:val="15"/>
          <w:color w:val="auto"/>
        </w:rPr>
        <w:t>Private investor shares</w:t>
      </w:r>
      <w:r>
        <w:rPr>
          <w:rFonts w:ascii="Times New Roman" w:cs="Times New Roman" w:eastAsia="Times New Roman" w:hAnsi="Times New Roman"/>
          <w:sz w:val="9"/>
          <w:szCs w:val="9"/>
          <w:color w:val="auto"/>
        </w:rPr>
        <w:t>(2)</w:t>
      </w:r>
    </w:p>
    <w:p>
      <w:pPr>
        <w:spacing w:after="0" w:line="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Private placement shares underlying private placement units</w:t>
      </w:r>
      <w:r>
        <w:rPr>
          <w:rFonts w:ascii="Times New Roman" w:cs="Times New Roman" w:eastAsia="Times New Roman" w:hAnsi="Times New Roman"/>
          <w:sz w:val="9"/>
          <w:szCs w:val="9"/>
          <w:color w:val="auto"/>
        </w:rPr>
        <w:t>(3)</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Total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-101600</wp:posOffset>
            </wp:positionV>
            <wp:extent cx="4166870" cy="113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66870" cy="113030"/>
                    </a:xfrm>
                    <a:prstGeom prst="rect">
                      <a:avLst/>
                    </a:prstGeom>
                    <a:noFill/>
                  </pic:spPr>
                </pic:pic>
              </a:graphicData>
            </a:graphic>
          </wp:anchor>
        </w:drawing>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Total funds in trust available for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10160</wp:posOffset>
            </wp:positionV>
            <wp:extent cx="4166870" cy="113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66870" cy="113030"/>
                    </a:xfrm>
                    <a:prstGeom prst="rect">
                      <a:avLst/>
                    </a:prstGeom>
                    <a:noFill/>
                  </pic:spPr>
                </pic:pic>
              </a:graphicData>
            </a:graphic>
          </wp:anchor>
        </w:drawing>
      </w:r>
    </w:p>
    <w:p>
      <w:pPr>
        <w:spacing w:after="0" w:line="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Initial implied value per public share</w:t>
      </w:r>
      <w:r>
        <w:rPr>
          <w:rFonts w:ascii="Times New Roman" w:cs="Times New Roman" w:eastAsia="Times New Roman" w:hAnsi="Times New Roman"/>
          <w:sz w:val="9"/>
          <w:szCs w:val="9"/>
          <w:color w:val="auto"/>
        </w:rPr>
        <w:t>(4)</w:t>
      </w:r>
    </w:p>
    <w:p>
      <w:pPr>
        <w:spacing w:after="0" w:line="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Implied value per share upon consummation of initial business combination</w:t>
      </w:r>
      <w:r>
        <w:rPr>
          <w:rFonts w:ascii="Times New Roman" w:cs="Times New Roman" w:eastAsia="Times New Roman" w:hAnsi="Times New Roman"/>
          <w:sz w:val="9"/>
          <w:szCs w:val="9"/>
          <w:color w:val="auto"/>
        </w:rPr>
        <w:t>(5)</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5"/>
          <w:szCs w:val="15"/>
          <w:color w:val="auto"/>
        </w:rPr>
        <w:t>22,000,000</w:t>
      </w:r>
    </w:p>
    <w:p>
      <w:pPr>
        <w:spacing w:after="0" w:line="21"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5"/>
          <w:szCs w:val="15"/>
          <w:color w:val="auto"/>
        </w:rPr>
        <w:t>6,826,286</w:t>
      </w:r>
    </w:p>
    <w:p>
      <w:pPr>
        <w:spacing w:after="0" w:line="5"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5"/>
          <w:szCs w:val="15"/>
          <w:color w:val="auto"/>
        </w:rPr>
        <w:t>2,577,522</w:t>
      </w:r>
    </w:p>
    <w:p>
      <w:pPr>
        <w:spacing w:after="0" w:line="5"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5"/>
          <w:szCs w:val="15"/>
          <w:color w:val="auto"/>
        </w:rPr>
        <w:t>337,675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55689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6895" cy="7620"/>
                    </a:xfrm>
                    <a:prstGeom prst="rect">
                      <a:avLst/>
                    </a:prstGeom>
                    <a:noFill/>
                  </pic:spPr>
                </pic:pic>
              </a:graphicData>
            </a:graphic>
          </wp:anchor>
        </w:drawing>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31,741,483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55689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689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wp:posOffset>
            </wp:positionV>
            <wp:extent cx="55689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6895" cy="762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$ 220,000,000</w:t>
      </w:r>
    </w:p>
    <w:p>
      <w:pPr>
        <w:spacing w:after="0" w:line="21" w:lineRule="exact"/>
        <w:rPr>
          <w:sz w:val="20"/>
          <w:szCs w:val="20"/>
          <w:color w:val="auto"/>
        </w:rPr>
      </w:pPr>
    </w:p>
    <w:p>
      <w:pPr>
        <w:ind w:left="540" w:hanging="535"/>
        <w:spacing w:after="0"/>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w:t>
      </w:r>
    </w:p>
    <w:p>
      <w:pPr>
        <w:spacing w:after="0" w:line="5" w:lineRule="exact"/>
        <w:rPr>
          <w:rFonts w:ascii="Times New Roman" w:cs="Times New Roman" w:eastAsia="Times New Roman" w:hAnsi="Times New Roman"/>
          <w:sz w:val="15"/>
          <w:szCs w:val="15"/>
          <w:color w:val="auto"/>
        </w:rPr>
      </w:pPr>
    </w:p>
    <w:p>
      <w:pPr>
        <w:ind w:left="600" w:hanging="595"/>
        <w:spacing w:after="0"/>
        <w:tabs>
          <w:tab w:leader="none" w:pos="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6.93</w:t>
      </w:r>
    </w:p>
    <w:p>
      <w:pPr>
        <w:spacing w:after="0" w:line="200" w:lineRule="exact"/>
        <w:rPr>
          <w:sz w:val="20"/>
          <w:szCs w:val="20"/>
          <w:color w:val="auto"/>
        </w:rPr>
      </w:pPr>
    </w:p>
    <w:p>
      <w:pPr>
        <w:sectPr>
          <w:pgSz w:w="11900" w:h="16840" w:orient="portrait"/>
          <w:cols w:equalWidth="0" w:num="2">
            <w:col w:w="6920" w:space="720"/>
            <w:col w:w="2480"/>
          </w:cols>
          <w:pgMar w:left="660" w:top="874" w:right="1120" w:bottom="1440" w:gutter="0" w:footer="0" w:header="0"/>
          <w:type w:val="continuous"/>
        </w:sectPr>
      </w:pPr>
    </w:p>
    <w:p>
      <w:pPr>
        <w:spacing w:after="0" w:line="14" w:lineRule="exact"/>
        <w:rPr>
          <w:sz w:val="20"/>
          <w:szCs w:val="20"/>
          <w:color w:val="auto"/>
        </w:rPr>
      </w:pPr>
    </w:p>
    <w:p>
      <w:pPr>
        <w:ind w:left="840" w:right="520" w:hanging="385"/>
        <w:spacing w:after="0" w:line="258" w:lineRule="auto"/>
        <w:tabs>
          <w:tab w:leader="none" w:pos="8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that the over-allotment option has not been exercised and an aggregate of 1,023,943 founder shares have been forfeited by our initial shareholders as a result thereof.</w:t>
      </w:r>
    </w:p>
    <w:p>
      <w:pPr>
        <w:ind w:left="840" w:right="580" w:hanging="385"/>
        <w:spacing w:after="0" w:line="247" w:lineRule="auto"/>
        <w:tabs>
          <w:tab w:leader="none" w:pos="8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that the over-allotment option has not been exercised and an aggregate of 386,681 private investor shares have been forfeited by the non-managing investors as a result thereof.</w:t>
      </w:r>
    </w:p>
    <w:p>
      <w:pPr>
        <w:ind w:left="840" w:right="20" w:hanging="385"/>
        <w:spacing w:after="0" w:line="247" w:lineRule="auto"/>
        <w:tabs>
          <w:tab w:leader="none" w:pos="8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that the over-allotment option has not been exercised and the total of 337,675 private placement shares underlying 337,675 private placement units are outstanding, consisting of 95,200 private placement shares held by the insiders and Lynrock and 242,475 private placement shares held by the non-managing investors, and assuming further that no private placement rights have been exercised.</w:t>
      </w:r>
    </w:p>
    <w:p>
      <w:pPr>
        <w:ind w:left="840" w:right="260" w:hanging="385"/>
        <w:spacing w:after="0" w:line="247" w:lineRule="auto"/>
        <w:tabs>
          <w:tab w:leader="none" w:pos="8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While the public shareholders’ investment is in both the public shares and the public rights, for purposes of this table the full investment amount is ascribed to the public shares only.</w:t>
      </w:r>
    </w:p>
    <w:p>
      <w:pPr>
        <w:ind w:left="840" w:right="440" w:hanging="385"/>
        <w:spacing w:after="0" w:line="262" w:lineRule="auto"/>
        <w:tabs>
          <w:tab w:leader="none" w:pos="8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founder shares and private investor shares would automatically convert into Class A ordinary shares upon completion of our initial business combination or earlier at the option of the holder.</w:t>
      </w:r>
    </w:p>
    <w:p>
      <w:pPr>
        <w:spacing w:after="0" w:line="152" w:lineRule="exact"/>
        <w:rPr>
          <w:sz w:val="20"/>
          <w:szCs w:val="20"/>
          <w:color w:val="auto"/>
        </w:rPr>
      </w:pPr>
    </w:p>
    <w:p>
      <w:pPr>
        <w:ind w:left="460" w:right="60" w:firstLine="379"/>
        <w:spacing w:after="0" w:line="256" w:lineRule="auto"/>
        <w:rPr>
          <w:sz w:val="20"/>
          <w:szCs w:val="20"/>
          <w:color w:val="auto"/>
        </w:rPr>
      </w:pPr>
      <w:r>
        <w:rPr>
          <w:rFonts w:ascii="Times New Roman" w:cs="Times New Roman" w:eastAsia="Times New Roman" w:hAnsi="Times New Roman"/>
          <w:sz w:val="15"/>
          <w:szCs w:val="15"/>
          <w:color w:val="auto"/>
        </w:rPr>
        <w:t>This dilution would increase to the extent that the anti-dilution provisions of the founder shares and private investor shares result in the issuance of Class A ordinary shares on a greater than one-to-one basis upon conversion of the founder shares and private investor shares at the time of our initial business combination and would become exacerbated to the extent that public shareholders seek redemptions from the trust for their public shares. In addition, because of the anti-dilution protection in the founder shares and private investor shares, any equity or equity-linked securities issued in connection with our initial business combination would be disproportionately dilutive to our Class A ordinary shares.</w:t>
      </w:r>
    </w:p>
    <w:p>
      <w:pPr>
        <w:spacing w:after="0" w:line="154" w:lineRule="exact"/>
        <w:rPr>
          <w:sz w:val="20"/>
          <w:szCs w:val="20"/>
          <w:color w:val="auto"/>
        </w:rPr>
      </w:pPr>
    </w:p>
    <w:p>
      <w:pPr>
        <w:ind w:left="460"/>
        <w:spacing w:after="0" w:line="289" w:lineRule="auto"/>
        <w:rPr>
          <w:sz w:val="20"/>
          <w:szCs w:val="20"/>
          <w:color w:val="auto"/>
        </w:rPr>
      </w:pPr>
      <w:r>
        <w:rPr>
          <w:rFonts w:ascii="Times New Roman" w:cs="Times New Roman" w:eastAsia="Times New Roman" w:hAnsi="Times New Roman"/>
          <w:sz w:val="15"/>
          <w:szCs w:val="15"/>
          <w:i w:val="1"/>
          <w:iCs w:val="1"/>
          <w:color w:val="auto"/>
        </w:rPr>
        <w:t>The grant of registration rights to our initial shareholders may make it more difficult to complete our initial business combination, and the future exercise of such rights may adversely affect the market price of our ordinary shares.</w:t>
      </w:r>
    </w:p>
    <w:p>
      <w:pPr>
        <w:spacing w:after="0" w:line="133" w:lineRule="exact"/>
        <w:rPr>
          <w:sz w:val="20"/>
          <w:szCs w:val="20"/>
          <w:color w:val="auto"/>
        </w:rPr>
      </w:pPr>
    </w:p>
    <w:p>
      <w:pPr>
        <w:ind w:left="460" w:right="300" w:firstLine="379"/>
        <w:spacing w:after="0" w:line="284" w:lineRule="auto"/>
        <w:rPr>
          <w:sz w:val="20"/>
          <w:szCs w:val="20"/>
          <w:color w:val="auto"/>
        </w:rPr>
      </w:pPr>
      <w:r>
        <w:rPr>
          <w:rFonts w:ascii="Times New Roman" w:cs="Times New Roman" w:eastAsia="Times New Roman" w:hAnsi="Times New Roman"/>
          <w:sz w:val="15"/>
          <w:szCs w:val="15"/>
          <w:color w:val="auto"/>
        </w:rPr>
        <w:t>Pursuant to an agreement to be entered into concurrently with the issuance and sale of the securities in this offering, holders of the founder shares, private placement units and any units that may be issued upon conversion</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104</w:t>
      </w:r>
    </w:p>
    <w:p>
      <w:pPr>
        <w:sectPr>
          <w:pgSz w:w="11900" w:h="16840" w:orient="portrait"/>
          <w:cols w:equalWidth="0" w:num="1">
            <w:col w:w="10120"/>
          </w:cols>
          <w:pgMar w:left="660" w:top="874" w:right="1120" w:bottom="1440" w:gutter="0" w:footer="0" w:header="0"/>
          <w:type w:val="continuous"/>
        </w:sectPr>
      </w:pPr>
    </w:p>
    <w:bookmarkStart w:id="115" w:name="page116"/>
    <w:bookmarkEnd w:id="1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100"/>
        <w:spacing w:after="0" w:line="254" w:lineRule="auto"/>
        <w:rPr>
          <w:sz w:val="20"/>
          <w:szCs w:val="20"/>
          <w:color w:val="auto"/>
        </w:rPr>
      </w:pPr>
      <w:r>
        <w:rPr>
          <w:rFonts w:ascii="Times New Roman" w:cs="Times New Roman" w:eastAsia="Times New Roman" w:hAnsi="Times New Roman"/>
          <w:sz w:val="15"/>
          <w:szCs w:val="15"/>
          <w:color w:val="auto"/>
        </w:rPr>
        <w:t>of working capital loans may demand that we register such units and/or underlying securities. We will bear the cost of registering these securities. The registration and availability of such a significant number of securities for trading in the public market may have an adverse effect on the market price of our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ordinary shares that is expected when the founder shares, private placement units and any units that may be issued upon conversion of working capital loans are registered.</w:t>
      </w:r>
    </w:p>
    <w:p>
      <w:pPr>
        <w:spacing w:after="0" w:line="156" w:lineRule="exact"/>
        <w:rPr>
          <w:sz w:val="20"/>
          <w:szCs w:val="20"/>
          <w:color w:val="auto"/>
        </w:rPr>
      </w:pPr>
    </w:p>
    <w:p>
      <w:pPr>
        <w:ind w:left="460" w:right="600"/>
        <w:spacing w:after="0" w:line="289" w:lineRule="auto"/>
        <w:rPr>
          <w:sz w:val="20"/>
          <w:szCs w:val="20"/>
          <w:color w:val="auto"/>
        </w:rPr>
      </w:pPr>
      <w:r>
        <w:rPr>
          <w:rFonts w:ascii="Times New Roman" w:cs="Times New Roman" w:eastAsia="Times New Roman" w:hAnsi="Times New Roman"/>
          <w:sz w:val="15"/>
          <w:szCs w:val="15"/>
          <w:i w:val="1"/>
          <w:iCs w:val="1"/>
          <w:color w:val="auto"/>
        </w:rPr>
        <w:t>We may amend the terms of the rights in a manner that may be adverse to holders with the approval by the holders of at least a majority of the then outstanding rights.</w:t>
      </w:r>
    </w:p>
    <w:p>
      <w:pPr>
        <w:spacing w:after="0" w:line="133" w:lineRule="exact"/>
        <w:rPr>
          <w:sz w:val="20"/>
          <w:szCs w:val="20"/>
          <w:color w:val="auto"/>
        </w:rPr>
      </w:pPr>
    </w:p>
    <w:p>
      <w:pPr>
        <w:ind w:left="460" w:right="80" w:firstLine="379"/>
        <w:spacing w:after="0" w:line="259" w:lineRule="auto"/>
        <w:rPr>
          <w:sz w:val="20"/>
          <w:szCs w:val="20"/>
          <w:color w:val="auto"/>
        </w:rPr>
      </w:pPr>
      <w:r>
        <w:rPr>
          <w:rFonts w:ascii="Times New Roman" w:cs="Times New Roman" w:eastAsia="Times New Roman" w:hAnsi="Times New Roman"/>
          <w:sz w:val="15"/>
          <w:szCs w:val="15"/>
          <w:color w:val="auto"/>
        </w:rPr>
        <w:t>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Our rights may have an adverse effect on the market price of our ordinary shares and make it more difficult to complete our initial business combination.</w:t>
      </w:r>
    </w:p>
    <w:p>
      <w:pPr>
        <w:spacing w:after="0" w:line="199" w:lineRule="exact"/>
        <w:rPr>
          <w:sz w:val="20"/>
          <w:szCs w:val="20"/>
          <w:color w:val="auto"/>
        </w:rPr>
      </w:pPr>
    </w:p>
    <w:p>
      <w:pPr>
        <w:ind w:left="460" w:right="40" w:firstLine="379"/>
        <w:spacing w:after="0" w:line="259" w:lineRule="auto"/>
        <w:rPr>
          <w:sz w:val="20"/>
          <w:szCs w:val="20"/>
          <w:color w:val="auto"/>
        </w:rPr>
      </w:pPr>
      <w:r>
        <w:rPr>
          <w:rFonts w:ascii="Times New Roman" w:cs="Times New Roman" w:eastAsia="Times New Roman" w:hAnsi="Times New Roman"/>
          <w:sz w:val="15"/>
          <w:szCs w:val="15"/>
          <w:color w:val="auto"/>
        </w:rPr>
        <w:t>We will be issuing rights as part of the units sold in this offering entitling the holders to receive an aggregate of up to 2,200,000 ordinary shares (or up to 2,530,000 ordinary shares if the over-allotment option is exercised in full). Simultaneously with the closing of this offering, we will be issuing as part of the private placement units rights entitling the holders to receive an aggregate of 33,767 ordinary shares (or 35,765 ordinary shares if the over-allotment option is exercised in full).</w:t>
      </w:r>
    </w:p>
    <w:p>
      <w:pPr>
        <w:spacing w:after="0" w:line="156"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To the extent we issue ordinary shares to complete a business combination, the potential for the issuance of a substantial number of additional ordinary shares upon conversion of the rights could make us a less attractive acquisition vehicle to a target business. Any such issuance will increase the number of issued and outstanding ordinary shares and reduce the value of the ordinary shares issued to complete the business combination. Therefore, our rights may make it more difficult to complete a business combination or increase the cost of acquiring the target business.</w:t>
      </w:r>
    </w:p>
    <w:p>
      <w:pPr>
        <w:spacing w:after="0" w:line="152" w:lineRule="exact"/>
        <w:rPr>
          <w:sz w:val="20"/>
          <w:szCs w:val="20"/>
          <w:color w:val="auto"/>
        </w:rPr>
      </w:pPr>
    </w:p>
    <w:p>
      <w:pPr>
        <w:ind w:left="460" w:right="400" w:firstLine="379"/>
        <w:spacing w:after="0" w:line="268" w:lineRule="auto"/>
        <w:rPr>
          <w:sz w:val="20"/>
          <w:szCs w:val="20"/>
          <w:color w:val="auto"/>
        </w:rPr>
      </w:pPr>
      <w:r>
        <w:rPr>
          <w:rFonts w:ascii="Times New Roman" w:cs="Times New Roman" w:eastAsia="Times New Roman" w:hAnsi="Times New Roman"/>
          <w:sz w:val="15"/>
          <w:szCs w:val="15"/>
          <w:i w:val="1"/>
          <w:iCs w:val="1"/>
          <w:color w:val="auto"/>
        </w:rPr>
        <w:t>If we are deemed to be an investment company for purposes of the Investment Company Act, we could be forced to liquidate and investors in our company would not be able to participate in any benefits of owning stock in an operating business, including the potential appreciation of our stock following a business combination and our rights would expire worthless.</w:t>
      </w:r>
    </w:p>
    <w:p>
      <w:pPr>
        <w:spacing w:after="0" w:line="149" w:lineRule="exact"/>
        <w:rPr>
          <w:sz w:val="20"/>
          <w:szCs w:val="20"/>
          <w:color w:val="auto"/>
        </w:rPr>
      </w:pPr>
    </w:p>
    <w:p>
      <w:pPr>
        <w:ind w:left="460" w:right="60" w:firstLine="379"/>
        <w:spacing w:after="0" w:line="251" w:lineRule="auto"/>
        <w:rPr>
          <w:sz w:val="20"/>
          <w:szCs w:val="20"/>
          <w:color w:val="auto"/>
        </w:rPr>
      </w:pPr>
      <w:r>
        <w:rPr>
          <w:rFonts w:ascii="Times New Roman" w:cs="Times New Roman" w:eastAsia="Times New Roman" w:hAnsi="Times New Roman"/>
          <w:sz w:val="15"/>
          <w:szCs w:val="15"/>
          <w:color w:val="auto"/>
        </w:rPr>
        <w:t>As indicated above, we have 24 months from the closing of this offering to consummate an initial business combination. It is possible that a claim in the future could be made that we have been operating as an unregistered investment company. It is also possible that the investment of funds from this offering and private placement of units during our life as a blank check company, and the earning and use of interest from such investment, both of which will likely continue until we consummate an initial business combination, could increase the likelihood of us being found to have been operating as an unregistered investment company more than if we sought to potentially mitigate this risk by holding such funds as cash. Furthermore, the longer the funds are invested in United States “government securities” within the meaning of Section 2(a)(16) of the Investment Company Act having a maturity of 185 days or less or in money market funds meeting certain conditions under Rule 2a -7 promulgated under the Investment Company Act which invest only in direct U.S. government treasury obligations, the greater the risk could be that we are considered an investment company. If we are deemed to be an investment company for purposes of the Investment Company Act and found to have been operating as an unregistered investment company, it could cause us to liquidate. If we are</w:t>
      </w:r>
    </w:p>
    <w:p>
      <w:pPr>
        <w:spacing w:after="0" w:line="30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105</w:t>
      </w:r>
    </w:p>
    <w:p>
      <w:pPr>
        <w:sectPr>
          <w:pgSz w:w="11900" w:h="16840" w:orient="portrait"/>
          <w:cols w:equalWidth="0" w:num="1">
            <w:col w:w="10140"/>
          </w:cols>
          <w:pgMar w:left="660" w:top="874" w:right="1100" w:bottom="1440" w:gutter="0" w:footer="0" w:header="0"/>
        </w:sectPr>
      </w:pPr>
    </w:p>
    <w:bookmarkStart w:id="116" w:name="page117"/>
    <w:bookmarkEnd w:id="1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580"/>
        <w:spacing w:after="0" w:line="284" w:lineRule="auto"/>
        <w:rPr>
          <w:sz w:val="20"/>
          <w:szCs w:val="20"/>
          <w:color w:val="auto"/>
        </w:rPr>
      </w:pPr>
      <w:r>
        <w:rPr>
          <w:rFonts w:ascii="Times New Roman" w:cs="Times New Roman" w:eastAsia="Times New Roman" w:hAnsi="Times New Roman"/>
          <w:sz w:val="15"/>
          <w:szCs w:val="15"/>
          <w:color w:val="auto"/>
        </w:rPr>
        <w:t>forced to liquidate, investors in our company would not be able to participate in any benefits of owning stock in an operating business, including the potential appreciation of our stock following a business combination and our rights would expire worthless.</w:t>
      </w:r>
    </w:p>
    <w:p>
      <w:pPr>
        <w:spacing w:after="0" w:line="133" w:lineRule="exact"/>
        <w:rPr>
          <w:sz w:val="20"/>
          <w:szCs w:val="20"/>
          <w:color w:val="auto"/>
        </w:rPr>
      </w:pPr>
    </w:p>
    <w:p>
      <w:pPr>
        <w:ind w:left="460" w:right="120"/>
        <w:spacing w:after="0" w:line="268" w:lineRule="auto"/>
        <w:rPr>
          <w:sz w:val="20"/>
          <w:szCs w:val="20"/>
          <w:color w:val="auto"/>
        </w:rPr>
      </w:pPr>
      <w:r>
        <w:rPr>
          <w:rFonts w:ascii="Times New Roman" w:cs="Times New Roman" w:eastAsia="Times New Roman" w:hAnsi="Times New Roman"/>
          <w:sz w:val="15"/>
          <w:szCs w:val="15"/>
          <w:i w:val="1"/>
          <w:iCs w:val="1"/>
          <w:color w:val="auto"/>
        </w:rPr>
        <w:t>Our rights agreement will designate the courts of the State of New York located in the County of New York or the United States District Court for the Southern District of New York as the sole and exclusive forum for certain types of actions and proceedings that may be initiated by holders of our rights, as applicable, which could limit the ability of rights holders to obtain a favorable judicial forum for disputes with our company.</w:t>
      </w:r>
    </w:p>
    <w:p>
      <w:pPr>
        <w:spacing w:after="0" w:line="1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Our rights agreement will provide that, subject to applicable law, (i) any action, proceeding or claim against us arising out of or relating in any way to</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rights agreement, including under the Securities Act, will be brought and enforced in the courts of the State of New York located in the County of</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New York or the United States District Court for the Southern District of New York, (ii) we irrevocably submit to such jurisdiction, which jurisdiction shall</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be the exclusive forum for any such action, proceeding or claim. We will waive any objection to such exclusive jurisdiction and that such courts represent an</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inconvenient forum. With respect to any complaint asserting a cause of action arising under the Securities Act or the rules and regulations promulgated</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thereunder, we note, however, that there is uncertainty as to whether a court would enforce this provision and that investors cannot waive compliance with</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federal securities laws and the rules and regulations thereunder. Section 22 of the Securities Act creates concurrent jurisdiction for state and federal</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courts over all suits brought to enforce any duty or liability created by the Securities Act or the rules and regulations thereunder.</w:t>
      </w:r>
    </w:p>
    <w:p>
      <w:pPr>
        <w:spacing w:after="0" w:line="179"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w:t>
      </w:r>
    </w:p>
    <w:p>
      <w:pPr>
        <w:spacing w:after="0" w:line="165" w:lineRule="exact"/>
        <w:rPr>
          <w:sz w:val="20"/>
          <w:szCs w:val="20"/>
          <w:color w:val="auto"/>
        </w:rPr>
      </w:pPr>
    </w:p>
    <w:p>
      <w:pPr>
        <w:ind w:left="460" w:right="60" w:firstLine="379"/>
        <w:spacing w:after="0" w:line="254" w:lineRule="auto"/>
        <w:rPr>
          <w:sz w:val="20"/>
          <w:szCs w:val="20"/>
          <w:color w:val="auto"/>
        </w:rPr>
      </w:pPr>
      <w:r>
        <w:rPr>
          <w:rFonts w:ascii="Times New Roman" w:cs="Times New Roman" w:eastAsia="Times New Roman" w:hAnsi="Times New Roman"/>
          <w:sz w:val="15"/>
          <w:szCs w:val="15"/>
          <w:color w:val="auto"/>
        </w:rPr>
        <w:t>This choice-of-forum provision may limit a right holder’s ability to bring a claim in a judicial forum that it finds favorable for disputes with our company, which may discourage such lawsuits. Right holders who are unable to bring their claims in the judicial forum of their choosing may be required to incur additional costs in pursuit of actions which are subject to our choice-of-forum provisions. Alternatively, if a court were to find this provision of our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56" w:lineRule="exact"/>
        <w:rPr>
          <w:sz w:val="20"/>
          <w:szCs w:val="20"/>
          <w:color w:val="auto"/>
        </w:rPr>
      </w:pPr>
    </w:p>
    <w:p>
      <w:pPr>
        <w:ind w:left="460" w:right="100"/>
        <w:spacing w:after="0" w:line="289" w:lineRule="auto"/>
        <w:rPr>
          <w:sz w:val="20"/>
          <w:szCs w:val="20"/>
          <w:color w:val="auto"/>
        </w:rPr>
      </w:pPr>
      <w:r>
        <w:rPr>
          <w:rFonts w:ascii="Times New Roman" w:cs="Times New Roman" w:eastAsia="Times New Roman" w:hAnsi="Times New Roman"/>
          <w:sz w:val="15"/>
          <w:szCs w:val="15"/>
          <w:i w:val="1"/>
          <w:iCs w:val="1"/>
          <w:color w:val="auto"/>
        </w:rPr>
        <w:t>The determination of the offering price of our public units and the size of this offering is more arbitrary than the pricing of securities and size of an offering of an operating company in a particular industry.</w:t>
      </w:r>
    </w:p>
    <w:p>
      <w:pPr>
        <w:spacing w:after="0" w:line="133" w:lineRule="exact"/>
        <w:rPr>
          <w:sz w:val="20"/>
          <w:szCs w:val="20"/>
          <w:color w:val="auto"/>
        </w:rPr>
      </w:pPr>
    </w:p>
    <w:p>
      <w:pPr>
        <w:ind w:left="460" w:right="140" w:firstLine="379"/>
        <w:spacing w:after="0" w:line="265"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any of our securities. The public offering price of the public units and the terms of the rights were negotiated between us and the underwriters. In determining the size of this offering, management held customary organizational meetings with the Representative, with respect to the state of capital markets, generally, and the amount the underwriters believed they reasonably could raise on</w:t>
      </w:r>
    </w:p>
    <w:p>
      <w:pPr>
        <w:spacing w:after="0" w:line="1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106</w:t>
      </w:r>
    </w:p>
    <w:p>
      <w:pPr>
        <w:sectPr>
          <w:pgSz w:w="11900" w:h="16840" w:orient="portrait"/>
          <w:cols w:equalWidth="0" w:num="1">
            <w:col w:w="10160"/>
          </w:cols>
          <w:pgMar w:left="660" w:top="874" w:right="1080" w:bottom="1440" w:gutter="0" w:footer="0" w:header="0"/>
        </w:sectPr>
      </w:pPr>
    </w:p>
    <w:bookmarkStart w:id="117" w:name="page118"/>
    <w:bookmarkEnd w:id="1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our behalf. Factors considered in determining the size of this offering, prices and terms of the public units, including the public shares and public rights:</w:t>
      </w:r>
    </w:p>
    <w:p>
      <w:pPr>
        <w:spacing w:after="0" w:line="124" w:lineRule="exact"/>
        <w:rPr>
          <w:sz w:val="20"/>
          <w:szCs w:val="20"/>
          <w:color w:val="auto"/>
        </w:rPr>
      </w:pPr>
    </w:p>
    <w:p>
      <w:pPr>
        <w:ind w:left="1300" w:hanging="371"/>
        <w:spacing w:after="0"/>
        <w:tabs>
          <w:tab w:leader="none" w:pos="13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history and prospects of companies whose principal business is the acquisition of other companies;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offerings of those companies;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prospects for acquiring an operating business at attractive values;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review of debt-to-equity ratios in leveraged transactions;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capital structure;</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assessment of our management and their experience in identifying operating companies;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conditions of the securities markets at the time of this offering;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factors as were deemed relevant.</w:t>
      </w:r>
    </w:p>
    <w:p>
      <w:pPr>
        <w:spacing w:after="0" w:line="195" w:lineRule="exact"/>
        <w:rPr>
          <w:sz w:val="20"/>
          <w:szCs w:val="20"/>
          <w:color w:val="auto"/>
        </w:rPr>
      </w:pPr>
    </w:p>
    <w:p>
      <w:pPr>
        <w:ind w:left="460" w:right="600" w:firstLine="379"/>
        <w:spacing w:after="0" w:line="284" w:lineRule="auto"/>
        <w:rPr>
          <w:sz w:val="20"/>
          <w:szCs w:val="20"/>
          <w:color w:val="auto"/>
        </w:rPr>
      </w:pPr>
      <w:r>
        <w:rPr>
          <w:rFonts w:ascii="Times New Roman" w:cs="Times New Roman" w:eastAsia="Times New Roman" w:hAnsi="Times New Roman"/>
          <w:sz w:val="15"/>
          <w:szCs w:val="15"/>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33" w:lineRule="exact"/>
        <w:rPr>
          <w:sz w:val="20"/>
          <w:szCs w:val="20"/>
          <w:color w:val="auto"/>
        </w:rPr>
      </w:pPr>
    </w:p>
    <w:p>
      <w:pPr>
        <w:ind w:left="460" w:right="160"/>
        <w:spacing w:after="0" w:line="289" w:lineRule="auto"/>
        <w:rPr>
          <w:sz w:val="20"/>
          <w:szCs w:val="20"/>
          <w:color w:val="auto"/>
        </w:rPr>
      </w:pPr>
      <w:r>
        <w:rPr>
          <w:rFonts w:ascii="Times New Roman" w:cs="Times New Roman" w:eastAsia="Times New Roman" w:hAnsi="Times New Roman"/>
          <w:sz w:val="15"/>
          <w:szCs w:val="15"/>
          <w:i w:val="1"/>
          <w:iCs w:val="1"/>
          <w:color w:val="auto"/>
        </w:rPr>
        <w:t>There is currently no market for our securities and a market for our securities may not develop, which would adversely affect the liquidity and price of our securities.</w:t>
      </w:r>
    </w:p>
    <w:p>
      <w:pPr>
        <w:spacing w:after="0" w:line="133" w:lineRule="exact"/>
        <w:rPr>
          <w:sz w:val="20"/>
          <w:szCs w:val="20"/>
          <w:color w:val="auto"/>
        </w:rPr>
      </w:pPr>
    </w:p>
    <w:p>
      <w:pPr>
        <w:ind w:left="460" w:firstLine="379"/>
        <w:spacing w:after="0" w:line="253" w:lineRule="auto"/>
        <w:rPr>
          <w:sz w:val="20"/>
          <w:szCs w:val="20"/>
          <w:color w:val="auto"/>
        </w:rPr>
      </w:pPr>
      <w:r>
        <w:rPr>
          <w:rFonts w:ascii="Times New Roman" w:cs="Times New Roman" w:eastAsia="Times New Roman" w:hAnsi="Times New Roman"/>
          <w:sz w:val="15"/>
          <w:szCs w:val="15"/>
          <w:color w:val="auto"/>
        </w:rPr>
        <w:t>Although we have applied to list our securities on Nasdaq, as of the date of this prospectus there is currently no market for our securities. Prospective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OTCID Basic Market, the Pink Limited Market or the Expert Limited Market systems for quotations of equity securities not listed on a national exchange, the liquidity and price of our securities may be more limited than if our securities were listed on Nasdaq or another national exchange. You may be unable to sell your securities unless a market can be established and sustained.</w:t>
      </w:r>
    </w:p>
    <w:p>
      <w:pPr>
        <w:spacing w:after="0" w:line="156" w:lineRule="exact"/>
        <w:rPr>
          <w:sz w:val="20"/>
          <w:szCs w:val="20"/>
          <w:color w:val="auto"/>
        </w:rPr>
      </w:pPr>
    </w:p>
    <w:p>
      <w:pPr>
        <w:ind w:left="460" w:right="320"/>
        <w:spacing w:after="0" w:line="289" w:lineRule="auto"/>
        <w:rPr>
          <w:sz w:val="20"/>
          <w:szCs w:val="20"/>
          <w:color w:val="auto"/>
        </w:rPr>
      </w:pPr>
      <w:r>
        <w:rPr>
          <w:rFonts w:ascii="Times New Roman" w:cs="Times New Roman" w:eastAsia="Times New Roman" w:hAnsi="Times New Roman"/>
          <w:sz w:val="15"/>
          <w:szCs w:val="15"/>
          <w:i w:val="1"/>
          <w:iCs w:val="1"/>
          <w:color w:val="auto"/>
        </w:rPr>
        <w:t>We may issue our shares to investors in connection with our initial business combination at a price which is less than the prevailing market price of our shares at that time.</w:t>
      </w:r>
    </w:p>
    <w:p>
      <w:pPr>
        <w:spacing w:after="0" w:line="133"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In connection with our initial business combination, we may issue shares to investors in private placement transactions(so-called PIPE transactions) at a price of $10.00 per share or which approximates the per-share amounts in our trust account at such time, which is generally approximately $10.00. The purpose of such issuances will be to enable us to provide sufficient liquidity to the post -business combination entity. The price of the shares we issue may therefore be less, and potentially significantly less, than the market price for our shares at such time.</w:t>
      </w:r>
    </w:p>
    <w:p>
      <w:pPr>
        <w:spacing w:after="0" w:line="152" w:lineRule="exact"/>
        <w:rPr>
          <w:sz w:val="20"/>
          <w:szCs w:val="20"/>
          <w:color w:val="auto"/>
        </w:rPr>
      </w:pPr>
    </w:p>
    <w:p>
      <w:pPr>
        <w:ind w:left="460" w:right="180"/>
        <w:spacing w:after="0" w:line="289" w:lineRule="auto"/>
        <w:rPr>
          <w:sz w:val="20"/>
          <w:szCs w:val="20"/>
          <w:color w:val="auto"/>
        </w:rPr>
      </w:pPr>
      <w:r>
        <w:rPr>
          <w:rFonts w:ascii="Times New Roman" w:cs="Times New Roman" w:eastAsia="Times New Roman" w:hAnsi="Times New Roman"/>
          <w:sz w:val="15"/>
          <w:szCs w:val="15"/>
          <w:i w:val="1"/>
          <w:iCs w:val="1"/>
          <w:color w:val="auto"/>
        </w:rPr>
        <w:t>An investment in our securities, and certain subsequent transactions with respect to our securities, may result in uncertain or adverse U.S. federal income tax consequences for an investor.</w:t>
      </w:r>
    </w:p>
    <w:p>
      <w:pPr>
        <w:spacing w:after="0" w:line="133" w:lineRule="exact"/>
        <w:rPr>
          <w:sz w:val="20"/>
          <w:szCs w:val="20"/>
          <w:color w:val="auto"/>
        </w:rPr>
      </w:pPr>
    </w:p>
    <w:p>
      <w:pPr>
        <w:ind w:left="460" w:right="60" w:firstLine="379"/>
        <w:spacing w:after="0" w:line="256" w:lineRule="auto"/>
        <w:rPr>
          <w:sz w:val="20"/>
          <w:szCs w:val="20"/>
          <w:color w:val="auto"/>
        </w:rPr>
      </w:pPr>
      <w:r>
        <w:rPr>
          <w:rFonts w:ascii="Times New Roman" w:cs="Times New Roman" w:eastAsia="Times New Roman" w:hAnsi="Times New Roman"/>
          <w:sz w:val="15"/>
          <w:szCs w:val="15"/>
          <w:color w:val="auto"/>
        </w:rPr>
        <w:t>An investment in our securities, and certain subsequent transactions with respect to our securities, may result in uncertain or adverse U.S. federal income tax consequences for an investor. For instance, because there is no authority that directly addresses the U.S. federal income tax implications of instruments similar to the public units we are issuing in this offering, the allocation an investor makes of the purchase price of a public unit between the public share and the public rights included in each unit could be challenged by the Internal Revenue Service (the “IRS”) or the courts. Furthermore, the U.S. federal income tax consequences of a cashless exercise</w:t>
      </w:r>
    </w:p>
    <w:p>
      <w:pPr>
        <w:spacing w:after="0" w:line="1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107</w:t>
      </w:r>
    </w:p>
    <w:p>
      <w:pPr>
        <w:sectPr>
          <w:pgSz w:w="11900" w:h="16840" w:orient="portrait"/>
          <w:cols w:equalWidth="0" w:num="1">
            <w:col w:w="10140"/>
          </w:cols>
          <w:pgMar w:left="660" w:top="874" w:right="1100" w:bottom="1440" w:gutter="0" w:footer="0" w:header="0"/>
        </w:sectPr>
      </w:pPr>
    </w:p>
    <w:bookmarkStart w:id="118" w:name="page119"/>
    <w:bookmarkEnd w:id="1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5"/>
          <w:szCs w:val="15"/>
          <w:color w:val="auto"/>
        </w:rPr>
        <w:t>of public rights is unclear under current law. Additionally, it is unclear whether the redemption rights with respect to our public shares suspend the running of a U.S. Holder’s (as defined in the section captioned “Taxation—Material United States Federal Income Tax Considerations—U.S. Holders” below) holding period for purposes of determining whether any gain or loss realized by such holder on the sale or exchange of public shares is long-term capital gain or loss and for determining whether any dividend we pay would be eligible for favorable U.S. federal income tax treatment. See “Taxation—Material United States Federal Income Tax Considerations” below for a summary of the principal U.S. federal income tax consequences of an investment in our securities. Each prospective investor is urged to consult with and rely solely upon its own tax advisors with respect to these and other tax consequences when purchasing, holding or disposing of our securities.</w:t>
      </w:r>
    </w:p>
    <w:p>
      <w:pPr>
        <w:spacing w:after="0" w:line="156" w:lineRule="exact"/>
        <w:rPr>
          <w:sz w:val="20"/>
          <w:szCs w:val="20"/>
          <w:color w:val="auto"/>
        </w:rPr>
      </w:pPr>
    </w:p>
    <w:p>
      <w:pPr>
        <w:ind w:left="460" w:right="180"/>
        <w:spacing w:after="0" w:line="289" w:lineRule="auto"/>
        <w:rPr>
          <w:sz w:val="20"/>
          <w:szCs w:val="20"/>
          <w:color w:val="auto"/>
        </w:rPr>
      </w:pPr>
      <w:r>
        <w:rPr>
          <w:rFonts w:ascii="Times New Roman" w:cs="Times New Roman" w:eastAsia="Times New Roman" w:hAnsi="Times New Roman"/>
          <w:sz w:val="15"/>
          <w:szCs w:val="15"/>
          <w:i w:val="1"/>
          <w:iCs w:val="1"/>
          <w:color w:val="auto"/>
        </w:rPr>
        <w:t>Whether a redemption of public shares will be treated as a sale of such public shares for U.S. federal income tax purposes will depend on a shareholder’s specific facts.</w:t>
      </w:r>
    </w:p>
    <w:p>
      <w:pPr>
        <w:spacing w:after="0" w:line="133"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color w:val="auto"/>
        </w:rPr>
        <w:t>The U.S. federal income tax treatment of a redemption of public shares will depend on whether the redemption qualifies as a sale of such public shares under Section 302(a) of the Internal Revenue Code of 1986, as amended (the “Code”), which will depend largely on the total number of our shares treated as held by the shareholder electing to redeem public shares (including any shares constructively owned by the holder as a result of owning private placement rights or public rights or otherwise) relative to all of our shares outstanding both before and after the redemption. If such redemption is not treated as a sale of public shares for U.S. federal income tax purposes, the redemption will instead be treated as a corporate distribution of cash from us. For more information about the U.S. federal income tax treatment of the redemption of public shares, see the sections entitled “</w:t>
      </w:r>
      <w:r>
        <w:rPr>
          <w:rFonts w:ascii="Times New Roman" w:cs="Times New Roman" w:eastAsia="Times New Roman" w:hAnsi="Times New Roman"/>
          <w:sz w:val="15"/>
          <w:szCs w:val="15"/>
          <w:i w:val="1"/>
          <w:iCs w:val="1"/>
          <w:color w:val="auto"/>
        </w:rPr>
        <w:t>Taxation—Material United States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Federal Income Tax Considerations—U.S. Holders—Redemption or Repurchase of public Shares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Taxation—Material United States Federal Income Tax Considerations—Non-U.S. Holders</w:t>
      </w:r>
      <w:r>
        <w:rPr>
          <w:rFonts w:ascii="Times New Roman" w:cs="Times New Roman" w:eastAsia="Times New Roman" w:hAnsi="Times New Roman"/>
          <w:sz w:val="15"/>
          <w:szCs w:val="15"/>
          <w:color w:val="auto"/>
        </w:rPr>
        <w:t>,” as applicable.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We are likely to be treated as a passive foreign investment company (“PFIC”), which could result in adverse U.S. federal income tax consequences to U.S.</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investors.</w:t>
      </w:r>
    </w:p>
    <w:p>
      <w:pPr>
        <w:spacing w:after="0" w:line="179"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If we are treated as a PFIC for any taxable year in which a U.S. Holder holds our Class A ordinary shares or rights (regardless of whether we remain a PFIC for subsequent taxable years), such U.S. Holder may be subject to certain adverse U.S. federal income tax consequences and may be subject to additional reporting requirements. Our PFIC status for our current and subsequent taxable years may depend on, among other things, the timing of our business combination, the amount of our passive income and assets in the year of the business combination, whether we combine with a U.S. or non-U.S. target company, and the amount of passive income and assets of the acquired business. Our actual PFIC status for our current taxable year or any subsequent taxable year will not be determinable until after the end of such taxable year. However, we anticipate that we are likely to be treated as a PFIC in our current taxable year.</w:t>
      </w:r>
    </w:p>
    <w:p>
      <w:pPr>
        <w:spacing w:after="0" w:line="160" w:lineRule="exact"/>
        <w:rPr>
          <w:sz w:val="20"/>
          <w:szCs w:val="20"/>
          <w:color w:val="auto"/>
        </w:rPr>
      </w:pPr>
    </w:p>
    <w:p>
      <w:pPr>
        <w:ind w:left="460" w:right="60" w:firstLine="379"/>
        <w:spacing w:after="0" w:line="253" w:lineRule="auto"/>
        <w:rPr>
          <w:sz w:val="20"/>
          <w:szCs w:val="20"/>
          <w:color w:val="auto"/>
        </w:rPr>
      </w:pPr>
      <w:r>
        <w:rPr>
          <w:rFonts w:ascii="Times New Roman" w:cs="Times New Roman" w:eastAsia="Times New Roman" w:hAnsi="Times New Roman"/>
          <w:sz w:val="15"/>
          <w:szCs w:val="15"/>
          <w:color w:val="auto"/>
        </w:rPr>
        <w:t>If we determine we are a PFIC for any taxable year, upon written request by a U.S. Holder, we will endeavor to provide to such U.S. Holder such information as the IRS may require, including a PFIC annual information statement, in order to enable such U.S. Holder to make and maintain a “qualified electing fund” (“QEF”) election with respect to its Class A ordinary shares, but there is no assurance that we will timely provide such required information. Furthermore, a U.S. Holder may not make a QEF election with respect to its rights to acquire our Class A ordinary shares. The rules dealing with PFICs and with the QEF election are very complex and are affected by various factors in addition to those described in this prospectus. Accordingly, U.S. investors are strongly urged to consult with and rely solely upon their own tax advisors regarding the application of the PFIC rules to them in their particular circumstances.</w:t>
      </w:r>
    </w:p>
    <w:p>
      <w:pPr>
        <w:spacing w:after="0" w:line="342" w:lineRule="exact"/>
        <w:rPr>
          <w:sz w:val="20"/>
          <w:szCs w:val="20"/>
          <w:color w:val="auto"/>
        </w:rPr>
      </w:pPr>
    </w:p>
    <w:p>
      <w:pPr>
        <w:ind w:left="460" w:right="440" w:firstLine="379"/>
        <w:spacing w:after="0" w:line="284" w:lineRule="auto"/>
        <w:rPr>
          <w:sz w:val="20"/>
          <w:szCs w:val="20"/>
          <w:color w:val="auto"/>
        </w:rPr>
      </w:pPr>
      <w:r>
        <w:rPr>
          <w:rFonts w:ascii="Times New Roman" w:cs="Times New Roman" w:eastAsia="Times New Roman" w:hAnsi="Times New Roman"/>
          <w:sz w:val="15"/>
          <w:szCs w:val="15"/>
          <w:color w:val="auto"/>
        </w:rPr>
        <w:t>For a more detailed discussion of the PFIC rules and the related tax considerations for U.S. Holders, see the section of this prospectus captioned “Taxation—Material United States Federal Income Tax Considerations—U.S. Holders—Passive Foreign Investment Company Rules.”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108</w:t>
      </w:r>
    </w:p>
    <w:p>
      <w:pPr>
        <w:sectPr>
          <w:pgSz w:w="11900" w:h="16840" w:orient="portrait"/>
          <w:cols w:equalWidth="0" w:num="1">
            <w:col w:w="10140"/>
          </w:cols>
          <w:pgMar w:left="660" w:top="874" w:right="1100" w:bottom="1440" w:gutter="0" w:footer="0" w:header="0"/>
        </w:sectPr>
      </w:pPr>
    </w:p>
    <w:bookmarkStart w:id="119" w:name="page120"/>
    <w:bookmarkEnd w:id="1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120"/>
        <w:spacing w:after="0" w:line="289" w:lineRule="auto"/>
        <w:rPr>
          <w:sz w:val="20"/>
          <w:szCs w:val="20"/>
          <w:color w:val="auto"/>
        </w:rPr>
      </w:pPr>
      <w:r>
        <w:rPr>
          <w:rFonts w:ascii="Times New Roman" w:cs="Times New Roman" w:eastAsia="Times New Roman" w:hAnsi="Times New Roman"/>
          <w:sz w:val="15"/>
          <w:szCs w:val="15"/>
          <w:i w:val="1"/>
          <w:iCs w:val="1"/>
          <w:color w:val="auto"/>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p>
    <w:p>
      <w:pPr>
        <w:spacing w:after="0" w:line="133"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The Inflation Reduction Act of 2022 provides for, among other things, a new 1% U.S. federal excise tax on certain repurchases (including redemptions) of stock by publicly traded U.S. corporations after December 31, 2022 (the “stock buyback tax”), subject to certain exceptions. If applicable, the amount of the stock buyback tax is generally 1% of the aggregate fair market value of any stock repurchased by the corporation during a taxable year, net of the aggregate fair market value of certain new stock issuances by the repurchasing corporation during the same taxable year. The Biden administration has proposed increasing the stock buyback tax rate from 1% to 4%; however, it is unclear whether such a change will be enacted and, if enacted, how soon it could take effect. In addition, the U.S. Treasury Department and IRS have released preliminary guidance that would potentially cause a non-U.S. corporation’s U.S. subsidiaries to be subject to the stock buyback tax with respect to any share repurchases made by the non-U.S. corporation under certain circumstances.</w:t>
      </w:r>
    </w:p>
    <w:p>
      <w:pPr>
        <w:spacing w:after="0" w:line="343"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color w:val="auto"/>
        </w:rPr>
        <w:t>As an entity incorporated as a Cayman Islands exempted company, the stock buyback tax is currently not expected to apply to redemptions of our public shares (absent any regulations or other additional guidance that may be issued in the future). However, in connection with an initial business combination involving a company organized under the laws of the United States (or any subdivision thereof), it is possible that we domesticate and continue as a Delaware corporation prior to certain redemptions. Because we expect that, following such a domestication, our securities would continue to trade on Nasdaq, in such a case we could be subject to the stock buyback tax with respect to any subsequent redemptions (including redemptions in connection with the initial business combination) that are treated as repurchases for this purpose. In all cases, whether and to what extent we would be subject to the stock buyback tax will depend on a number of factors, including (i) the structure of the initial business combination, including the extent to which the initial business combination involves a U.S. corporation and the extent to which we issue shares in the initial business combination or otherwise during the same taxable year that are eligible to offset any redemptions or other repurchases, (ii) the fair market value of the shares redeemed and (iii) the extent such redemptions could be treated as dividends and not as repurchases. The applicability of the stock buyback tax to us could be further affected by the content of any regulations, clarifications or other additional guidance from the U.S. Treasury Department that may be issued and applicable to the redemptions.</w:t>
      </w:r>
    </w:p>
    <w:p>
      <w:pPr>
        <w:spacing w:after="0" w:line="167"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Any stock buyback tax that becomes payable as a result of any redemptions of our public shares (or other shares into which such public shares may be converted) in connection with our initial business combination or otherwise would be payable by us and not by the redeeming holder. To the extent such taxes are applicable, the amount of cash available to pay redemptions or to transfer to the target business in connection with our initial business combination may be reduced, which could result in our inability to meet conditions in the agreement relating to our initial business combination related to a minimum cash requirement, if any, or otherwise result in the shareholders of the combined company (including any of our shareholders who do not exercise their redemption rights in connection with the initial business combination) to economically bear the impact of such stock buyback tax.</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100" w:lineRule="exact"/>
        <w:rPr>
          <w:sz w:val="20"/>
          <w:szCs w:val="20"/>
          <w:color w:val="auto"/>
        </w:rPr>
      </w:pPr>
    </w:p>
    <w:p>
      <w:pPr>
        <w:ind w:left="460" w:right="180"/>
        <w:spacing w:after="0" w:line="289" w:lineRule="auto"/>
        <w:rPr>
          <w:sz w:val="20"/>
          <w:szCs w:val="20"/>
          <w:color w:val="auto"/>
        </w:rPr>
      </w:pPr>
      <w:r>
        <w:rPr>
          <w:rFonts w:ascii="Times New Roman" w:cs="Times New Roman" w:eastAsia="Times New Roman" w:hAnsi="Times New Roman"/>
          <w:sz w:val="15"/>
          <w:szCs w:val="15"/>
          <w:i w:val="1"/>
          <w:iCs w:val="1"/>
          <w:color w:val="auto"/>
        </w:rPr>
        <w:t>We are a blank check company with no operating history and no revenues, and you have no basis on which to evaluate our ability to achieve our business objective.</w:t>
      </w:r>
    </w:p>
    <w:p>
      <w:pPr>
        <w:spacing w:after="0" w:line="133" w:lineRule="exact"/>
        <w:rPr>
          <w:sz w:val="20"/>
          <w:szCs w:val="20"/>
          <w:color w:val="auto"/>
        </w:rPr>
      </w:pPr>
    </w:p>
    <w:p>
      <w:pPr>
        <w:ind w:left="460" w:right="20" w:firstLine="379"/>
        <w:spacing w:after="0" w:line="259" w:lineRule="auto"/>
        <w:rPr>
          <w:sz w:val="20"/>
          <w:szCs w:val="20"/>
          <w:color w:val="auto"/>
        </w:rPr>
      </w:pPr>
      <w:r>
        <w:rPr>
          <w:rFonts w:ascii="Times New Roman" w:cs="Times New Roman" w:eastAsia="Times New Roman" w:hAnsi="Times New Roman"/>
          <w:sz w:val="15"/>
          <w:szCs w:val="15"/>
          <w:color w:val="auto"/>
        </w:rPr>
        <w:t>We are a blank check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To date, our efforts have been limited to organizational activities as well as activities related to this offering. We have not selected any specific business combination target and may be unable to</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109</w:t>
      </w:r>
    </w:p>
    <w:p>
      <w:pPr>
        <w:sectPr>
          <w:pgSz w:w="11900" w:h="16840" w:orient="portrait"/>
          <w:cols w:equalWidth="0" w:num="1">
            <w:col w:w="10120"/>
          </w:cols>
          <w:pgMar w:left="660" w:top="874" w:right="1120" w:bottom="1440" w:gutter="0" w:footer="0" w:header="0"/>
        </w:sectPr>
      </w:pPr>
    </w:p>
    <w:bookmarkStart w:id="120" w:name="page121"/>
    <w:bookmarkEnd w:id="1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complete our initial business combination. If we fail to complete our initial business combination, we will never generate any operating revenues.</w:t>
      </w:r>
    </w:p>
    <w:p>
      <w:pPr>
        <w:spacing w:after="0" w:line="191" w:lineRule="exact"/>
        <w:rPr>
          <w:sz w:val="20"/>
          <w:szCs w:val="20"/>
          <w:color w:val="auto"/>
        </w:rPr>
      </w:pPr>
    </w:p>
    <w:p>
      <w:pPr>
        <w:ind w:left="460" w:right="180"/>
        <w:spacing w:after="0" w:line="289" w:lineRule="auto"/>
        <w:rPr>
          <w:sz w:val="20"/>
          <w:szCs w:val="20"/>
          <w:color w:val="auto"/>
        </w:rPr>
      </w:pPr>
      <w:r>
        <w:rPr>
          <w:rFonts w:ascii="Times New Roman" w:cs="Times New Roman" w:eastAsia="Times New Roman" w:hAnsi="Times New Roman"/>
          <w:sz w:val="15"/>
          <w:szCs w:val="15"/>
          <w:i w:val="1"/>
          <w:iCs w:val="1"/>
          <w:color w:val="auto"/>
        </w:rPr>
        <w:t>Our sponsor has the ability to remove itself as the Company’s sponsor or to substantially reduce its interests in the Company before identifying a business combination, which may result in change in the strategy and focus of our Company in pursuing a business combination.</w:t>
      </w:r>
    </w:p>
    <w:p>
      <w:pPr>
        <w:spacing w:after="0" w:line="133"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In addition, the members of our sponsor could, with the permission of the sponsor’s managing member, transfer their membership interests in the sponsor, thereby transferring control of our sponsor to a third party. Through the forgoing means, our sponsor may remove itself as the Company’s sponsor, substantially reduce its interests in the Company, or have its control transferred to a third party before we identify a business combination. Any such reduction of the interests of our sponsor in the securities of the Company or transfer of sponsor interests may lead to the sponsor’s managing member no longer having voting power and control over the affairs of the Company in pursuing a business combination. This could also result in a change to our management team, acquisition strategy and criteria and our industry focus without shareholders having the ability to consider the merits of a change in the management team. Additionally, there can be no assurance that any replacement sponsor will successfully identify a business combination target for us, or, even if one is so identified, successfully complete such business combination.</w:t>
      </w:r>
    </w:p>
    <w:p>
      <w:pPr>
        <w:spacing w:after="0" w:line="158" w:lineRule="exact"/>
        <w:rPr>
          <w:sz w:val="20"/>
          <w:szCs w:val="20"/>
          <w:color w:val="auto"/>
        </w:rPr>
      </w:pPr>
    </w:p>
    <w:p>
      <w:pPr>
        <w:ind w:left="460" w:right="280"/>
        <w:spacing w:after="0" w:line="289" w:lineRule="auto"/>
        <w:rPr>
          <w:sz w:val="20"/>
          <w:szCs w:val="20"/>
          <w:color w:val="auto"/>
        </w:rPr>
      </w:pPr>
      <w:r>
        <w:rPr>
          <w:rFonts w:ascii="Times New Roman" w:cs="Times New Roman" w:eastAsia="Times New Roman" w:hAnsi="Times New Roman"/>
          <w:sz w:val="15"/>
          <w:szCs w:val="15"/>
          <w:i w:val="1"/>
          <w:iCs w:val="1"/>
          <w:color w:val="auto"/>
        </w:rPr>
        <w:t>We are an “emerging growth company” and we cannot be certain if the reduced disclosure requirements applicable to emerging growth companies will make our securities less attractive to investors.</w:t>
      </w:r>
    </w:p>
    <w:p>
      <w:pPr>
        <w:spacing w:after="0" w:line="133"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public shares held by non-affiliates exceeds $700 million as of any June 30 before that time, in which case we would no longer be an emerging growth company as of the following January 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67" w:lineRule="exact"/>
        <w:rPr>
          <w:sz w:val="20"/>
          <w:szCs w:val="20"/>
          <w:color w:val="auto"/>
        </w:rPr>
      </w:pPr>
    </w:p>
    <w:p>
      <w:pPr>
        <w:ind w:left="460" w:right="40" w:firstLine="379"/>
        <w:spacing w:after="0" w:line="252" w:lineRule="auto"/>
        <w:rPr>
          <w:sz w:val="20"/>
          <w:szCs w:val="20"/>
          <w:color w:val="auto"/>
        </w:rPr>
      </w:pPr>
      <w:r>
        <w:rPr>
          <w:rFonts w:ascii="Times New Roman" w:cs="Times New Roman" w:eastAsia="Times New Roman" w:hAnsi="Times New Roman"/>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a comparison of our financial statements with another public company, unless it is an emerging growth company that has not opted out of using the extended transition period, difficult or impossible because of the potential differences in accounting standards used.</w:t>
      </w:r>
    </w:p>
    <w:p>
      <w:pPr>
        <w:spacing w:after="0" w:line="3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110</w:t>
      </w:r>
    </w:p>
    <w:p>
      <w:pPr>
        <w:sectPr>
          <w:pgSz w:w="11900" w:h="16840" w:orient="portrait"/>
          <w:cols w:equalWidth="0" w:num="1">
            <w:col w:w="10140"/>
          </w:cols>
          <w:pgMar w:left="660" w:top="874" w:right="1100" w:bottom="1440" w:gutter="0" w:footer="0" w:header="0"/>
        </w:sectPr>
      </w:pPr>
    </w:p>
    <w:bookmarkStart w:id="121" w:name="page122"/>
    <w:bookmarkEnd w:id="1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firstLine="379"/>
        <w:spacing w:after="0" w:line="254" w:lineRule="auto"/>
        <w:rPr>
          <w:sz w:val="20"/>
          <w:szCs w:val="20"/>
          <w:color w:val="auto"/>
        </w:rPr>
      </w:pPr>
      <w:r>
        <w:rPr>
          <w:rFonts w:ascii="Times New Roman" w:cs="Times New Roman" w:eastAsia="Times New Roman" w:hAnsi="Times New Roman"/>
          <w:sz w:val="15"/>
          <w:szCs w:val="15"/>
          <w:color w:val="auto"/>
        </w:rPr>
        <w:t>Additionally, we are a “smaller reporting company” as defined in Item 10(f)(1) of Regulation S -K.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w:t>
      </w:r>
    </w:p>
    <w:p>
      <w:pPr>
        <w:spacing w:after="0" w:line="1" w:lineRule="exact"/>
        <w:rPr>
          <w:sz w:val="20"/>
          <w:szCs w:val="20"/>
          <w:color w:val="auto"/>
        </w:rPr>
      </w:pPr>
    </w:p>
    <w:p>
      <w:pPr>
        <w:jc w:val="both"/>
        <w:ind w:left="460"/>
        <w:spacing w:after="0" w:line="254" w:lineRule="auto"/>
        <w:rPr>
          <w:sz w:val="20"/>
          <w:szCs w:val="20"/>
          <w:color w:val="auto"/>
        </w:rPr>
      </w:pPr>
      <w:r>
        <w:rPr>
          <w:rFonts w:ascii="Times New Roman" w:cs="Times New Roman" w:eastAsia="Times New Roman" w:hAnsi="Times New Roman"/>
          <w:sz w:val="15"/>
          <w:szCs w:val="15"/>
          <w:color w:val="auto"/>
        </w:rPr>
        <w:t>$220 million as of the prior June 30, and (2) our annual revenues equaled or exceeded $ 100 million during such completed fiscal year or the market value of our ordinary shares held by non-affiliates equals or exceeds $700 million as of the prior June 30. To the extent we take advantage of such reduced disclosure obligations, it may also make comparison of our financial statements with other public companies difficult or impossible.</w:t>
      </w:r>
    </w:p>
    <w:p>
      <w:pPr>
        <w:spacing w:after="0" w:line="155" w:lineRule="exact"/>
        <w:rPr>
          <w:sz w:val="20"/>
          <w:szCs w:val="20"/>
          <w:color w:val="auto"/>
        </w:rPr>
      </w:pPr>
    </w:p>
    <w:p>
      <w:pPr>
        <w:ind w:left="460" w:right="180"/>
        <w:spacing w:after="0" w:line="289" w:lineRule="auto"/>
        <w:rPr>
          <w:sz w:val="20"/>
          <w:szCs w:val="20"/>
          <w:color w:val="auto"/>
        </w:rPr>
      </w:pPr>
      <w:r>
        <w:rPr>
          <w:rFonts w:ascii="Times New Roman" w:cs="Times New Roman" w:eastAsia="Times New Roman" w:hAnsi="Times New Roman"/>
          <w:sz w:val="15"/>
          <w:szCs w:val="15"/>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33" w:lineRule="exact"/>
        <w:rPr>
          <w:sz w:val="20"/>
          <w:szCs w:val="20"/>
          <w:color w:val="auto"/>
        </w:rPr>
      </w:pPr>
    </w:p>
    <w:p>
      <w:pPr>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51"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Our corporate affairs and the rights of shareholders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For a more detailed discussion of the principal differences between the provisions of the Companies Act applicable to us and, for example, the laws applicable to companies incorporated in the United States and their shareholders, see the section of this prospectus captioned “</w:t>
      </w:r>
      <w:r>
        <w:rPr>
          <w:rFonts w:ascii="Times New Roman" w:cs="Times New Roman" w:eastAsia="Times New Roman" w:hAnsi="Times New Roman"/>
          <w:sz w:val="15"/>
          <w:szCs w:val="15"/>
          <w:i w:val="1"/>
          <w:iCs w:val="1"/>
          <w:color w:val="auto"/>
        </w:rPr>
        <w:t>Description of Securities — Certain Differences in Corporate Law</w:t>
      </w:r>
      <w:r>
        <w:rPr>
          <w:rFonts w:ascii="Times New Roman" w:cs="Times New Roman" w:eastAsia="Times New Roman" w:hAnsi="Times New Roman"/>
          <w:sz w:val="15"/>
          <w:szCs w:val="15"/>
          <w:color w:val="auto"/>
        </w:rPr>
        <w:t>.”</w:t>
      </w:r>
    </w:p>
    <w:p>
      <w:pPr>
        <w:spacing w:after="0" w:line="165"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58" w:lineRule="exact"/>
        <w:rPr>
          <w:sz w:val="20"/>
          <w:szCs w:val="20"/>
          <w:color w:val="auto"/>
        </w:rPr>
      </w:pPr>
    </w:p>
    <w:p>
      <w:pPr>
        <w:ind w:left="460" w:right="180" w:firstLine="379"/>
        <w:spacing w:after="0" w:line="258" w:lineRule="auto"/>
        <w:rPr>
          <w:sz w:val="20"/>
          <w:szCs w:val="20"/>
          <w:color w:val="auto"/>
        </w:rPr>
      </w:pPr>
      <w:r>
        <w:rPr>
          <w:rFonts w:ascii="Times New Roman" w:cs="Times New Roman" w:eastAsia="Times New Roman" w:hAnsi="Times New Roman"/>
          <w:sz w:val="15"/>
          <w:szCs w:val="15"/>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w:t>
      </w:r>
    </w:p>
    <w:p>
      <w:pPr>
        <w:jc w:val="both"/>
        <w:ind w:left="460" w:right="180" w:hanging="5"/>
        <w:spacing w:after="0" w:line="250" w:lineRule="auto"/>
        <w:tabs>
          <w:tab w:leader="none" w:pos="68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w:t>
      </w:r>
    </w:p>
    <w:p>
      <w:pPr>
        <w:spacing w:after="0" w:line="12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111</w:t>
      </w:r>
    </w:p>
    <w:p>
      <w:pPr>
        <w:sectPr>
          <w:pgSz w:w="11900" w:h="16840" w:orient="portrait"/>
          <w:cols w:equalWidth="0" w:num="1">
            <w:col w:w="10100"/>
          </w:cols>
          <w:pgMar w:left="660" w:top="874" w:right="1140" w:bottom="1440" w:gutter="0" w:footer="0" w:header="0"/>
        </w:sectPr>
      </w:pPr>
    </w:p>
    <w:bookmarkStart w:id="122" w:name="page123"/>
    <w:bookmarkEnd w:id="1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200"/>
        <w:spacing w:after="0" w:line="257" w:lineRule="auto"/>
        <w:rPr>
          <w:sz w:val="20"/>
          <w:szCs w:val="20"/>
          <w:color w:val="auto"/>
        </w:rPr>
      </w:pPr>
      <w:r>
        <w:rPr>
          <w:rFonts w:ascii="Times New Roman" w:cs="Times New Roman" w:eastAsia="Times New Roman" w:hAnsi="Times New Roman"/>
          <w:sz w:val="15"/>
          <w:szCs w:val="15"/>
          <w:color w:val="auto"/>
        </w:rPr>
        <w:t xml:space="preserve">which judgment has been given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58" w:lineRule="exact"/>
        <w:rPr>
          <w:sz w:val="20"/>
          <w:szCs w:val="20"/>
          <w:color w:val="auto"/>
        </w:rPr>
      </w:pPr>
    </w:p>
    <w:p>
      <w:pPr>
        <w:ind w:left="460" w:right="180" w:firstLine="379"/>
        <w:spacing w:after="0" w:line="284" w:lineRule="auto"/>
        <w:rPr>
          <w:sz w:val="20"/>
          <w:szCs w:val="20"/>
          <w:color w:val="auto"/>
        </w:rPr>
      </w:pPr>
      <w:r>
        <w:rPr>
          <w:rFonts w:ascii="Times New Roman" w:cs="Times New Roman" w:eastAsia="Times New Roman" w:hAnsi="Times New Roman"/>
          <w:sz w:val="15"/>
          <w:szCs w:val="15"/>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33" w:lineRule="exact"/>
        <w:rPr>
          <w:sz w:val="20"/>
          <w:szCs w:val="20"/>
          <w:color w:val="auto"/>
        </w:rPr>
      </w:pPr>
    </w:p>
    <w:p>
      <w:pPr>
        <w:ind w:left="460" w:right="200"/>
        <w:spacing w:after="0" w:line="289" w:lineRule="auto"/>
        <w:rPr>
          <w:sz w:val="20"/>
          <w:szCs w:val="20"/>
          <w:color w:val="auto"/>
        </w:rPr>
      </w:pPr>
      <w:r>
        <w:rPr>
          <w:rFonts w:ascii="Times New Roman" w:cs="Times New Roman" w:eastAsia="Times New Roman" w:hAnsi="Times New Roman"/>
          <w:sz w:val="15"/>
          <w:szCs w:val="15"/>
          <w:i w:val="1"/>
          <w:iCs w:val="1"/>
          <w:color w:val="auto"/>
        </w:rPr>
        <w:t>Compliance obligations under the Sarbanes-Oxley Act may make it more difficult for us to effectuate our initial business combination, require substantial financial and management resources, and increase the time and costs of completing a business combination.</w:t>
      </w:r>
    </w:p>
    <w:p>
      <w:pPr>
        <w:spacing w:after="0" w:line="133"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Section 404 of the Sarbanes-Oxley Act requires that we evaluate and report on our system of internal controls beginning with our Annual Report on Form 10-K for the year ending December 31, 2025.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 -Oxley Act particularly burdensome on us as compared to other public companies because a target company with which we seek to complete our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336" w:lineRule="exact"/>
        <w:rPr>
          <w:sz w:val="20"/>
          <w:szCs w:val="20"/>
          <w:color w:val="auto"/>
        </w:rPr>
      </w:pPr>
    </w:p>
    <w:p>
      <w:pPr>
        <w:ind w:left="460" w:right="20"/>
        <w:spacing w:after="0" w:line="289" w:lineRule="auto"/>
        <w:rPr>
          <w:sz w:val="20"/>
          <w:szCs w:val="20"/>
          <w:color w:val="auto"/>
        </w:rPr>
      </w:pPr>
      <w:r>
        <w:rPr>
          <w:rFonts w:ascii="Times New Roman" w:cs="Times New Roman" w:eastAsia="Times New Roman" w:hAnsi="Times New Roman"/>
          <w:sz w:val="15"/>
          <w:szCs w:val="15"/>
          <w:i w:val="1"/>
          <w:iCs w:val="1"/>
          <w:color w:val="auto"/>
        </w:rPr>
        <w:t>Provisions in our amended and restated memorandum and articles of association may inhibit a takeover of us, which could limit the price investors might be willing to pay in the future for our ordinary shares and could entrench management.</w:t>
      </w:r>
    </w:p>
    <w:p>
      <w:pPr>
        <w:spacing w:after="0" w:line="133" w:lineRule="exact"/>
        <w:rPr>
          <w:sz w:val="20"/>
          <w:szCs w:val="20"/>
          <w:color w:val="auto"/>
        </w:rPr>
      </w:pPr>
    </w:p>
    <w:p>
      <w:pPr>
        <w:ind w:left="460" w:right="20" w:firstLine="379"/>
        <w:spacing w:after="0" w:line="259"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52" w:lineRule="exact"/>
        <w:rPr>
          <w:sz w:val="20"/>
          <w:szCs w:val="20"/>
          <w:color w:val="auto"/>
        </w:rPr>
      </w:pPr>
    </w:p>
    <w:p>
      <w:pPr>
        <w:ind w:left="460" w:right="100"/>
        <w:spacing w:after="0" w:line="268" w:lineRule="auto"/>
        <w:rPr>
          <w:sz w:val="20"/>
          <w:szCs w:val="20"/>
          <w:color w:val="auto"/>
        </w:rPr>
      </w:pPr>
      <w:r>
        <w:rPr>
          <w:rFonts w:ascii="Times New Roman" w:cs="Times New Roman" w:eastAsia="Times New Roman" w:hAnsi="Times New Roman"/>
          <w:sz w:val="15"/>
          <w:szCs w:val="15"/>
          <w:i w:val="1"/>
          <w:iCs w:val="1"/>
          <w:color w:val="auto"/>
        </w:rPr>
        <w:t>Our amended and restated memorandum and articles of association provide that the courts of the Cayman Islands will be the exclusive forums for certain disputes between us and our shareholders, which could limit our shareholders’ ability to obtain a favorable judicial forum for complaints against us or our directors, officers or employees.</w:t>
      </w:r>
    </w:p>
    <w:p>
      <w:pPr>
        <w:spacing w:after="0" w:line="149"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provide that 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w:t>
      </w:r>
    </w:p>
    <w:p>
      <w:pPr>
        <w:spacing w:after="0" w:line="1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112</w:t>
      </w:r>
    </w:p>
    <w:p>
      <w:pPr>
        <w:sectPr>
          <w:pgSz w:w="11900" w:h="16840" w:orient="portrait"/>
          <w:cols w:equalWidth="0" w:num="1">
            <w:col w:w="10140"/>
          </w:cols>
          <w:pgMar w:left="660" w:top="874" w:right="1100" w:bottom="1440" w:gutter="0" w:footer="0" w:header="0"/>
        </w:sectPr>
      </w:pPr>
    </w:p>
    <w:bookmarkStart w:id="123" w:name="page124"/>
    <w:bookmarkEnd w:id="1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160"/>
        <w:spacing w:after="0" w:line="256" w:lineRule="auto"/>
        <w:rPr>
          <w:sz w:val="20"/>
          <w:szCs w:val="20"/>
          <w:color w:val="auto"/>
        </w:rPr>
      </w:pPr>
      <w:r>
        <w:rPr>
          <w:rFonts w:ascii="Times New Roman" w:cs="Times New Roman" w:eastAsia="Times New Roman" w:hAnsi="Times New Roman"/>
          <w:sz w:val="15"/>
          <w:szCs w:val="15"/>
          <w:color w:val="auto"/>
        </w:rPr>
        <w:t>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w:t>
      </w:r>
    </w:p>
    <w:p>
      <w:pPr>
        <w:spacing w:after="0" w:line="158" w:lineRule="exact"/>
        <w:rPr>
          <w:sz w:val="20"/>
          <w:szCs w:val="20"/>
          <w:color w:val="auto"/>
        </w:rPr>
      </w:pPr>
    </w:p>
    <w:p>
      <w:pPr>
        <w:ind w:left="460" w:right="220" w:firstLine="379"/>
        <w:spacing w:after="0" w:line="259"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156"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158" w:lineRule="exact"/>
        <w:rPr>
          <w:sz w:val="20"/>
          <w:szCs w:val="20"/>
          <w:color w:val="auto"/>
        </w:rPr>
      </w:pPr>
    </w:p>
    <w:p>
      <w:pPr>
        <w:ind w:left="460" w:right="520"/>
        <w:spacing w:after="0" w:line="289" w:lineRule="auto"/>
        <w:rPr>
          <w:sz w:val="20"/>
          <w:szCs w:val="20"/>
          <w:color w:val="auto"/>
        </w:rPr>
      </w:pPr>
      <w:r>
        <w:rPr>
          <w:rFonts w:ascii="Times New Roman" w:cs="Times New Roman" w:eastAsia="Times New Roman" w:hAnsi="Times New Roman"/>
          <w:sz w:val="15"/>
          <w:szCs w:val="15"/>
          <w:i w:val="1"/>
          <w:iCs w:val="1"/>
          <w:color w:val="auto"/>
        </w:rPr>
        <w:t>Our independent registered public accounting firm’s report contains an explanatory paragraph that expresses substantial doubt about our ability to continue as a “going concern.”</w:t>
      </w:r>
    </w:p>
    <w:p>
      <w:pPr>
        <w:spacing w:after="0" w:line="133" w:lineRule="exact"/>
        <w:rPr>
          <w:sz w:val="20"/>
          <w:szCs w:val="20"/>
          <w:color w:val="auto"/>
        </w:rPr>
      </w:pPr>
    </w:p>
    <w:p>
      <w:pPr>
        <w:ind w:left="460" w:right="60" w:firstLine="379"/>
        <w:spacing w:after="0" w:line="254" w:lineRule="auto"/>
        <w:rPr>
          <w:sz w:val="20"/>
          <w:szCs w:val="20"/>
          <w:color w:val="auto"/>
        </w:rPr>
      </w:pPr>
      <w:r>
        <w:rPr>
          <w:rFonts w:ascii="Times New Roman" w:cs="Times New Roman" w:eastAsia="Times New Roman" w:hAnsi="Times New Roman"/>
          <w:sz w:val="15"/>
          <w:szCs w:val="15"/>
          <w:color w:val="auto"/>
        </w:rPr>
        <w:t>As of July 21, 2025, we had $125,000 in cash and working capital of $5,668. Further, we expect to incur significant costs in pursuit of our acquisition plans. Management’s plans to address this need for capital through this offering are discussed in the section of this prospectus titled “</w:t>
      </w:r>
      <w:r>
        <w:rPr>
          <w:rFonts w:ascii="Times New Roman" w:cs="Times New Roman" w:eastAsia="Times New Roman" w:hAnsi="Times New Roman"/>
          <w:sz w:val="15"/>
          <w:szCs w:val="15"/>
          <w:i w:val="1"/>
          <w:iCs w:val="1"/>
          <w:color w:val="auto"/>
        </w:rPr>
        <w:t>Management’s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Discussion and Analysis of Financial Condition and Results of Operations</w:t>
      </w:r>
      <w:r>
        <w:rPr>
          <w:rFonts w:ascii="Times New Roman" w:cs="Times New Roman" w:eastAsia="Times New Roman" w:hAnsi="Times New Roman"/>
          <w:sz w:val="15"/>
          <w:szCs w:val="15"/>
          <w:color w:val="auto"/>
        </w:rPr>
        <w:t>.” Our plans to raise capital and to consummate our initial business combination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may not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56" w:lineRule="exact"/>
        <w:rPr>
          <w:sz w:val="20"/>
          <w:szCs w:val="20"/>
          <w:color w:val="auto"/>
        </w:rPr>
      </w:pPr>
    </w:p>
    <w:p>
      <w:pPr>
        <w:ind w:left="460" w:right="600"/>
        <w:spacing w:after="0" w:line="289" w:lineRule="auto"/>
        <w:rPr>
          <w:sz w:val="20"/>
          <w:szCs w:val="20"/>
          <w:color w:val="auto"/>
        </w:rPr>
      </w:pPr>
      <w:r>
        <w:rPr>
          <w:rFonts w:ascii="Times New Roman" w:cs="Times New Roman" w:eastAsia="Times New Roman" w:hAnsi="Times New Roman"/>
          <w:sz w:val="15"/>
          <w:szCs w:val="15"/>
          <w:i w:val="1"/>
          <w:iCs w:val="1"/>
          <w:color w:val="auto"/>
        </w:rPr>
        <w:t>Changes in laws or regulations, or a failure to comply with any laws and regulations, may adversely affect our business, investments and results of operations.</w:t>
      </w:r>
    </w:p>
    <w:p>
      <w:pPr>
        <w:spacing w:after="0" w:line="133" w:lineRule="exact"/>
        <w:rPr>
          <w:sz w:val="20"/>
          <w:szCs w:val="20"/>
          <w:color w:val="auto"/>
        </w:rPr>
      </w:pPr>
    </w:p>
    <w:p>
      <w:pPr>
        <w:ind w:left="460" w:right="40" w:firstLine="379"/>
        <w:spacing w:after="0" w:line="256" w:lineRule="auto"/>
        <w:rPr>
          <w:sz w:val="20"/>
          <w:szCs w:val="20"/>
          <w:color w:val="auto"/>
        </w:rPr>
      </w:pPr>
      <w:r>
        <w:rPr>
          <w:rFonts w:ascii="Times New Roman" w:cs="Times New Roman" w:eastAsia="Times New Roman" w:hAnsi="Times New Roman"/>
          <w:sz w:val="15"/>
          <w:szCs w:val="15"/>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113</w:t>
      </w:r>
    </w:p>
    <w:p>
      <w:pPr>
        <w:sectPr>
          <w:pgSz w:w="11900" w:h="16840" w:orient="portrait"/>
          <w:cols w:equalWidth="0" w:num="1">
            <w:col w:w="10120"/>
          </w:cols>
          <w:pgMar w:left="660" w:top="874" w:right="1120" w:bottom="1440" w:gutter="0" w:footer="0" w:header="0"/>
        </w:sectPr>
      </w:pPr>
    </w:p>
    <w:bookmarkStart w:id="124" w:name="page125"/>
    <w:bookmarkEnd w:id="1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240"/>
        <w:spacing w:after="0" w:line="289" w:lineRule="auto"/>
        <w:rPr>
          <w:sz w:val="20"/>
          <w:szCs w:val="20"/>
          <w:color w:val="auto"/>
        </w:rPr>
      </w:pPr>
      <w:r>
        <w:rPr>
          <w:rFonts w:ascii="Times New Roman" w:cs="Times New Roman" w:eastAsia="Times New Roman" w:hAnsi="Times New Roman"/>
          <w:sz w:val="15"/>
          <w:szCs w:val="15"/>
          <w:i w:val="1"/>
          <w:iCs w:val="1"/>
          <w:color w:val="auto"/>
        </w:rPr>
        <w:t>We are subject to changing law and regulations regarding regulatory matters, corporate governance and public disclosure that have increased both our costs and the risk of non-compliance.</w:t>
      </w:r>
    </w:p>
    <w:p>
      <w:pPr>
        <w:spacing w:after="0" w:line="133" w:lineRule="exact"/>
        <w:rPr>
          <w:sz w:val="20"/>
          <w:szCs w:val="20"/>
          <w:color w:val="auto"/>
        </w:rPr>
      </w:pPr>
    </w:p>
    <w:p>
      <w:pPr>
        <w:ind w:left="460" w:right="160" w:firstLine="379"/>
        <w:spacing w:after="0" w:line="259" w:lineRule="auto"/>
        <w:rPr>
          <w:sz w:val="20"/>
          <w:szCs w:val="20"/>
          <w:color w:val="auto"/>
        </w:rPr>
      </w:pPr>
      <w:r>
        <w:rPr>
          <w:rFonts w:ascii="Times New Roman" w:cs="Times New Roman" w:eastAsia="Times New Roman" w:hAnsi="Times New Roman"/>
          <w:sz w:val="15"/>
          <w:szCs w:val="15"/>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56"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52" w:lineRule="exact"/>
        <w:rPr>
          <w:sz w:val="20"/>
          <w:szCs w:val="20"/>
          <w:color w:val="auto"/>
        </w:rPr>
      </w:pPr>
    </w:p>
    <w:p>
      <w:pPr>
        <w:ind w:left="460" w:right="600"/>
        <w:spacing w:after="0" w:line="289" w:lineRule="auto"/>
        <w:rPr>
          <w:sz w:val="20"/>
          <w:szCs w:val="20"/>
          <w:color w:val="auto"/>
        </w:rPr>
      </w:pPr>
      <w:r>
        <w:rPr>
          <w:rFonts w:ascii="Times New Roman" w:cs="Times New Roman" w:eastAsia="Times New Roman" w:hAnsi="Times New Roman"/>
          <w:sz w:val="15"/>
          <w:szCs w:val="15"/>
          <w:i w:val="1"/>
          <w:iCs w:val="1"/>
          <w:color w:val="auto"/>
        </w:rPr>
        <w:t>Changes to laws or regulations or in how such laws or regulations are interpreted or applied, or a failure to comply with any laws, regulations, interpretations or applications may adversely affect our business, including our ability to negotiate and complete our initial business combination.</w:t>
      </w:r>
    </w:p>
    <w:p>
      <w:pPr>
        <w:spacing w:after="0" w:line="133"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color w:val="auto"/>
        </w:rPr>
        <w:t>We are subject to laws and regulations, and interpretations and applications of such laws and regulations, of national, regional, state and local governments and applicable non-U.S. jurisdictions. In particular, we are required to comply with certain SEC and potentially other legal and regulatory requirements, and our consummation of an initial business combination may be contingent upon our ability to comply with certain laws, regulations, interpretations and applications and any post-business combination company may be subject to additional laws, regulations, interpretations and applications. Compliance with, and monitoring of, the foregoing may be difficult, time consuming and costly. Those laws and regulations and their interpretation and application may also change from time to time, and those changes could have a material adverse effect on our business, including our ability to negotiate and complete an initial business combination. A failure to comply with applicable laws or regulations, as interpreted and applied, could have a material adverse effect on our business, including our ability to negotiate and complete our initial business combination.</w:t>
      </w:r>
    </w:p>
    <w:p>
      <w:pPr>
        <w:spacing w:after="0" w:line="162"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On January 24, 2024, the SEC issued final rules (the “2024 SPAC Rules”), which became effective on July 1, 2024, that formally adopted some of the SEC’s proposed rules for SPACs that were released on March 30, 2022. The 2024 SPAC Rules, among other items, impose additional disclosure requirements in initial public offerings by SPACs and business combination transactions involving SPACs and private operating companies; amend the financial statement requirements applicable to business combination transactions involving such companies; update and expand guidance regarding the general use of projections in SEC filings, as well as when projections are disclosed in connection with proposed business combination transactions; increase the potential liability of certain participants in proposed business combination transactions; and could impact the extent to which SPACs could become subject to regulation under the Investment Company Act of 1940. The 2024 SPAC Rules may materially adversely affect our business, including our ability to negotiate and complete, and the costs associated with, our initial business combination, and results of operations.</w:t>
      </w:r>
    </w:p>
    <w:p>
      <w:pPr>
        <w:spacing w:after="0" w:line="158" w:lineRule="exact"/>
        <w:rPr>
          <w:sz w:val="20"/>
          <w:szCs w:val="20"/>
          <w:color w:val="auto"/>
        </w:rPr>
      </w:pPr>
    </w:p>
    <w:p>
      <w:pPr>
        <w:ind w:left="460" w:right="80"/>
        <w:spacing w:after="0" w:line="289" w:lineRule="auto"/>
        <w:rPr>
          <w:sz w:val="20"/>
          <w:szCs w:val="20"/>
          <w:color w:val="auto"/>
        </w:rPr>
      </w:pPr>
      <w:r>
        <w:rPr>
          <w:rFonts w:ascii="Times New Roman" w:cs="Times New Roman" w:eastAsia="Times New Roman" w:hAnsi="Times New Roman"/>
          <w:sz w:val="15"/>
          <w:szCs w:val="15"/>
          <w:i w:val="1"/>
          <w:iCs w:val="1"/>
          <w:color w:val="auto"/>
        </w:rPr>
        <w:t>We may reincorporate in another jurisdiction in connection with our initial business combination and such reincorporation may result in taxes imposed on shareholders.</w:t>
      </w:r>
    </w:p>
    <w:p>
      <w:pPr>
        <w:spacing w:after="0" w:line="133" w:lineRule="exact"/>
        <w:rPr>
          <w:sz w:val="20"/>
          <w:szCs w:val="20"/>
          <w:color w:val="auto"/>
        </w:rPr>
      </w:pPr>
    </w:p>
    <w:p>
      <w:pPr>
        <w:jc w:val="both"/>
        <w:ind w:left="460" w:firstLine="379"/>
        <w:spacing w:after="0" w:line="259" w:lineRule="auto"/>
        <w:rPr>
          <w:sz w:val="20"/>
          <w:szCs w:val="20"/>
          <w:color w:val="auto"/>
        </w:rPr>
      </w:pPr>
      <w:r>
        <w:rPr>
          <w:rFonts w:ascii="Times New Roman" w:cs="Times New Roman" w:eastAsia="Times New Roman" w:hAnsi="Times New Roman"/>
          <w:sz w:val="15"/>
          <w:szCs w:val="15"/>
          <w:color w:val="auto"/>
        </w:rPr>
        <w:t>We may, in connection with our initial business combination,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color w:val="auto"/>
        </w:rPr>
        <w:t>114</w:t>
      </w:r>
    </w:p>
    <w:p>
      <w:pPr>
        <w:sectPr>
          <w:pgSz w:w="11900" w:h="16840" w:orient="portrait"/>
          <w:cols w:equalWidth="0" w:num="1">
            <w:col w:w="10100"/>
          </w:cols>
          <w:pgMar w:left="660" w:top="874" w:right="1140" w:bottom="1440" w:gutter="0" w:footer="0" w:header="0"/>
        </w:sectPr>
      </w:pPr>
    </w:p>
    <w:bookmarkStart w:id="125" w:name="page126"/>
    <w:bookmarkEnd w:id="1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Our initial business combination or reincorporation may result in taxes imposed on shareholders.</w:t>
      </w:r>
    </w:p>
    <w:p>
      <w:pPr>
        <w:spacing w:after="0" w:line="199"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We may, subject to requisite shareholder approval under the Companies Act, effect a business combination with a target company in another jurisdiction, reincorporate in the jurisdiction in which the target company or business is located, or reincorporate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taxes attributable to such income. Shareholders may be subject to withholding taxes or other taxes with respect to their ownership of us after the reincorporation.</w:t>
      </w:r>
    </w:p>
    <w:p>
      <w:pPr>
        <w:spacing w:after="0" w:line="154" w:lineRule="exact"/>
        <w:rPr>
          <w:sz w:val="20"/>
          <w:szCs w:val="20"/>
          <w:color w:val="auto"/>
        </w:rPr>
      </w:pPr>
    </w:p>
    <w:p>
      <w:pPr>
        <w:ind w:left="460" w:right="460"/>
        <w:spacing w:after="0" w:line="289" w:lineRule="auto"/>
        <w:rPr>
          <w:sz w:val="20"/>
          <w:szCs w:val="20"/>
          <w:color w:val="auto"/>
        </w:rPr>
      </w:pPr>
      <w:r>
        <w:rPr>
          <w:rFonts w:ascii="Times New Roman" w:cs="Times New Roman" w:eastAsia="Times New Roman" w:hAnsi="Times New Roman"/>
          <w:sz w:val="15"/>
          <w:szCs w:val="15"/>
          <w:i w:val="1"/>
          <w:iCs w:val="1"/>
          <w:color w:val="auto"/>
        </w:rPr>
        <w:t>Neither the underwriters nor any of their affiliates have an obligation to provide us with potential investment opportunities or to devote any specified amount of time or support to our company’s business.</w:t>
      </w:r>
    </w:p>
    <w:p>
      <w:pPr>
        <w:spacing w:after="0" w:line="133" w:lineRule="exact"/>
        <w:rPr>
          <w:sz w:val="20"/>
          <w:szCs w:val="20"/>
          <w:color w:val="auto"/>
        </w:rPr>
      </w:pPr>
    </w:p>
    <w:p>
      <w:pPr>
        <w:ind w:left="460" w:right="160" w:firstLine="379"/>
        <w:spacing w:after="0" w:line="256" w:lineRule="auto"/>
        <w:rPr>
          <w:sz w:val="20"/>
          <w:szCs w:val="20"/>
          <w:color w:val="auto"/>
        </w:rPr>
      </w:pPr>
      <w:r>
        <w:rPr>
          <w:rFonts w:ascii="Times New Roman" w:cs="Times New Roman" w:eastAsia="Times New Roman" w:hAnsi="Times New Roman"/>
          <w:sz w:val="15"/>
          <w:szCs w:val="15"/>
          <w:color w:val="auto"/>
        </w:rPr>
        <w:t>Neither the underwriters nor any of their affiliates have any legal or contractual obligation to seek on our behalf or to present to us investment opportunities that might be suitable for our business, and may allocate any such opportunities at their discretion to us or other parties. We have no investment management, advisory, consulting or other agreement in place with the underwriters or any of its affiliates that obligates them to undertake efforts on our behalf or that govern the manner in which they will allocate investment opportunities. Even if the underwriters or one of their affiliates refer an opportunity to us, no assurance can be given that such opportunity will result in an acquisition agreement or our initial business combination.</w:t>
      </w:r>
    </w:p>
    <w:p>
      <w:pPr>
        <w:spacing w:after="0" w:line="154" w:lineRule="exact"/>
        <w:rPr>
          <w:sz w:val="20"/>
          <w:szCs w:val="20"/>
          <w:color w:val="auto"/>
        </w:rPr>
      </w:pPr>
    </w:p>
    <w:p>
      <w:pPr>
        <w:ind w:left="460" w:right="80"/>
        <w:spacing w:after="0" w:line="289" w:lineRule="auto"/>
        <w:rPr>
          <w:sz w:val="20"/>
          <w:szCs w:val="20"/>
          <w:color w:val="auto"/>
        </w:rPr>
      </w:pPr>
      <w:r>
        <w:rPr>
          <w:rFonts w:ascii="Times New Roman" w:cs="Times New Roman" w:eastAsia="Times New Roman" w:hAnsi="Times New Roman"/>
          <w:sz w:val="15"/>
          <w:szCs w:val="15"/>
          <w:i w:val="1"/>
          <w:iCs w:val="1"/>
          <w:color w:val="auto"/>
        </w:rPr>
        <w:t>We intend to offer each public shareholder the option to vote in favor of the proposed business combination and still seek redemption of such shareholders’ public shares.</w:t>
      </w:r>
    </w:p>
    <w:p>
      <w:pPr>
        <w:spacing w:after="0" w:line="133" w:lineRule="exact"/>
        <w:rPr>
          <w:sz w:val="20"/>
          <w:szCs w:val="20"/>
          <w:color w:val="auto"/>
        </w:rPr>
      </w:pPr>
    </w:p>
    <w:p>
      <w:pPr>
        <w:ind w:left="460" w:right="80" w:firstLine="379"/>
        <w:spacing w:after="0" w:line="254" w:lineRule="auto"/>
        <w:rPr>
          <w:sz w:val="20"/>
          <w:szCs w:val="20"/>
          <w:color w:val="auto"/>
        </w:rPr>
      </w:pPr>
      <w:r>
        <w:rPr>
          <w:rFonts w:ascii="Times New Roman" w:cs="Times New Roman" w:eastAsia="Times New Roman" w:hAnsi="Times New Roman"/>
          <w:sz w:val="15"/>
          <w:szCs w:val="15"/>
          <w:color w:val="auto"/>
        </w:rPr>
        <w:t>In connection with any meeting held to approve an initial business combination, we will offer each public shareholder (but not our sponsor, executive officers and directors) the right to have his, her or its public shares redeemed for cash (subject to the limitations described elsewhere in this prospectus) regardless of whether such shareholder votes for or against such proposed business combination or votes at all. This is different than other similarly structured blank check companies where shareholders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Because of our structure, other companies may have a competitive advantage and we may not be able to consummate an attractive business combination.</w:t>
      </w:r>
    </w:p>
    <w:p>
      <w:pPr>
        <w:spacing w:after="0" w:line="199"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color w:val="auto"/>
        </w:rPr>
        <w:t>We expect to encounter intense competition from entities other than blank check companies having a business objective similar to ours, including private equity groups,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shareholder approval of our initial business combination may delay the consummation of a transaction. Any of the foregoing may place us at a competitive disadvantage in successfully negotiating our initial business combination.</w:t>
      </w:r>
    </w:p>
    <w:p>
      <w:pPr>
        <w:spacing w:after="0" w:line="162" w:lineRule="exact"/>
        <w:rPr>
          <w:sz w:val="20"/>
          <w:szCs w:val="20"/>
          <w:color w:val="auto"/>
        </w:rPr>
      </w:pPr>
    </w:p>
    <w:p>
      <w:pPr>
        <w:ind w:left="460" w:right="40" w:firstLine="379"/>
        <w:spacing w:after="0" w:line="256" w:lineRule="auto"/>
        <w:rPr>
          <w:sz w:val="20"/>
          <w:szCs w:val="20"/>
          <w:color w:val="auto"/>
        </w:rPr>
      </w:pPr>
      <w:r>
        <w:rPr>
          <w:rFonts w:ascii="Times New Roman" w:cs="Times New Roman" w:eastAsia="Times New Roman" w:hAnsi="Times New Roman"/>
          <w:sz w:val="15"/>
          <w:szCs w:val="15"/>
          <w:color w:val="auto"/>
        </w:rPr>
        <w:t>In addition, we do not intend to hold an annual meeting of shareholders to elect new directors prior to the completion of our business combination. Unless we hold an annual meeting, all of the current directors will continue in office until at least the completion of the business combination. If there is an annual meeting, the entire board of directors will be considered for election, however our initial shareholders, because of their ownership position, will have considerable influence regarding the outcome. Accordingly, our initial shareholders will continue to exert control at least until the completion of our business combination.</w:t>
      </w:r>
    </w:p>
    <w:p>
      <w:pPr>
        <w:spacing w:after="0" w:line="12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115</w:t>
      </w:r>
    </w:p>
    <w:p>
      <w:pPr>
        <w:sectPr>
          <w:pgSz w:w="11900" w:h="16840" w:orient="portrait"/>
          <w:cols w:equalWidth="0" w:num="1">
            <w:col w:w="10120"/>
          </w:cols>
          <w:pgMar w:left="660" w:top="874" w:right="1120" w:bottom="1440" w:gutter="0" w:footer="0" w:header="0"/>
        </w:sectPr>
      </w:pPr>
    </w:p>
    <w:bookmarkStart w:id="126" w:name="page127"/>
    <w:bookmarkEnd w:id="1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Cyber incidents or attacks directed at us could result in information theft, data corruption, operational disruption and/or financial loss.</w:t>
      </w:r>
    </w:p>
    <w:p>
      <w:pPr>
        <w:spacing w:after="0" w:line="199" w:lineRule="exact"/>
        <w:rPr>
          <w:sz w:val="20"/>
          <w:szCs w:val="20"/>
          <w:color w:val="auto"/>
        </w:rPr>
      </w:pPr>
    </w:p>
    <w:p>
      <w:pPr>
        <w:ind w:left="460" w:right="60" w:firstLine="379"/>
        <w:spacing w:after="0" w:line="254" w:lineRule="auto"/>
        <w:rPr>
          <w:sz w:val="20"/>
          <w:szCs w:val="20"/>
          <w:color w:val="auto"/>
        </w:rPr>
      </w:pPr>
      <w:r>
        <w:rPr>
          <w:rFonts w:ascii="Times New Roman" w:cs="Times New Roman" w:eastAsia="Times New Roman" w:hAnsi="Times New Roman"/>
          <w:sz w:val="15"/>
          <w:szCs w:val="15"/>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56" w:lineRule="exact"/>
        <w:rPr>
          <w:sz w:val="20"/>
          <w:szCs w:val="20"/>
          <w:color w:val="auto"/>
        </w:rPr>
      </w:pPr>
    </w:p>
    <w:p>
      <w:pPr>
        <w:ind w:left="460" w:right="120"/>
        <w:spacing w:after="0" w:line="289" w:lineRule="auto"/>
        <w:rPr>
          <w:sz w:val="20"/>
          <w:szCs w:val="20"/>
          <w:color w:val="auto"/>
        </w:rPr>
      </w:pPr>
      <w:r>
        <w:rPr>
          <w:rFonts w:ascii="Times New Roman" w:cs="Times New Roman" w:eastAsia="Times New Roman" w:hAnsi="Times New Roman"/>
          <w:sz w:val="15"/>
          <w:szCs w:val="15"/>
          <w:i w:val="1"/>
          <w:iCs w:val="1"/>
          <w:color w:val="auto"/>
        </w:rPr>
        <w:t>We may face risks related to companies in the A&amp;D, cybersecurity, encryption and quantum technologies, satellite and drone technologies for commercial and defense applications, and semiconductor “system on a chip” (SOC) industry.</w:t>
      </w:r>
    </w:p>
    <w:p>
      <w:pPr>
        <w:spacing w:after="0" w:line="133" w:lineRule="exact"/>
        <w:rPr>
          <w:sz w:val="20"/>
          <w:szCs w:val="20"/>
          <w:color w:val="auto"/>
        </w:rPr>
      </w:pPr>
    </w:p>
    <w:p>
      <w:pPr>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Business combinations with companies in the A&amp;D, cybersecurity, encryption and quantum technologies, satellite and drone technologies for commercial and defense applications, and semiconductor “system on a chip” (SOC) industry entail special considerations and risks. If we are successful in completing a business combination with such a target business, we may be subject to, and possibly adversely affected by, the following risks:</w:t>
      </w:r>
    </w:p>
    <w:p>
      <w:pPr>
        <w:spacing w:after="0" w:line="80" w:lineRule="exact"/>
        <w:rPr>
          <w:sz w:val="20"/>
          <w:szCs w:val="20"/>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compete effectively in a highly competitive environment with many incumbents having substantially greater resources;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manage rapid change, increasing consumer expectations and growth;</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build strong brand identity and improve subscriber or customer satisfaction and loyalty;</w:t>
      </w:r>
    </w:p>
    <w:p>
      <w:pPr>
        <w:spacing w:after="0" w:line="123" w:lineRule="exact"/>
        <w:rPr>
          <w:rFonts w:ascii="Times New Roman" w:cs="Times New Roman" w:eastAsia="Times New Roman" w:hAnsi="Times New Roman"/>
          <w:sz w:val="15"/>
          <w:szCs w:val="15"/>
          <w:color w:val="auto"/>
        </w:rPr>
      </w:pPr>
    </w:p>
    <w:p>
      <w:pPr>
        <w:ind w:left="1300" w:hanging="371"/>
        <w:spacing w:after="0" w:line="284" w:lineRule="auto"/>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reliance on proprietary technology to provide services and to manage our operations, and the failure of this technology to operate effectively, or our failure to use such technology effectively;</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deal with our subscribers’ or customers’ privacy concerns;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attract and retain subscribers or customers;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license or enforce intellectual property rights on which our business may depend;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disruption in our computer systems or those of third parties that we would utilize in our operations;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by us, or a refusal by third parties, to license intellectual property to us upon acceptable terms;</w:t>
      </w:r>
    </w:p>
    <w:p>
      <w:pPr>
        <w:spacing w:after="0" w:line="123" w:lineRule="exact"/>
        <w:rPr>
          <w:rFonts w:ascii="Times New Roman" w:cs="Times New Roman" w:eastAsia="Times New Roman" w:hAnsi="Times New Roman"/>
          <w:sz w:val="15"/>
          <w:szCs w:val="15"/>
          <w:color w:val="auto"/>
        </w:rPr>
      </w:pPr>
    </w:p>
    <w:p>
      <w:pPr>
        <w:ind w:left="1300" w:right="240" w:hanging="371"/>
        <w:spacing w:after="0" w:line="284" w:lineRule="auto"/>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liability for negligence, copyright, or trademark infringement or other claims based on the nature and content of materials that we may distribute;</w:t>
      </w:r>
    </w:p>
    <w:p>
      <w:pPr>
        <w:spacing w:after="0" w:line="65" w:lineRule="exact"/>
        <w:rPr>
          <w:rFonts w:ascii="Times New Roman" w:cs="Times New Roman" w:eastAsia="Times New Roman" w:hAnsi="Times New Roman"/>
          <w:sz w:val="15"/>
          <w:szCs w:val="15"/>
          <w:color w:val="auto"/>
        </w:rPr>
      </w:pPr>
    </w:p>
    <w:p>
      <w:pPr>
        <w:ind w:left="1300" w:right="100" w:hanging="371"/>
        <w:spacing w:after="0" w:line="284" w:lineRule="auto"/>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for the leisure and entertainment time and discretionary spending of subscribers or customers, which may intensify in part due to advances in technology and changes in consumer expectations and behavior;</w:t>
      </w:r>
    </w:p>
    <w:p>
      <w:pPr>
        <w:spacing w:after="0" w:line="65" w:lineRule="exact"/>
        <w:rPr>
          <w:rFonts w:ascii="Times New Roman" w:cs="Times New Roman" w:eastAsia="Times New Roman" w:hAnsi="Times New Roman"/>
          <w:sz w:val="15"/>
          <w:szCs w:val="15"/>
          <w:color w:val="auto"/>
        </w:rPr>
      </w:pPr>
    </w:p>
    <w:p>
      <w:pPr>
        <w:ind w:left="1300" w:right="40" w:hanging="371"/>
        <w:spacing w:after="0" w:line="284" w:lineRule="auto"/>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 or failure of our networks, systems or technology as a result of computer viruses, “cyber-attacks,” misappropriation of data or other malfeasance, as well as outages, natural disasters, terrorist attacks, accidental releases of information or similar events;</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obtain necessary hardware, software and operational support;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reliance on third-party vendors or service providers.</w:t>
      </w:r>
    </w:p>
    <w:p>
      <w:pPr>
        <w:spacing w:after="0" w:line="1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116</w:t>
      </w:r>
    </w:p>
    <w:p>
      <w:pPr>
        <w:sectPr>
          <w:pgSz w:w="11900" w:h="16840" w:orient="portrait"/>
          <w:cols w:equalWidth="0" w:num="1">
            <w:col w:w="10100"/>
          </w:cols>
          <w:pgMar w:left="660" w:top="874" w:right="1140" w:bottom="1440" w:gutter="0" w:footer="0" w:header="0"/>
        </w:sectPr>
      </w:pPr>
    </w:p>
    <w:bookmarkStart w:id="127" w:name="page128"/>
    <w:bookmarkEnd w:id="1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Any of the foregoing could have an adverse impact on our operations following a business combination. However, our efforts in identifying prospective target businesses will not be limited to the A&amp;D, cybersecurity, encryption and quantum technologies, satellite and drone technologies for commercial and defense applications, and semiconductor “system on a chip” (SOC) industry. Accordingly, if we acquire a target business in another industry, we will be subject to risks attendant with the specific industry in which the target business we acquire operates, which may or may not be different than those risks listed above.</w:t>
      </w:r>
    </w:p>
    <w:p>
      <w:pPr>
        <w:spacing w:after="0" w:line="12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117</w:t>
      </w:r>
    </w:p>
    <w:p>
      <w:pPr>
        <w:sectPr>
          <w:pgSz w:w="11900" w:h="16840" w:orient="portrait"/>
          <w:cols w:equalWidth="0" w:num="1">
            <w:col w:w="10060"/>
          </w:cols>
          <w:pgMar w:left="660" w:top="874" w:right="1180" w:bottom="1440" w:gutter="0" w:footer="0" w:header="0"/>
        </w:sectPr>
      </w:pPr>
    </w:p>
    <w:bookmarkStart w:id="128" w:name="page129"/>
    <w:bookmarkEnd w:id="1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9" w:lineRule="exact"/>
        <w:rPr>
          <w:sz w:val="20"/>
          <w:szCs w:val="20"/>
          <w:color w:val="auto"/>
        </w:rPr>
      </w:pPr>
    </w:p>
    <w:p>
      <w:pPr>
        <w:ind w:left="460" w:right="80" w:firstLine="379"/>
        <w:spacing w:after="0" w:line="284" w:lineRule="auto"/>
        <w:rPr>
          <w:sz w:val="20"/>
          <w:szCs w:val="20"/>
          <w:color w:val="auto"/>
        </w:rPr>
      </w:pPr>
      <w:r>
        <w:rPr>
          <w:rFonts w:ascii="Times New Roman" w:cs="Times New Roman" w:eastAsia="Times New Roman" w:hAnsi="Times New Roman"/>
          <w:sz w:val="15"/>
          <w:szCs w:val="15"/>
          <w:color w:val="auto"/>
        </w:rPr>
        <w:t>We are offering 22,000,000 units at an offering price of $10.00 per unit. We estimate that the net proceeds of this offering together with the funds we will receive from the sale of the private investor shares and private placement units will be used as set forth in the following table.</w:t>
      </w:r>
    </w:p>
    <w:p>
      <w:pPr>
        <w:spacing w:after="0" w:line="170" w:lineRule="exact"/>
        <w:rPr>
          <w:sz w:val="20"/>
          <w:szCs w:val="20"/>
          <w:color w:val="auto"/>
        </w:rPr>
      </w:pPr>
    </w:p>
    <w:tbl>
      <w:tblPr>
        <w:tblLayout w:type="fixed"/>
        <w:tblInd w:w="1620" w:type="dxa"/>
        <w:tblCellMar>
          <w:top w:w="0" w:type="dxa"/>
          <w:left w:w="0" w:type="dxa"/>
          <w:bottom w:w="0" w:type="dxa"/>
          <w:right w:w="0" w:type="dxa"/>
        </w:tblCellMar>
      </w:tblPr>
      <w:tr>
        <w:trPr>
          <w:trHeight w:val="154"/>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9"/>
              </w:rPr>
              <w:t>Without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Over-</w:t>
            </w: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Over-Allotment</w:t>
            </w:r>
          </w:p>
        </w:tc>
        <w:tc>
          <w:tcPr>
            <w:tcW w:w="0" w:type="dxa"/>
            <w:vAlign w:val="bottom"/>
          </w:tcPr>
          <w:p>
            <w:pPr>
              <w:spacing w:after="0"/>
              <w:rPr>
                <w:sz w:val="1"/>
                <w:szCs w:val="1"/>
                <w:color w:val="auto"/>
              </w:rPr>
            </w:pPr>
          </w:p>
        </w:tc>
      </w:tr>
      <w:tr>
        <w:trPr>
          <w:trHeight w:val="154"/>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Allotment</w:t>
            </w:r>
          </w:p>
        </w:tc>
        <w:tc>
          <w:tcPr>
            <w:tcW w:w="16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68"/>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Exercised</w:t>
            </w:r>
          </w:p>
        </w:tc>
        <w:tc>
          <w:tcPr>
            <w:tcW w:w="0" w:type="dxa"/>
            <w:vAlign w:val="bottom"/>
          </w:tcPr>
          <w:p>
            <w:pPr>
              <w:spacing w:after="0"/>
              <w:rPr>
                <w:sz w:val="1"/>
                <w:szCs w:val="1"/>
                <w:color w:val="auto"/>
              </w:rPr>
            </w:pPr>
          </w:p>
        </w:tc>
      </w:tr>
      <w:tr>
        <w:trPr>
          <w:trHeight w:val="158"/>
        </w:trPr>
        <w:tc>
          <w:tcPr>
            <w:tcW w:w="484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5"/>
                <w:szCs w:val="15"/>
                <w:i w:val="1"/>
                <w:iCs w:val="1"/>
                <w:color w:val="auto"/>
              </w:rPr>
              <w:t>Gross proceeds</w:t>
            </w: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Offering</w:t>
            </w:r>
            <w:r>
              <w:rPr>
                <w:rFonts w:ascii="Times New Roman" w:cs="Times New Roman" w:eastAsia="Times New Roman" w:hAnsi="Times New Roman"/>
                <w:sz w:val="9"/>
                <w:szCs w:val="9"/>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220,000,000</w:t>
            </w:r>
          </w:p>
        </w:tc>
        <w:tc>
          <w:tcPr>
            <w:tcW w:w="46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Sale of private placement units and private investor shares</w:t>
            </w:r>
            <w:r>
              <w:rPr>
                <w:rFonts w:ascii="Times New Roman" w:cs="Times New Roman" w:eastAsia="Times New Roman" w:hAnsi="Times New Roman"/>
                <w:sz w:val="9"/>
                <w:szCs w:val="9"/>
                <w:color w:val="auto"/>
              </w:rPr>
              <w:t>(2)</w:t>
            </w: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3,357,006</w:t>
            </w:r>
          </w:p>
        </w:tc>
        <w:tc>
          <w:tcPr>
            <w:tcW w:w="4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3,551,578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4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Total gross proceeds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223,357,006</w:t>
            </w:r>
          </w:p>
        </w:tc>
        <w:tc>
          <w:tcPr>
            <w:tcW w:w="460" w:type="dxa"/>
            <w:vAlign w:val="bottom"/>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256,551,578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Offering expenses</w:t>
            </w:r>
            <w:r>
              <w:rPr>
                <w:rFonts w:ascii="Times New Roman" w:cs="Times New Roman" w:eastAsia="Times New Roman" w:hAnsi="Times New Roman"/>
                <w:sz w:val="9"/>
                <w:szCs w:val="9"/>
                <w:i w:val="1"/>
                <w:iCs w:val="1"/>
                <w:color w:val="auto"/>
              </w:rPr>
              <w:t>(3)</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Underwriting discount and commissions</w:t>
            </w:r>
            <w:r>
              <w:rPr>
                <w:rFonts w:ascii="Times New Roman" w:cs="Times New Roman" w:eastAsia="Times New Roman" w:hAnsi="Times New Roman"/>
                <w:sz w:val="9"/>
                <w:szCs w:val="9"/>
                <w:color w:val="auto"/>
              </w:rPr>
              <w:t>(4)(5)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46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1,025,000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Legal fees and expenses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350,000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350,000</w:t>
            </w:r>
          </w:p>
        </w:tc>
        <w:tc>
          <w:tcPr>
            <w:tcW w:w="0" w:type="dxa"/>
            <w:vAlign w:val="bottom"/>
          </w:tcPr>
          <w:p>
            <w:pPr>
              <w:spacing w:after="0"/>
              <w:rPr>
                <w:sz w:val="1"/>
                <w:szCs w:val="1"/>
                <w:color w:val="auto"/>
              </w:rPr>
            </w:pPr>
          </w:p>
        </w:tc>
      </w:tr>
      <w:tr>
        <w:trPr>
          <w:trHeight w:val="178"/>
        </w:trPr>
        <w:tc>
          <w:tcPr>
            <w:tcW w:w="4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Printing</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110,000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110,000</w:t>
            </w:r>
          </w:p>
        </w:tc>
        <w:tc>
          <w:tcPr>
            <w:tcW w:w="0" w:type="dxa"/>
            <w:vAlign w:val="bottom"/>
          </w:tcPr>
          <w:p>
            <w:pPr>
              <w:spacing w:after="0"/>
              <w:rPr>
                <w:sz w:val="1"/>
                <w:szCs w:val="1"/>
                <w:color w:val="auto"/>
              </w:rPr>
            </w:pPr>
          </w:p>
        </w:tc>
      </w:tr>
      <w:tr>
        <w:trPr>
          <w:trHeight w:val="178"/>
        </w:trPr>
        <w:tc>
          <w:tcPr>
            <w:tcW w:w="4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FINRA filing fee</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38,299</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SEC registration fee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42,608</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42,608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Nasdaq listing fee</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85,000</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Miscellaneous expenses</w:t>
            </w:r>
            <w:r>
              <w:rPr>
                <w:rFonts w:ascii="Times New Roman" w:cs="Times New Roman" w:eastAsia="Times New Roman" w:hAnsi="Times New Roman"/>
                <w:sz w:val="9"/>
                <w:szCs w:val="9"/>
                <w:i w:val="1"/>
                <w:iCs w:val="1"/>
                <w:color w:val="auto"/>
              </w:rPr>
              <w:t>(6)</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301,099</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363,671</w:t>
            </w:r>
          </w:p>
        </w:tc>
        <w:tc>
          <w:tcPr>
            <w:tcW w:w="0" w:type="dxa"/>
            <w:vAlign w:val="bottom"/>
          </w:tcPr>
          <w:p>
            <w:pPr>
              <w:spacing w:after="0"/>
              <w:rPr>
                <w:sz w:val="1"/>
                <w:szCs w:val="1"/>
                <w:color w:val="auto"/>
              </w:rPr>
            </w:pPr>
          </w:p>
        </w:tc>
      </w:tr>
      <w:tr>
        <w:trPr>
          <w:trHeight w:val="201"/>
        </w:trPr>
        <w:tc>
          <w:tcPr>
            <w:tcW w:w="4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offering expenses</w:t>
            </w: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1,957,006</w:t>
            </w:r>
          </w:p>
        </w:tc>
        <w:tc>
          <w:tcPr>
            <w:tcW w:w="4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2,044,578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offering expenses (excluding underwriting discount and</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commissions)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957,006</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1,019,578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Net proceeds of the offering and private placement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Held in the trust</w:t>
            </w:r>
            <w:r>
              <w:rPr>
                <w:rFonts w:ascii="Times New Roman" w:cs="Times New Roman" w:eastAsia="Times New Roman" w:hAnsi="Times New Roman"/>
                <w:sz w:val="9"/>
                <w:szCs w:val="9"/>
                <w:color w:val="auto"/>
              </w:rPr>
              <w:t>(7)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220,000,000</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253,000,000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Not held in the trust account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1,400,000</w:t>
            </w: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1,507,000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Total net proceeds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221,400,000</w:t>
            </w:r>
          </w:p>
        </w:tc>
        <w:tc>
          <w:tcPr>
            <w:tcW w:w="4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254,507,000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Use of cash not held in the trust account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8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Legal, accounting and other third-party expenses related to business</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combination</w:t>
            </w:r>
            <w:r>
              <w:rPr>
                <w:rFonts w:ascii="Times New Roman" w:cs="Times New Roman" w:eastAsia="Times New Roman" w:hAnsi="Times New Roman"/>
                <w:sz w:val="9"/>
                <w:szCs w:val="9"/>
                <w:color w:val="auto"/>
              </w:rPr>
              <w:t>(8)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125,000</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232,000</w:t>
            </w:r>
          </w:p>
        </w:tc>
        <w:tc>
          <w:tcPr>
            <w:tcW w:w="0" w:type="dxa"/>
            <w:vAlign w:val="bottom"/>
          </w:tcPr>
          <w:p>
            <w:pPr>
              <w:spacing w:after="0"/>
              <w:rPr>
                <w:sz w:val="1"/>
                <w:szCs w:val="1"/>
                <w:color w:val="auto"/>
              </w:rPr>
            </w:pPr>
          </w:p>
        </w:tc>
      </w:tr>
      <w:tr>
        <w:trPr>
          <w:trHeight w:val="167"/>
        </w:trPr>
        <w:tc>
          <w:tcPr>
            <w:tcW w:w="48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SEC filing and other legal and accounting fees related to regulatory</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reporting obligations</w:t>
            </w:r>
          </w:p>
        </w:tc>
        <w:tc>
          <w:tcPr>
            <w:tcW w:w="140" w:type="dxa"/>
            <w:vAlign w:val="bottom"/>
          </w:tcPr>
          <w:p>
            <w:pPr>
              <w:spacing w:after="0"/>
              <w:rPr>
                <w:sz w:val="16"/>
                <w:szCs w:val="16"/>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160,000</w:t>
            </w:r>
          </w:p>
        </w:tc>
        <w:tc>
          <w:tcPr>
            <w:tcW w:w="16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160,000</w:t>
            </w:r>
          </w:p>
        </w:tc>
        <w:tc>
          <w:tcPr>
            <w:tcW w:w="0" w:type="dxa"/>
            <w:vAlign w:val="bottom"/>
          </w:tcPr>
          <w:p>
            <w:pPr>
              <w:spacing w:after="0"/>
              <w:rPr>
                <w:sz w:val="1"/>
                <w:szCs w:val="1"/>
                <w:color w:val="auto"/>
              </w:rPr>
            </w:pPr>
          </w:p>
        </w:tc>
      </w:tr>
      <w:tr>
        <w:trPr>
          <w:trHeight w:val="167"/>
        </w:trPr>
        <w:tc>
          <w:tcPr>
            <w:tcW w:w="48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Office space and other administrative expenses ($30,000 per month for</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up to 24 months)</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720,000</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720,000</w:t>
            </w:r>
          </w:p>
        </w:tc>
        <w:tc>
          <w:tcPr>
            <w:tcW w:w="0" w:type="dxa"/>
            <w:vAlign w:val="bottom"/>
          </w:tcPr>
          <w:p>
            <w:pPr>
              <w:spacing w:after="0"/>
              <w:rPr>
                <w:sz w:val="1"/>
                <w:szCs w:val="1"/>
                <w:color w:val="auto"/>
              </w:rPr>
            </w:pPr>
          </w:p>
        </w:tc>
      </w:tr>
      <w:tr>
        <w:trPr>
          <w:trHeight w:val="178"/>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D&amp;O insurance</w:t>
            </w:r>
          </w:p>
        </w:tc>
        <w:tc>
          <w:tcPr>
            <w:tcW w:w="14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215,000</w:t>
            </w:r>
          </w:p>
        </w:tc>
        <w:tc>
          <w:tcPr>
            <w:tcW w:w="16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215,000</w:t>
            </w: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Payments to Chief Financial Officer ($15,000 per month)</w:t>
            </w:r>
            <w:r>
              <w:rPr>
                <w:rFonts w:ascii="Times New Roman" w:cs="Times New Roman" w:eastAsia="Times New Roman" w:hAnsi="Times New Roman"/>
                <w:sz w:val="9"/>
                <w:szCs w:val="9"/>
                <w:color w:val="auto"/>
              </w:rPr>
              <w:t>(9)</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180,000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180,000</w:t>
            </w:r>
          </w:p>
        </w:tc>
        <w:tc>
          <w:tcPr>
            <w:tcW w:w="0" w:type="dxa"/>
            <w:vAlign w:val="bottom"/>
          </w:tcPr>
          <w:p>
            <w:pPr>
              <w:spacing w:after="0"/>
              <w:rPr>
                <w:sz w:val="1"/>
                <w:szCs w:val="1"/>
                <w:color w:val="auto"/>
              </w:rPr>
            </w:pPr>
          </w:p>
        </w:tc>
      </w:tr>
      <w:tr>
        <w:trPr>
          <w:trHeight w:val="193"/>
        </w:trPr>
        <w:tc>
          <w:tcPr>
            <w:tcW w:w="484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1,400,000</w:t>
            </w:r>
          </w:p>
        </w:tc>
        <w:tc>
          <w:tcPr>
            <w:tcW w:w="4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1,507,000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40" w:right="540" w:hanging="385"/>
        <w:spacing w:after="0" w:line="258" w:lineRule="auto"/>
        <w:tabs>
          <w:tab w:leader="none" w:pos="840"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Includes amounts payable to public shareholders who properly redeem their shares in connection with our successful completion of our initial business combination.</w:t>
      </w:r>
    </w:p>
    <w:p>
      <w:pPr>
        <w:ind w:left="840" w:hanging="385"/>
        <w:spacing w:after="0"/>
        <w:tabs>
          <w:tab w:leader="none" w:pos="840"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Includes $3,357,006 (or $3,551,578 if the underwriters exercise pursuant to the Unit Purchase Agreement their over-allotment option) from the sale of</w:t>
      </w:r>
    </w:p>
    <w:p>
      <w:pPr>
        <w:spacing w:after="0" w:line="5" w:lineRule="exact"/>
        <w:rPr>
          <w:rFonts w:ascii="Times New Roman" w:cs="Times New Roman" w:eastAsia="Times New Roman" w:hAnsi="Times New Roman"/>
          <w:sz w:val="9"/>
          <w:szCs w:val="9"/>
          <w:color w:val="auto"/>
        </w:rPr>
      </w:pPr>
    </w:p>
    <w:p>
      <w:pPr>
        <w:ind w:left="84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(i) 95,200 private placement units to the insiders and Lynrock at a price</w:t>
      </w:r>
    </w:p>
    <w:p>
      <w:pPr>
        <w:spacing w:after="0" w:line="14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118</w:t>
      </w:r>
    </w:p>
    <w:p>
      <w:pPr>
        <w:sectPr>
          <w:pgSz w:w="11900" w:h="16840" w:orient="portrait"/>
          <w:cols w:equalWidth="0" w:num="1">
            <w:col w:w="10100"/>
          </w:cols>
          <w:pgMar w:left="660" w:top="874" w:right="1140" w:bottom="1440" w:gutter="0" w:footer="0" w:header="0"/>
        </w:sectPr>
      </w:pPr>
    </w:p>
    <w:bookmarkStart w:id="129" w:name="page130"/>
    <w:bookmarkEnd w:id="1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840" w:right="260"/>
        <w:spacing w:after="0" w:line="252" w:lineRule="auto"/>
        <w:rPr>
          <w:sz w:val="20"/>
          <w:szCs w:val="20"/>
          <w:color w:val="auto"/>
        </w:rPr>
      </w:pPr>
      <w:r>
        <w:rPr>
          <w:rFonts w:ascii="Times New Roman" w:cs="Times New Roman" w:eastAsia="Times New Roman" w:hAnsi="Times New Roman"/>
          <w:sz w:val="15"/>
          <w:szCs w:val="15"/>
          <w:color w:val="auto"/>
        </w:rPr>
        <w:t>of $9.7374 per private placement unit, and (ii)(A) 2,964,203 private investor shares (of which 386,681 private investor shares remain subject to forfeiture depending on the extent to which the underwriters’ over-allotment option is exercised in full) at a price of $0.023254 per share, and (B) 242,475 private placement units (or 262,457 private placement units if the underwriters exercise their over-allotment option) to the non-managing investors at a price of $9.7374 per private placement unit.</w:t>
      </w:r>
    </w:p>
    <w:p>
      <w:pPr>
        <w:spacing w:after="0" w:line="2" w:lineRule="exact"/>
        <w:rPr>
          <w:sz w:val="20"/>
          <w:szCs w:val="20"/>
          <w:color w:val="auto"/>
        </w:rPr>
      </w:pPr>
    </w:p>
    <w:p>
      <w:pPr>
        <w:ind w:left="840" w:right="40" w:hanging="385"/>
        <w:spacing w:after="0" w:line="247" w:lineRule="auto"/>
        <w:tabs>
          <w:tab w:leader="none" w:pos="8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A portion of the offering expenses will be paid from the proceeds of a loan from our sponsor of up to $100,000 as described in this prospectus. This loan will be repaid upon completion of this offering as part of the estimated $957,006 (or $1,019,578 if the underwriters exercise their over-allotment option) of offering proceeds that has been allocated for the payment of offering expenses (other than underwriting discounts and commissions) and amounts not to be held in the trust account. These expenses are estimates only. In the event that offering expenses are less than set forth in this table, any such amounts will be used for post-closing working capital expenses. In the event that offering expenses are more than as set forth in this table, they will be repaid using a portion of the $1,400,000 offering proceeds (or $1,507,000 if the underwriters exercise their over-allotment option) not held in the trust account and set aside for post-closing working capital expenses.</w:t>
      </w:r>
    </w:p>
    <w:p>
      <w:pPr>
        <w:spacing w:after="0" w:line="1" w:lineRule="exact"/>
        <w:rPr>
          <w:rFonts w:ascii="Times New Roman" w:cs="Times New Roman" w:eastAsia="Times New Roman" w:hAnsi="Times New Roman"/>
          <w:sz w:val="9"/>
          <w:szCs w:val="9"/>
          <w:color w:val="auto"/>
        </w:rPr>
      </w:pPr>
    </w:p>
    <w:p>
      <w:pPr>
        <w:ind w:left="840" w:right="200" w:hanging="385"/>
        <w:spacing w:after="0" w:line="247" w:lineRule="auto"/>
        <w:tabs>
          <w:tab w:leader="none" w:pos="8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If the underwriters’ over-allotment option is exercised, the underwriting discount applicable to each unit sold pursuant to the over-allotment option will be approximately $0.0405. No discounts or commissions will be paid with respect to the purchase of the private placement units.</w:t>
      </w:r>
    </w:p>
    <w:p>
      <w:pPr>
        <w:ind w:left="840" w:hanging="385"/>
        <w:spacing w:after="0"/>
        <w:tabs>
          <w:tab w:leader="none" w:pos="8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Includes a $250,000 referral fee to be paid by the underwriters to United First Partners LLC.</w:t>
      </w:r>
    </w:p>
    <w:p>
      <w:pPr>
        <w:spacing w:after="0" w:line="5" w:lineRule="exact"/>
        <w:rPr>
          <w:rFonts w:ascii="Times New Roman" w:cs="Times New Roman" w:eastAsia="Times New Roman" w:hAnsi="Times New Roman"/>
          <w:sz w:val="9"/>
          <w:szCs w:val="9"/>
          <w:color w:val="auto"/>
        </w:rPr>
      </w:pPr>
    </w:p>
    <w:p>
      <w:pPr>
        <w:ind w:left="840" w:right="220" w:hanging="385"/>
        <w:spacing w:after="0" w:line="247" w:lineRule="auto"/>
        <w:tabs>
          <w:tab w:leader="none" w:pos="8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Includes organizational and administrative expenses and may include amounts related to above-listed expenses in the event actual amounts exceed estimates.</w:t>
      </w:r>
    </w:p>
    <w:p>
      <w:pPr>
        <w:ind w:left="840" w:right="180" w:hanging="385"/>
        <w:spacing w:after="0" w:line="247" w:lineRule="auto"/>
        <w:tabs>
          <w:tab w:leader="none" w:pos="8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Upon completion of an initial business combination, this amount (plus accrued interest, but minus permitted withdrawals),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w:t>
      </w:r>
    </w:p>
    <w:p>
      <w:pPr>
        <w:ind w:left="840" w:hanging="385"/>
        <w:spacing w:after="0" w:line="247" w:lineRule="auto"/>
        <w:tabs>
          <w:tab w:leader="none" w:pos="8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These expenses are estimates only. Our actual expenditures for some or all of these items may differ from the estimates set forth in this prospectus.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1" w:lineRule="exact"/>
        <w:rPr>
          <w:rFonts w:ascii="Times New Roman" w:cs="Times New Roman" w:eastAsia="Times New Roman" w:hAnsi="Times New Roman"/>
          <w:sz w:val="9"/>
          <w:szCs w:val="9"/>
          <w:color w:val="auto"/>
        </w:rPr>
      </w:pPr>
    </w:p>
    <w:p>
      <w:pPr>
        <w:ind w:left="840" w:hanging="385"/>
        <w:spacing w:after="0"/>
        <w:tabs>
          <w:tab w:leader="none" w:pos="8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Reflects first year of payments.</w:t>
      </w:r>
    </w:p>
    <w:p>
      <w:pPr>
        <w:spacing w:after="0" w:line="179" w:lineRule="exact"/>
        <w:rPr>
          <w:sz w:val="20"/>
          <w:szCs w:val="20"/>
          <w:color w:val="auto"/>
        </w:rPr>
      </w:pPr>
    </w:p>
    <w:p>
      <w:pPr>
        <w:ind w:left="460" w:right="140" w:firstLine="379"/>
        <w:spacing w:after="0" w:line="251" w:lineRule="auto"/>
        <w:rPr>
          <w:sz w:val="20"/>
          <w:szCs w:val="20"/>
          <w:color w:val="auto"/>
        </w:rPr>
      </w:pPr>
      <w:r>
        <w:rPr>
          <w:rFonts w:ascii="Times New Roman" w:cs="Times New Roman" w:eastAsia="Times New Roman" w:hAnsi="Times New Roman"/>
          <w:sz w:val="15"/>
          <w:szCs w:val="15"/>
          <w:color w:val="auto"/>
        </w:rPr>
        <w:t>Nasdaq rules provide that at least 90% of the gross proceeds from this offering and the sale of the private placement units be deposited in a trust account. Of the gross proceeds of this offering and the sale of the private placement units described in this prospectus, $220,000,000 ($10.00 per unit), or $253,000,000 if the underwriters’ over-allotment option is exercised in full ($10.00 per unit), will be placed in a segregated trust account located in the United States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Except for (x) permitted withdrawals, and (y) up to $100,000 to pay dissolution expenses, as discussed below, none of the funds held in the trust account will be released from the trust account until the earlier of: (1) the completion of our initial business combination within the required time period; (2) our redemption of 100% of the outstanding public shares if we have not completed an initial business combination within 24 months from the closing of this offering; and (3) the redemption of any public shares</w:t>
      </w:r>
    </w:p>
    <w:p>
      <w:pPr>
        <w:spacing w:after="0" w:line="12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119</w:t>
      </w:r>
    </w:p>
    <w:p>
      <w:pPr>
        <w:sectPr>
          <w:pgSz w:w="11900" w:h="16840" w:orient="portrait"/>
          <w:cols w:equalWidth="0" w:num="1">
            <w:col w:w="10080"/>
          </w:cols>
          <w:pgMar w:left="660" w:top="874" w:right="1160" w:bottom="1440" w:gutter="0" w:footer="0" w:header="0"/>
        </w:sectPr>
      </w:pPr>
    </w:p>
    <w:bookmarkStart w:id="130" w:name="page131"/>
    <w:bookmarkEnd w:id="1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0"/>
        <w:spacing w:after="0" w:line="265" w:lineRule="auto"/>
        <w:rPr>
          <w:sz w:val="20"/>
          <w:szCs w:val="20"/>
          <w:color w:val="auto"/>
        </w:rPr>
      </w:pPr>
      <w:r>
        <w:rPr>
          <w:rFonts w:ascii="Times New Roman" w:cs="Times New Roman" w:eastAsia="Times New Roman" w:hAnsi="Times New Roman"/>
          <w:sz w:val="15"/>
          <w:szCs w:val="15"/>
          <w:color w:val="auto"/>
        </w:rPr>
        <w:t>properly tendered in connection with a shareholder vote to amend our amended and restated memorandum and articles of association (A) to modify the substance or timing of our obligation to redeem 100% of our public shares if we do not complete our initial business combination within the required time period or (B) with respect to any other provision relating to our pre-business combination activity and related shareholders’ rights.</w:t>
      </w:r>
    </w:p>
    <w:p>
      <w:pPr>
        <w:spacing w:after="0" w:line="151"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 We believe that amounts not held in trust along with permitted withdrawals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we may be required to raise additional capital, the amount, availability and cost of which is currently unascertainable. In this event, we could seek such additional capital through loans or additional investments from members of our sponsor or an affiliate of our sponsor or our executive officers and directors, but such members of our management team are not under any obligation to advance funds to, or invest in, us.</w:t>
      </w:r>
    </w:p>
    <w:p>
      <w:pPr>
        <w:spacing w:after="0" w:line="163" w:lineRule="exact"/>
        <w:rPr>
          <w:sz w:val="20"/>
          <w:szCs w:val="20"/>
          <w:color w:val="auto"/>
        </w:rPr>
      </w:pPr>
    </w:p>
    <w:p>
      <w:pPr>
        <w:jc w:val="both"/>
        <w:ind w:left="460" w:right="320" w:firstLine="379"/>
        <w:spacing w:after="0" w:line="265" w:lineRule="auto"/>
        <w:rPr>
          <w:sz w:val="20"/>
          <w:szCs w:val="20"/>
          <w:color w:val="auto"/>
        </w:rPr>
      </w:pPr>
      <w:r>
        <w:rPr>
          <w:rFonts w:ascii="Times New Roman" w:cs="Times New Roman" w:eastAsia="Times New Roman" w:hAnsi="Times New Roman"/>
          <w:sz w:val="15"/>
          <w:szCs w:val="15"/>
          <w:color w:val="auto"/>
        </w:rPr>
        <w:t>Commencing on the date that our securities are first listed on Nasdaq, we have agreed to pay GigManagement, LLC, an affiliate of our sponsor, a monthly fee of $30,000 for office space, utilities and secretarial and administrative services. Upon completion of our initial business combination or our liquidation, we will cease paying these monthly fees.</w:t>
      </w:r>
    </w:p>
    <w:p>
      <w:pPr>
        <w:spacing w:after="0" w:line="151" w:lineRule="exact"/>
        <w:rPr>
          <w:sz w:val="20"/>
          <w:szCs w:val="20"/>
          <w:color w:val="auto"/>
        </w:rPr>
      </w:pPr>
    </w:p>
    <w:p>
      <w:pPr>
        <w:ind w:left="460" w:right="80" w:firstLine="379"/>
        <w:spacing w:after="0" w:line="251" w:lineRule="auto"/>
        <w:rPr>
          <w:sz w:val="20"/>
          <w:szCs w:val="20"/>
          <w:color w:val="auto"/>
        </w:rPr>
      </w:pPr>
      <w:r>
        <w:rPr>
          <w:rFonts w:ascii="Times New Roman" w:cs="Times New Roman" w:eastAsia="Times New Roman" w:hAnsi="Times New Roman"/>
          <w:sz w:val="15"/>
          <w:szCs w:val="15"/>
          <w:color w:val="auto"/>
        </w:rPr>
        <w:t>In addition, in order to finance transaction costs in connection with an intended initial business combination, our sponsor, executive officers, directors or their affiliates may, but are not obligated to, loan us funds as may be required. If we consummate our initial business combination, we would repay such loaned amounts. In the event that the initial business combination does not close, we may use a portion of the offering proceeds held outside the trust account to repay such loaned amounts but no proceeds from our trust account would be used to repay such loaned amounts. Up to $1,500,000 of such loans may be convertible into units of the post business combination entity at a price of $10.00 per unit at the option of the lender. The units and their underlying securities would be identical to the private placement units.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65" w:lineRule="exact"/>
        <w:rPr>
          <w:sz w:val="20"/>
          <w:szCs w:val="20"/>
          <w:color w:val="auto"/>
        </w:rPr>
      </w:pPr>
    </w:p>
    <w:p>
      <w:pPr>
        <w:ind w:left="460" w:right="160" w:firstLine="379"/>
        <w:spacing w:after="0" w:line="284" w:lineRule="auto"/>
        <w:rPr>
          <w:sz w:val="20"/>
          <w:szCs w:val="20"/>
          <w:color w:val="auto"/>
        </w:rPr>
      </w:pPr>
      <w:r>
        <w:rPr>
          <w:rFonts w:ascii="Times New Roman" w:cs="Times New Roman" w:eastAsia="Times New Roman" w:hAnsi="Times New Roman"/>
          <w:sz w:val="15"/>
          <w:szCs w:val="15"/>
          <w:color w:val="auto"/>
        </w:rPr>
        <w:t>If too many public shareholders exercise their redemption rights so that we cannot satisfy any net worth or cash requirements, we would not proceed with the redemption of our public shares or the business combination and instead may search for an alternate business combination.</w:t>
      </w:r>
    </w:p>
    <w:p>
      <w:pPr>
        <w:spacing w:after="0" w:line="137" w:lineRule="exact"/>
        <w:rPr>
          <w:sz w:val="20"/>
          <w:szCs w:val="20"/>
          <w:color w:val="auto"/>
        </w:rPr>
      </w:pPr>
    </w:p>
    <w:p>
      <w:pPr>
        <w:ind w:left="460" w:right="140" w:firstLine="379"/>
        <w:spacing w:after="0" w:line="255" w:lineRule="auto"/>
        <w:rPr>
          <w:sz w:val="20"/>
          <w:szCs w:val="20"/>
          <w:color w:val="auto"/>
        </w:rPr>
      </w:pPr>
      <w:r>
        <w:rPr>
          <w:rFonts w:ascii="Times New Roman" w:cs="Times New Roman" w:eastAsia="Times New Roman" w:hAnsi="Times New Roman"/>
          <w:sz w:val="15"/>
          <w:szCs w:val="15"/>
          <w:color w:val="auto"/>
        </w:rPr>
        <w:t>If we seek shareholder approval of our initial business combination and we do not conduct redemptions in connection with our business combination pursuant to the tender offer rules, our sponsor, directors, officers, advisors or their affiliates may purchase shares in privately negotiated transactions either prior to or following the completion of our initial business combination. There is no limit on the number of shares our sponsor,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Such persons will be</w:t>
      </w:r>
    </w:p>
    <w:p>
      <w:pPr>
        <w:spacing w:after="0" w:line="3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120</w:t>
      </w:r>
    </w:p>
    <w:p>
      <w:pPr>
        <w:sectPr>
          <w:pgSz w:w="11900" w:h="16840" w:orient="portrait"/>
          <w:cols w:equalWidth="0" w:num="1">
            <w:col w:w="10140"/>
          </w:cols>
          <w:pgMar w:left="660" w:top="874" w:right="1100" w:bottom="1440" w:gutter="0" w:footer="0" w:header="0"/>
        </w:sectPr>
      </w:pPr>
    </w:p>
    <w:bookmarkStart w:id="131" w:name="page132"/>
    <w:bookmarkEnd w:id="1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80"/>
        <w:spacing w:after="0" w:line="284" w:lineRule="auto"/>
        <w:rPr>
          <w:sz w:val="20"/>
          <w:szCs w:val="20"/>
          <w:color w:val="auto"/>
        </w:rPr>
      </w:pPr>
      <w:r>
        <w:rPr>
          <w:rFonts w:ascii="Times New Roman" w:cs="Times New Roman" w:eastAsia="Times New Roman" w:hAnsi="Times New Roman"/>
          <w:sz w:val="15"/>
          <w:szCs w:val="15"/>
          <w:color w:val="auto"/>
        </w:rPr>
        <w:t>subject to restrictions in making any such purchases when they are in possession of any material non-public information not disclosed to the seller or if such purchases are prohibited by Regulation M under the Exchange Act.</w:t>
      </w:r>
    </w:p>
    <w:p>
      <w:pPr>
        <w:spacing w:after="0" w:line="137" w:lineRule="exact"/>
        <w:rPr>
          <w:sz w:val="20"/>
          <w:szCs w:val="20"/>
          <w:color w:val="auto"/>
        </w:rPr>
      </w:pPr>
    </w:p>
    <w:p>
      <w:pPr>
        <w:jc w:val="both"/>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51"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A public shareholder will be entitled to receive funds from the trust account only upon the earlier to occur of: (i) our consummation of our initial business combination, and then only in connection with those public shares that such shareholder properly elected to redeem, subject to the limitations described herein, (ii) the redemption of our public shares if we are unable to consummate our initial business combination within 24 months from the closing of this offering or, if our amended and restated memorandum and articles of association are amended to so provide, (iii) the redemption of our public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any extended period of time that we may have to consummate an initial business combination as a result of an amendment to our amended and restated memorandum and articles of association), or (B) with respect to any other provision relating to shareholders’ rights or pre- business combination activity, subject to applicable law. In no other circumstances will a public shareholder have any right or interest of any kind to or in the trust account.</w:t>
      </w:r>
    </w:p>
    <w:p>
      <w:pPr>
        <w:spacing w:after="0" w:line="165" w:lineRule="exact"/>
        <w:rPr>
          <w:sz w:val="20"/>
          <w:szCs w:val="20"/>
          <w:color w:val="auto"/>
        </w:rPr>
      </w:pPr>
    </w:p>
    <w:p>
      <w:pPr>
        <w:ind w:left="460" w:right="40" w:firstLine="379"/>
        <w:spacing w:after="0" w:line="251" w:lineRule="auto"/>
        <w:rPr>
          <w:sz w:val="20"/>
          <w:szCs w:val="20"/>
          <w:color w:val="auto"/>
        </w:rPr>
      </w:pPr>
      <w:r>
        <w:rPr>
          <w:rFonts w:ascii="Times New Roman" w:cs="Times New Roman" w:eastAsia="Times New Roman" w:hAnsi="Times New Roman"/>
          <w:sz w:val="15"/>
          <w:szCs w:val="15"/>
          <w:color w:val="auto"/>
        </w:rPr>
        <w:t>Our initial shareholders will each enter into agreements with us, pursuant to which they will agree: (1) to waive their redemption rights with respect to their founder shares, private investor shares and private placement shares held by them in connection with the consummation of our initial business combination or a tender offer conducted prior to a business combination or in connection with it; and (2) to waive their rights to liquidating distributions from the trust account with respect to their founder shares, private investor shares and private placement shares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w:t>
      </w:r>
    </w:p>
    <w:p>
      <w:pPr>
        <w:spacing w:after="0" w:line="1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121</w:t>
      </w:r>
    </w:p>
    <w:p>
      <w:pPr>
        <w:sectPr>
          <w:pgSz w:w="11900" w:h="16840" w:orient="portrait"/>
          <w:cols w:equalWidth="0" w:num="1">
            <w:col w:w="10120"/>
          </w:cols>
          <w:pgMar w:left="660" w:top="874" w:right="1120" w:bottom="1440" w:gutter="0" w:footer="0" w:header="0"/>
        </w:sectPr>
      </w:pPr>
    </w:p>
    <w:bookmarkStart w:id="132" w:name="page133"/>
    <w:bookmarkEnd w:id="1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99"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Our board of directors is not currently contemplating and does not anticipate declaring any share dividends in the foreseeable future, except if we increase the size of this offering pursuant to Rule 462(b) under the Securities Act, in which case we will effect a share dividend immediately prior to the consummation of the offering in such amount as to maintain the collective ownership of our sponsor’s ownership through its ownership of the founder shares, together with the private investor shares, at least at 30% of the issued and outstanding ordinary shares upon the consummation of this offering (assuming no purchase in this offering and not taking into account ownership of the private placement shares). Further, if we incur any indebtedness in connection with our initial business combination, our ability to declare dividends may be limited by restrictive covenants we may agree to in connection therewith.</w:t>
      </w:r>
    </w:p>
    <w:p>
      <w:pPr>
        <w:spacing w:after="0" w:line="1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122</w:t>
      </w:r>
    </w:p>
    <w:p>
      <w:pPr>
        <w:sectPr>
          <w:pgSz w:w="11900" w:h="16840" w:orient="portrait"/>
          <w:cols w:equalWidth="0" w:num="1">
            <w:col w:w="10080"/>
          </w:cols>
          <w:pgMar w:left="660" w:top="874" w:right="1160" w:bottom="1440" w:gutter="0" w:footer="0" w:header="0"/>
        </w:sectPr>
      </w:pPr>
    </w:p>
    <w:bookmarkStart w:id="133" w:name="page134"/>
    <w:bookmarkEnd w:id="1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99" w:lineRule="exact"/>
        <w:rPr>
          <w:sz w:val="20"/>
          <w:szCs w:val="20"/>
          <w:color w:val="auto"/>
        </w:rPr>
      </w:pPr>
    </w:p>
    <w:p>
      <w:pPr>
        <w:ind w:left="460" w:right="320" w:firstLine="379"/>
        <w:spacing w:after="0" w:line="265" w:lineRule="auto"/>
        <w:rPr>
          <w:sz w:val="20"/>
          <w:szCs w:val="20"/>
          <w:color w:val="auto"/>
        </w:rPr>
      </w:pPr>
      <w:r>
        <w:rPr>
          <w:rFonts w:ascii="Times New Roman" w:cs="Times New Roman" w:eastAsia="Times New Roman" w:hAnsi="Times New Roman"/>
          <w:sz w:val="15"/>
          <w:szCs w:val="15"/>
          <w:color w:val="auto"/>
        </w:rPr>
        <w:t>The difference between the public offering price per unit and the net tangible book value (“NTBV”) per Class A ordinary share after this offering constitutes the dilution to investors in this offering. NTBV per share is determined by dividing our NTBV, which is our total tangible assets less total liabilities (including the value of Class A ordinary shares that may be redeemed for cash), by the number of outstanding Class A ordinary shares.</w:t>
      </w:r>
    </w:p>
    <w:p>
      <w:pPr>
        <w:spacing w:after="0" w:line="151" w:lineRule="exact"/>
        <w:rPr>
          <w:sz w:val="20"/>
          <w:szCs w:val="20"/>
          <w:color w:val="auto"/>
        </w:rPr>
      </w:pPr>
    </w:p>
    <w:p>
      <w:pPr>
        <w:ind w:left="460" w:right="40" w:firstLine="379"/>
        <w:spacing w:after="0" w:line="252" w:lineRule="auto"/>
        <w:rPr>
          <w:sz w:val="20"/>
          <w:szCs w:val="20"/>
          <w:color w:val="auto"/>
        </w:rPr>
      </w:pPr>
      <w:r>
        <w:rPr>
          <w:rFonts w:ascii="Times New Roman" w:cs="Times New Roman" w:eastAsia="Times New Roman" w:hAnsi="Times New Roman"/>
          <w:sz w:val="15"/>
          <w:szCs w:val="15"/>
          <w:color w:val="auto"/>
        </w:rPr>
        <w:t>The below calculations (A) assume that (i) no ordinary shares are issued to shareholders of a potential business combination target as consideration or issuable by a post-business combination company, for instance under an equity or employee share purchase plan, (ii) no ordinary shares and convertible equity or debt securities are issued in connection with additional financing that we may seek in connection with an initial business combination, (iii) no working capital loans are converted into private placement units, as further described in this prospectus and (iv) no value is attributed to the rights, and</w:t>
      </w:r>
    </w:p>
    <w:p>
      <w:pPr>
        <w:spacing w:after="0" w:line="2" w:lineRule="exact"/>
        <w:rPr>
          <w:sz w:val="20"/>
          <w:szCs w:val="20"/>
          <w:color w:val="auto"/>
        </w:rPr>
      </w:pPr>
    </w:p>
    <w:p>
      <w:pPr>
        <w:ind w:left="460" w:hanging="5"/>
        <w:spacing w:after="0" w:line="249" w:lineRule="auto"/>
        <w:tabs>
          <w:tab w:leader="none" w:pos="704"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 the issuance of 22,000,000 Class A ordinary shares (or 25,300,000 Class A ordinary shares if the over-allotment option is exercised in full), 2,964,203 Class B ordinary shares (up to 1,410,624 of which are assumed to be forfeited in the scenario in which the over-allotment option is not exercised in full) to our initial shareholders, and 337,675 private placement shares (or 357,657 private placement shares if the over-allotment option is exercised in full) to our initial shareholders. Such calculation does not reflect any dilution associated with the sale and exercise of rights, including the private placement units, which would cause the actual dilution to the public shareholders to be higher. Further, we may need to issue additional securities as we intend to seek an initial business combination with a target company with an enterprise value greater than the net proceeds of the offering and the sale of private placement units and the issuance of the issuance of additional ordinary or preferred shares may significantly dilute the equity interest of public shareholders, which dilution would even further increase if the anti-dilution provisions in the Class B ordinary shares resulted in the issuance of Class A ordinary shares on a greater than one-to-one basis upon conversion of the Class B ordinary shares.</w:t>
      </w:r>
    </w:p>
    <w:p>
      <w:pPr>
        <w:spacing w:after="0" w:line="162" w:lineRule="exact"/>
        <w:rPr>
          <w:sz w:val="20"/>
          <w:szCs w:val="20"/>
          <w:color w:val="auto"/>
        </w:rPr>
      </w:pPr>
    </w:p>
    <w:p>
      <w:pPr>
        <w:ind w:left="460" w:right="40" w:firstLine="379"/>
        <w:spacing w:after="0" w:line="284" w:lineRule="auto"/>
        <w:rPr>
          <w:sz w:val="20"/>
          <w:szCs w:val="20"/>
          <w:color w:val="auto"/>
        </w:rPr>
      </w:pPr>
      <w:r>
        <w:rPr>
          <w:rFonts w:ascii="Times New Roman" w:cs="Times New Roman" w:eastAsia="Times New Roman" w:hAnsi="Times New Roman"/>
          <w:sz w:val="15"/>
          <w:szCs w:val="15"/>
          <w:color w:val="auto"/>
        </w:rPr>
        <w:t>The following table illustrates the difference between the public offering price and our NTBV, as adjusted to give effect to this offering and assuming redemption of our public shares at varying levels and the full exercise and no exercise of the over-allotment option:</w:t>
      </w:r>
    </w:p>
    <w:p>
      <w:pPr>
        <w:sectPr>
          <w:pgSz w:w="11900" w:h="16840" w:orient="portrait"/>
          <w:cols w:equalWidth="0" w:num="1">
            <w:col w:w="10100"/>
          </w:cols>
          <w:pgMar w:left="660" w:top="874" w:right="1140" w:bottom="1440" w:gutter="0" w:footer="0" w:header="0"/>
        </w:sectPr>
      </w:pPr>
    </w:p>
    <w:bookmarkStart w:id="134" w:name="page135"/>
    <w:bookmarkEnd w:id="134"/>
    <w:p>
      <w:pPr>
        <w:ind w:right="320" w:firstLine="379"/>
        <w:spacing w:after="0" w:line="284" w:lineRule="auto"/>
        <w:rPr>
          <w:sz w:val="20"/>
          <w:szCs w:val="20"/>
          <w:color w:val="auto"/>
        </w:rPr>
      </w:pPr>
      <w:r>
        <w:rPr>
          <w:rFonts w:ascii="Times New Roman" w:cs="Times New Roman" w:eastAsia="Times New Roman" w:hAnsi="Times New Roman"/>
          <w:sz w:val="15"/>
          <w:szCs w:val="15"/>
          <w:color w:val="auto"/>
        </w:rPr>
        <w:t>The following table illustrates the difference between the public offering price per unit and our NTBV per share, as adjusted to give effect to this offering and assuming redemption of our public shares at varying levels and the full exercise and no exercise of the over-allotment option:</w:t>
      </w:r>
    </w:p>
    <w:p>
      <w:pPr>
        <w:sectPr>
          <w:pgSz w:w="11900" w:h="16840" w:orient="portrait"/>
          <w:cols w:equalWidth="0" w:num="1">
            <w:col w:w="9620"/>
          </w:cols>
          <w:pgMar w:left="1120" w:top="558" w:right="1160" w:bottom="1440" w:gutter="0" w:footer="0" w:header="0"/>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Offering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Price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32321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3215" cy="762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NTBV</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$6.96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$6.98</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9"/>
              </w:rPr>
              <w:t>As of July 21, 2025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04"/>
        </w:trPr>
        <w:tc>
          <w:tcPr>
            <w:tcW w:w="280" w:type="dxa"/>
            <w:vAlign w:val="bottom"/>
          </w:tcPr>
          <w:p>
            <w:pPr>
              <w:spacing w:after="0"/>
              <w:rPr>
                <w:sz w:val="24"/>
                <w:szCs w:val="24"/>
                <w:color w:val="auto"/>
              </w:rPr>
            </w:pPr>
          </w:p>
        </w:tc>
        <w:tc>
          <w:tcPr>
            <w:tcW w:w="158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25% of Maximum</w:t>
            </w: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50% of Maximum</w:t>
            </w:r>
          </w:p>
        </w:tc>
        <w:tc>
          <w:tcPr>
            <w:tcW w:w="320" w:type="dxa"/>
            <w:vAlign w:val="bottom"/>
          </w:tcPr>
          <w:p>
            <w:pPr>
              <w:spacing w:after="0"/>
              <w:rPr>
                <w:sz w:val="24"/>
                <w:szCs w:val="24"/>
                <w:color w:val="auto"/>
              </w:rPr>
            </w:pPr>
          </w:p>
        </w:tc>
        <w:tc>
          <w:tcPr>
            <w:tcW w:w="1280" w:type="dxa"/>
            <w:vAlign w:val="bottom"/>
            <w:gridSpan w:val="4"/>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75% of Maximum</w:t>
            </w:r>
          </w:p>
        </w:tc>
        <w:tc>
          <w:tcPr>
            <w:tcW w:w="320" w:type="dxa"/>
            <w:vAlign w:val="bottom"/>
          </w:tcPr>
          <w:p>
            <w:pPr>
              <w:spacing w:after="0"/>
              <w:rPr>
                <w:sz w:val="24"/>
                <w:szCs w:val="24"/>
                <w:color w:val="auto"/>
              </w:rPr>
            </w:pPr>
          </w:p>
        </w:tc>
        <w:tc>
          <w:tcPr>
            <w:tcW w:w="1280" w:type="dxa"/>
            <w:vAlign w:val="bottom"/>
            <w:gridSpan w:val="4"/>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68"/>
        </w:trPr>
        <w:tc>
          <w:tcPr>
            <w:tcW w:w="28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320" w:type="dxa"/>
            <w:vAlign w:val="bottom"/>
          </w:tcPr>
          <w:p>
            <w:pPr>
              <w:spacing w:after="0"/>
              <w:rPr>
                <w:sz w:val="14"/>
                <w:szCs w:val="14"/>
                <w:color w:val="auto"/>
              </w:rPr>
            </w:pPr>
          </w:p>
        </w:tc>
        <w:tc>
          <w:tcPr>
            <w:tcW w:w="1280" w:type="dxa"/>
            <w:vAlign w:val="bottom"/>
            <w:gridSpan w:val="4"/>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320" w:type="dxa"/>
            <w:vAlign w:val="bottom"/>
          </w:tcPr>
          <w:p>
            <w:pPr>
              <w:spacing w:after="0"/>
              <w:rPr>
                <w:sz w:val="14"/>
                <w:szCs w:val="14"/>
                <w:color w:val="auto"/>
              </w:rPr>
            </w:pPr>
          </w:p>
        </w:tc>
        <w:tc>
          <w:tcPr>
            <w:tcW w:w="1280" w:type="dxa"/>
            <w:vAlign w:val="bottom"/>
            <w:gridSpan w:val="4"/>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Redemption</w:t>
            </w:r>
          </w:p>
        </w:tc>
      </w:tr>
      <w:tr>
        <w:trPr>
          <w:trHeight w:val="132"/>
        </w:trPr>
        <w:tc>
          <w:tcPr>
            <w:tcW w:w="2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6"/>
              </w:rPr>
              <w:t>Difference</w:t>
            </w:r>
          </w:p>
        </w:tc>
      </w:tr>
      <w:tr>
        <w:trPr>
          <w:trHeight w:val="154"/>
        </w:trPr>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between</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between</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between</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between</w:t>
            </w:r>
          </w:p>
        </w:tc>
      </w:tr>
      <w:tr>
        <w:trPr>
          <w:trHeight w:val="154"/>
        </w:trPr>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NTBV and</w:t>
            </w:r>
          </w:p>
        </w:tc>
        <w:tc>
          <w:tcPr>
            <w:tcW w:w="380" w:type="dxa"/>
            <w:vAlign w:val="bottom"/>
          </w:tcPr>
          <w:p>
            <w:pPr>
              <w:spacing w:after="0"/>
              <w:rPr>
                <w:sz w:val="13"/>
                <w:szCs w:val="13"/>
                <w:color w:val="auto"/>
              </w:rPr>
            </w:pPr>
          </w:p>
        </w:tc>
        <w:tc>
          <w:tcPr>
            <w:tcW w:w="900" w:type="dxa"/>
            <w:vAlign w:val="bottom"/>
            <w:gridSpan w:val="3"/>
          </w:tcPr>
          <w:p>
            <w:pPr>
              <w:jc w:val="center"/>
              <w:ind w:left="227"/>
              <w:spacing w:after="0"/>
              <w:rPr>
                <w:sz w:val="20"/>
                <w:szCs w:val="20"/>
                <w:color w:val="auto"/>
              </w:rPr>
            </w:pPr>
            <w:r>
              <w:rPr>
                <w:rFonts w:ascii="Times New Roman" w:cs="Times New Roman" w:eastAsia="Times New Roman" w:hAnsi="Times New Roman"/>
                <w:sz w:val="13"/>
                <w:szCs w:val="13"/>
                <w:b w:val="1"/>
                <w:bCs w:val="1"/>
                <w:color w:val="auto"/>
                <w:w w:val="99"/>
              </w:rPr>
              <w:t>NTBV and</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3"/>
          </w:tcPr>
          <w:p>
            <w:pPr>
              <w:jc w:val="center"/>
              <w:ind w:left="227"/>
              <w:spacing w:after="0"/>
              <w:rPr>
                <w:sz w:val="20"/>
                <w:szCs w:val="20"/>
                <w:color w:val="auto"/>
              </w:rPr>
            </w:pPr>
            <w:r>
              <w:rPr>
                <w:rFonts w:ascii="Times New Roman" w:cs="Times New Roman" w:eastAsia="Times New Roman" w:hAnsi="Times New Roman"/>
                <w:sz w:val="13"/>
                <w:szCs w:val="13"/>
                <w:b w:val="1"/>
                <w:bCs w:val="1"/>
                <w:color w:val="auto"/>
              </w:rPr>
              <w:t>NTBV and</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NTBV and</w:t>
            </w:r>
          </w:p>
        </w:tc>
      </w:tr>
      <w:tr>
        <w:trPr>
          <w:trHeight w:val="154"/>
        </w:trPr>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Offering</w:t>
            </w:r>
          </w:p>
        </w:tc>
      </w:tr>
      <w:tr>
        <w:trPr>
          <w:trHeight w:val="168"/>
        </w:trPr>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4"/>
              </w:rPr>
              <w:t>NTBV</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3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9"/>
              </w:rPr>
              <w:t>NTBV</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w w:val="94"/>
              </w:rPr>
              <w:t>NTBV</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Price</w:t>
            </w:r>
          </w:p>
        </w:tc>
        <w:tc>
          <w:tcPr>
            <w:tcW w:w="3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4"/>
              </w:rPr>
              <w:t>NTBV</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6"/>
              </w:rPr>
              <w:t>Price</w:t>
            </w:r>
          </w:p>
        </w:tc>
      </w:tr>
      <w:tr>
        <w:trPr>
          <w:trHeight w:val="20"/>
        </w:trPr>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47"/>
        </w:trPr>
        <w:tc>
          <w:tcPr>
            <w:tcW w:w="6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5"/>
                <w:szCs w:val="15"/>
                <w:i w:val="1"/>
                <w:iCs w:val="1"/>
                <w:color w:val="auto"/>
                <w:w w:val="99"/>
              </w:rPr>
              <w:t>Assuming</w:t>
            </w:r>
          </w:p>
        </w:tc>
        <w:tc>
          <w:tcPr>
            <w:tcW w:w="2500" w:type="dxa"/>
            <w:vAlign w:val="bottom"/>
            <w:gridSpan w:val="8"/>
          </w:tcPr>
          <w:p>
            <w:pPr>
              <w:jc w:val="right"/>
              <w:ind w:right="29"/>
              <w:spacing w:after="0" w:line="146" w:lineRule="exact"/>
              <w:rPr>
                <w:sz w:val="20"/>
                <w:szCs w:val="20"/>
                <w:color w:val="auto"/>
              </w:rPr>
            </w:pPr>
            <w:r>
              <w:rPr>
                <w:rFonts w:ascii="Times New Roman" w:cs="Times New Roman" w:eastAsia="Times New Roman" w:hAnsi="Times New Roman"/>
                <w:sz w:val="15"/>
                <w:szCs w:val="15"/>
                <w:i w:val="1"/>
                <w:iCs w:val="1"/>
                <w:color w:val="auto"/>
              </w:rPr>
              <w:t>No Exercise of Over-Allotment Option</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6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w w:val="90"/>
              </w:rPr>
              <w:t>$ 6.33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30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5"/>
                <w:szCs w:val="15"/>
                <w:color w:val="auto"/>
                <w:w w:val="95"/>
              </w:rPr>
              <w:t>$ 5.35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90"/>
              </w:rPr>
              <w:t>$ 3.68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90"/>
              </w:rPr>
              <w:t>$ 0.11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w:t>
            </w:r>
          </w:p>
        </w:tc>
      </w:tr>
      <w:tr>
        <w:trPr>
          <w:trHeight w:val="182"/>
        </w:trPr>
        <w:tc>
          <w:tcPr>
            <w:tcW w:w="3140" w:type="dxa"/>
            <w:vAlign w:val="bottom"/>
            <w:gridSpan w:val="10"/>
          </w:tcPr>
          <w:p>
            <w:pPr>
              <w:jc w:val="center"/>
              <w:spacing w:after="0"/>
              <w:rPr>
                <w:sz w:val="20"/>
                <w:szCs w:val="20"/>
                <w:color w:val="auto"/>
              </w:rPr>
            </w:pPr>
            <w:r>
              <w:rPr>
                <w:rFonts w:ascii="Times New Roman" w:cs="Times New Roman" w:eastAsia="Times New Roman" w:hAnsi="Times New Roman"/>
                <w:sz w:val="15"/>
                <w:szCs w:val="15"/>
                <w:i w:val="1"/>
                <w:iCs w:val="1"/>
                <w:color w:val="auto"/>
              </w:rPr>
              <w:t>Assuming Full Exercise of Over-Allotment Option</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9"/>
        </w:trPr>
        <w:tc>
          <w:tcPr>
            <w:tcW w:w="6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w w:val="90"/>
              </w:rPr>
              <w:t>$ 6.34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30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5"/>
                <w:szCs w:val="15"/>
                <w:color w:val="auto"/>
                <w:w w:val="95"/>
              </w:rPr>
              <w:t>$ 5.37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90"/>
              </w:rPr>
              <w:t>$ 3.70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90"/>
              </w:rPr>
              <w:t>$ 0.14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9.86</w:t>
            </w:r>
          </w:p>
        </w:tc>
      </w:tr>
      <w:tr>
        <w:trPr>
          <w:trHeight w:val="332"/>
        </w:trPr>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left="108"/>
              <w:spacing w:after="0"/>
              <w:rPr>
                <w:sz w:val="20"/>
                <w:szCs w:val="20"/>
                <w:color w:val="auto"/>
              </w:rPr>
            </w:pPr>
            <w:r>
              <w:rPr>
                <w:rFonts w:ascii="Times New Roman" w:cs="Times New Roman" w:eastAsia="Times New Roman" w:hAnsi="Times New Roman"/>
                <w:sz w:val="15"/>
                <w:szCs w:val="15"/>
                <w:color w:val="auto"/>
              </w:rPr>
              <w:t>123</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-668020</wp:posOffset>
            </wp:positionV>
            <wp:extent cx="6137275" cy="1130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37275" cy="11303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-441960</wp:posOffset>
            </wp:positionV>
            <wp:extent cx="6137275" cy="113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37275" cy="113030"/>
                    </a:xfrm>
                    <a:prstGeom prst="rect">
                      <a:avLst/>
                    </a:prstGeom>
                    <a:noFill/>
                  </pic:spPr>
                </pic:pic>
              </a:graphicData>
            </a:graphic>
          </wp:anchor>
        </w:drawing>
      </w:r>
    </w:p>
    <w:p>
      <w:pPr>
        <w:sectPr>
          <w:pgSz w:w="11900" w:h="16840" w:orient="portrait"/>
          <w:cols w:equalWidth="0" w:num="2">
            <w:col w:w="2560" w:space="720"/>
            <w:col w:w="6340"/>
          </w:cols>
          <w:pgMar w:left="1120" w:top="558" w:right="1160" w:bottom="1440" w:gutter="0" w:footer="0" w:header="0"/>
          <w:type w:val="continuous"/>
        </w:sectPr>
      </w:pPr>
    </w:p>
    <w:bookmarkStart w:id="135" w:name="page136"/>
    <w:bookmarkEnd w:id="1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For each of the redemption scenarios above, the NTBV was calculated as follows: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30"/>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5"/>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25% of Maximum</w:t>
            </w:r>
          </w:p>
        </w:tc>
        <w:tc>
          <w:tcPr>
            <w:tcW w:w="60" w:type="dxa"/>
            <w:vAlign w:val="bottom"/>
          </w:tcPr>
          <w:p>
            <w:pPr>
              <w:spacing w:after="0"/>
              <w:rPr>
                <w:sz w:val="11"/>
                <w:szCs w:val="11"/>
                <w:color w:val="auto"/>
              </w:rPr>
            </w:pPr>
          </w:p>
        </w:tc>
        <w:tc>
          <w:tcPr>
            <w:tcW w:w="1800" w:type="dxa"/>
            <w:vAlign w:val="bottom"/>
            <w:gridSpan w:val="5"/>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50% of Maximum</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75% of Maximum</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No Redemption</w:t>
            </w:r>
          </w:p>
        </w:tc>
        <w:tc>
          <w:tcPr>
            <w:tcW w:w="60" w:type="dxa"/>
            <w:vAlign w:val="bottom"/>
          </w:tcPr>
          <w:p>
            <w:pPr>
              <w:spacing w:after="0"/>
              <w:rPr>
                <w:sz w:val="11"/>
                <w:szCs w:val="11"/>
                <w:color w:val="auto"/>
              </w:rPr>
            </w:pPr>
          </w:p>
        </w:tc>
        <w:tc>
          <w:tcPr>
            <w:tcW w:w="1740" w:type="dxa"/>
            <w:vAlign w:val="bottom"/>
            <w:gridSpan w:val="5"/>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60" w:type="dxa"/>
            <w:vAlign w:val="bottom"/>
          </w:tcPr>
          <w:p>
            <w:pPr>
              <w:spacing w:after="0"/>
              <w:rPr>
                <w:sz w:val="11"/>
                <w:szCs w:val="11"/>
                <w:color w:val="auto"/>
              </w:rPr>
            </w:pPr>
          </w:p>
        </w:tc>
        <w:tc>
          <w:tcPr>
            <w:tcW w:w="1800" w:type="dxa"/>
            <w:vAlign w:val="bottom"/>
            <w:gridSpan w:val="5"/>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7"/>
              </w:rPr>
              <w:t>Without</w:t>
            </w: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With</w:t>
            </w: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7"/>
              </w:rPr>
              <w:t>Without</w:t>
            </w: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With</w:t>
            </w: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7"/>
              </w:rPr>
              <w:t>Without</w:t>
            </w: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2"/>
              </w:rPr>
              <w:t>With</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w w:val="97"/>
              </w:rPr>
              <w:t>Without</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With</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w w:val="97"/>
              </w:rPr>
              <w:t>Without</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With</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Over-</w:t>
            </w:r>
          </w:p>
        </w:tc>
        <w:tc>
          <w:tcPr>
            <w:tcW w:w="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Over-</w:t>
            </w:r>
          </w:p>
        </w:tc>
        <w:tc>
          <w:tcPr>
            <w:tcW w:w="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Over-</w:t>
            </w:r>
          </w:p>
        </w:tc>
        <w:tc>
          <w:tcPr>
            <w:tcW w:w="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Over-</w:t>
            </w:r>
          </w:p>
        </w:tc>
        <w:tc>
          <w:tcPr>
            <w:tcW w:w="6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Over-</w:t>
            </w:r>
          </w:p>
        </w:tc>
        <w:tc>
          <w:tcPr>
            <w:tcW w:w="60" w:type="dxa"/>
            <w:vAlign w:val="bottom"/>
          </w:tcPr>
          <w:p>
            <w:pPr>
              <w:spacing w:after="0"/>
              <w:rPr>
                <w:sz w:val="11"/>
                <w:szCs w:val="11"/>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Over-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Over-</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Over-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Over-</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Over-</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Allotment</w:t>
            </w:r>
          </w:p>
        </w:tc>
        <w:tc>
          <w:tcPr>
            <w:tcW w:w="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Allotment</w:t>
            </w:r>
          </w:p>
        </w:tc>
        <w:tc>
          <w:tcPr>
            <w:tcW w:w="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Allotment</w:t>
            </w:r>
          </w:p>
        </w:tc>
        <w:tc>
          <w:tcPr>
            <w:tcW w:w="60" w:type="dxa"/>
            <w:vAlign w:val="bottom"/>
          </w:tcPr>
          <w:p>
            <w:pPr>
              <w:spacing w:after="0"/>
              <w:rPr>
                <w:sz w:val="11"/>
                <w:szCs w:val="11"/>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Allotment</w:t>
            </w:r>
          </w:p>
        </w:tc>
        <w:tc>
          <w:tcPr>
            <w:tcW w:w="6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3"/>
              </w:rPr>
              <w:t>Allotment</w:t>
            </w:r>
          </w:p>
        </w:tc>
        <w:tc>
          <w:tcPr>
            <w:tcW w:w="60" w:type="dxa"/>
            <w:vAlign w:val="bottom"/>
          </w:tcPr>
          <w:p>
            <w:pPr>
              <w:spacing w:after="0"/>
              <w:rPr>
                <w:sz w:val="11"/>
                <w:szCs w:val="11"/>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Allotment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Allotment</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Allotment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Allotment</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Allotment</w:t>
            </w:r>
          </w:p>
        </w:tc>
        <w:tc>
          <w:tcPr>
            <w:tcW w:w="0" w:type="dxa"/>
            <w:vAlign w:val="bottom"/>
          </w:tcPr>
          <w:p>
            <w:pPr>
              <w:spacing w:after="0"/>
              <w:rPr>
                <w:sz w:val="1"/>
                <w:szCs w:val="1"/>
                <w:color w:val="auto"/>
              </w:rPr>
            </w:pPr>
          </w:p>
        </w:tc>
      </w:tr>
      <w:tr>
        <w:trPr>
          <w:trHeight w:val="122"/>
        </w:trPr>
        <w:tc>
          <w:tcPr>
            <w:tcW w:w="820" w:type="dxa"/>
            <w:vAlign w:val="bottom"/>
            <w:tcBorders>
              <w:top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Public offering</w:t>
            </w: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price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Net tangible</w:t>
            </w: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book value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before this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offering</w:t>
            </w:r>
          </w:p>
        </w:tc>
        <w:tc>
          <w:tcPr>
            <w:tcW w:w="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0.00</w:t>
            </w:r>
          </w:p>
        </w:tc>
        <w:tc>
          <w:tcPr>
            <w:tcW w:w="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0.00</w:t>
            </w:r>
          </w:p>
        </w:tc>
        <w:tc>
          <w:tcPr>
            <w:tcW w:w="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0.00</w:t>
            </w:r>
          </w:p>
        </w:tc>
        <w:tc>
          <w:tcPr>
            <w:tcW w:w="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0.00</w:t>
            </w:r>
          </w:p>
        </w:tc>
        <w:tc>
          <w:tcPr>
            <w:tcW w:w="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0.00</w:t>
            </w:r>
          </w:p>
        </w:tc>
        <w:tc>
          <w:tcPr>
            <w:tcW w:w="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42"/>
        </w:trPr>
        <w:tc>
          <w:tcPr>
            <w:tcW w:w="8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Increase</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attributable</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 public</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shareholders</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6.96</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6.98</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6.33</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6.34</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5.35</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0.11</w:t>
            </w: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58"/>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Pro forms net</w:t>
            </w: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tangible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book value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after this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offering</w:t>
            </w:r>
          </w:p>
        </w:tc>
        <w:tc>
          <w:tcPr>
            <w:tcW w:w="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6.96</w:t>
            </w:r>
          </w:p>
        </w:tc>
        <w:tc>
          <w:tcPr>
            <w:tcW w:w="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6.98</w:t>
            </w:r>
          </w:p>
        </w:tc>
        <w:tc>
          <w:tcPr>
            <w:tcW w:w="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6.33</w:t>
            </w:r>
          </w:p>
        </w:tc>
        <w:tc>
          <w:tcPr>
            <w:tcW w:w="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6.34</w:t>
            </w:r>
          </w:p>
        </w:tc>
        <w:tc>
          <w:tcPr>
            <w:tcW w:w="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5.35</w:t>
            </w:r>
          </w:p>
        </w:tc>
        <w:tc>
          <w:tcPr>
            <w:tcW w:w="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0.11</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58"/>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Dilution to</w:t>
            </w: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public</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8"/>
              </w:rPr>
              <w:t>shareholders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3.04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3.02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3.67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4.65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6.30</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9.89</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9.86</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Percentage of</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dilution to</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public</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shareholders</w:t>
            </w: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30.40%</w:t>
            </w: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30.20%</w:t>
            </w: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36.70%</w:t>
            </w: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36.60%</w:t>
            </w:r>
          </w:p>
        </w:tc>
        <w:tc>
          <w:tcPr>
            <w:tcW w:w="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46.50%</w:t>
            </w:r>
          </w:p>
        </w:tc>
        <w:tc>
          <w:tcPr>
            <w:tcW w:w="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63.20%</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98.90%</w:t>
            </w:r>
          </w:p>
        </w:tc>
        <w:tc>
          <w:tcPr>
            <w:tcW w:w="10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98.60%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Numerator:</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Net tangible</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book value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before this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offering</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4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Net proceeds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from this</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offering and</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the sale of</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the private</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placement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 xml:space="preserve">units </w:t>
            </w: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221,400,000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254,507,000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221,400,000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254,507,000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221,400,000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254,507,000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221,400,000</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254,507,000</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221,400,000</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254,507,000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Plus: Offering</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for</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or paid in</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advance,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excluded</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from</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tangible</w:t>
            </w:r>
          </w:p>
        </w:tc>
        <w:tc>
          <w:tcPr>
            <w:tcW w:w="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66"/>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book value</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Less: Over-</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allotment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66"/>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liability</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(339,200)</w:t>
            </w: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(339,200)</w:t>
            </w: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(339,200)</w:t>
            </w: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(339,200)</w:t>
            </w: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(339,200)</w:t>
            </w: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Less: Amounts</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paid for</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redemptions</w:t>
            </w:r>
          </w:p>
        </w:tc>
        <w:tc>
          <w:tcPr>
            <w:tcW w:w="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8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(55,000,000)</w:t>
            </w:r>
          </w:p>
        </w:tc>
        <w:tc>
          <w:tcPr>
            <w:tcW w:w="6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(63,250,000)</w:t>
            </w:r>
          </w:p>
        </w:tc>
        <w:tc>
          <w:tcPr>
            <w:tcW w:w="6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7"/>
              </w:rPr>
              <w:t>(110,000,000)</w:t>
            </w:r>
          </w:p>
        </w:tc>
        <w:tc>
          <w:tcPr>
            <w:tcW w:w="6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(126,500,000)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w w:val="97"/>
              </w:rPr>
              <w:t>(165,000,000)</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w w:val="97"/>
              </w:rPr>
              <w:t>(189,750,000)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w w:val="97"/>
              </w:rPr>
              <w:t>(220,000,000)</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w w:val="97"/>
              </w:rPr>
              <w:t>(253,000,000)</w:t>
            </w:r>
          </w:p>
        </w:tc>
        <w:tc>
          <w:tcPr>
            <w:tcW w:w="0" w:type="dxa"/>
            <w:vAlign w:val="bottom"/>
          </w:tcPr>
          <w:p>
            <w:pPr>
              <w:spacing w:after="0"/>
              <w:rPr>
                <w:sz w:val="1"/>
                <w:szCs w:val="1"/>
                <w:color w:val="auto"/>
              </w:rPr>
            </w:pPr>
          </w:p>
        </w:tc>
      </w:tr>
      <w:tr>
        <w:trPr>
          <w:trHeight w:val="106"/>
        </w:trPr>
        <w:tc>
          <w:tcPr>
            <w:tcW w:w="8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(2)</w:t>
            </w: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221,066,468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254,512,668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166,066,468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191,262,668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111,066,468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128,012,668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56,066,468</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64,762,668</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1,066,468</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1,512,668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Denominator:</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Ordinary</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outstanding</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prior to this</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offering</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7,850,229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Ordinary</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forfeited if</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over-</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allotment is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66"/>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exercised</w:t>
            </w: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(1,023,943)</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(1,023,943)</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(1,023,943)</w:t>
            </w: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(1,023,943)</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(1,023,943)</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Ordinary</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offered</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25,300,000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25,300,000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25,300,000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22,000,000</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25,300,000</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22,000,000</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25,300,000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Private</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placement</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and private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investor</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3,301,878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3,321,860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3,301,878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3,321,860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3,301,878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3,321,860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3,301,878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3,321,860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3,301,878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3,321,860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Ordinary</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forfeited</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from private</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investor</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 if</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over-</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allotment is</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66"/>
        </w:trPr>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exercised</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(386,681)</w:t>
            </w: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(386,681)</w:t>
            </w: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(386,681)</w:t>
            </w:r>
          </w:p>
        </w:tc>
        <w:tc>
          <w:tcPr>
            <w:tcW w:w="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(386,681)</w:t>
            </w: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(386,681)</w:t>
            </w: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Less: ordinary</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redeemed</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(5,500,000)</w:t>
            </w:r>
          </w:p>
        </w:tc>
        <w:tc>
          <w:tcPr>
            <w:tcW w:w="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(6,325,000)</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(11,000,000)</w:t>
            </w:r>
          </w:p>
        </w:tc>
        <w:tc>
          <w:tcPr>
            <w:tcW w:w="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(12,650,000)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(16,500,000)</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(18,975,000)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(22,000,000)</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(25,300,000)</w:t>
            </w:r>
          </w:p>
        </w:tc>
        <w:tc>
          <w:tcPr>
            <w:tcW w:w="0" w:type="dxa"/>
            <w:vAlign w:val="bottom"/>
          </w:tcPr>
          <w:p>
            <w:pPr>
              <w:spacing w:after="0"/>
              <w:rPr>
                <w:sz w:val="1"/>
                <w:szCs w:val="1"/>
                <w:color w:val="auto"/>
              </w:rPr>
            </w:pPr>
          </w:p>
        </w:tc>
      </w:tr>
      <w:tr>
        <w:trPr>
          <w:trHeight w:val="170"/>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31,741,483</w:t>
            </w:r>
          </w:p>
        </w:tc>
        <w:tc>
          <w:tcPr>
            <w:tcW w:w="1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36,472,089</w:t>
            </w:r>
          </w:p>
        </w:tc>
        <w:tc>
          <w:tcPr>
            <w:tcW w:w="1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26,241,483</w:t>
            </w:r>
          </w:p>
        </w:tc>
        <w:tc>
          <w:tcPr>
            <w:tcW w:w="1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30,147,089</w:t>
            </w:r>
          </w:p>
        </w:tc>
        <w:tc>
          <w:tcPr>
            <w:tcW w:w="1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20,741,483</w:t>
            </w:r>
          </w:p>
        </w:tc>
        <w:tc>
          <w:tcPr>
            <w:tcW w:w="1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23,822,089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15,241,483</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17,497,089</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9,741,483</w:t>
            </w: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11,172,089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840" w:right="500" w:hanging="385"/>
        <w:spacing w:after="0" w:line="258" w:lineRule="auto"/>
        <w:tabs>
          <w:tab w:leader="none" w:pos="840" w:val="left"/>
        </w:tabs>
        <w:numPr>
          <w:ilvl w:val="0"/>
          <w:numId w:val="50"/>
        </w:numPr>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Expenses applied against gross proceeds include offering expenses of approximately $957,006 (or $1,019,578 if the underwriters exercise the over-allotment option in full). See “</w:t>
      </w:r>
      <w:r>
        <w:rPr>
          <w:rFonts w:ascii="Times New Roman" w:cs="Times New Roman" w:eastAsia="Times New Roman" w:hAnsi="Times New Roman"/>
          <w:sz w:val="13"/>
          <w:szCs w:val="13"/>
          <w:i w:val="1"/>
          <w:iCs w:val="1"/>
          <w:color w:val="auto"/>
        </w:rPr>
        <w:t>Use of Proceeds.</w:t>
      </w:r>
      <w:r>
        <w:rPr>
          <w:rFonts w:ascii="Times New Roman" w:cs="Times New Roman" w:eastAsia="Times New Roman" w:hAnsi="Times New Roman"/>
          <w:sz w:val="13"/>
          <w:szCs w:val="13"/>
          <w:color w:val="auto"/>
        </w:rPr>
        <w:t xml:space="preserve"> ”</w:t>
      </w:r>
    </w:p>
    <w:p>
      <w:pPr>
        <w:sectPr>
          <w:pgSz w:w="11900" w:h="16840" w:orient="portrait"/>
          <w:cols w:equalWidth="0" w:num="1">
            <w:col w:w="10520"/>
          </w:cols>
          <w:pgMar w:left="660" w:top="874" w:right="720" w:bottom="140" w:gutter="0" w:footer="0" w:header="0"/>
        </w:sectPr>
      </w:pPr>
    </w:p>
    <w:bookmarkStart w:id="136" w:name="page137"/>
    <w:bookmarkEnd w:id="136"/>
    <w:p>
      <w:pPr>
        <w:ind w:left="385" w:hanging="385"/>
        <w:spacing w:after="0" w:line="254" w:lineRule="auto"/>
        <w:tabs>
          <w:tab w:leader="none" w:pos="385" w:val="left"/>
        </w:tabs>
        <w:numPr>
          <w:ilvl w:val="0"/>
          <w:numId w:val="51"/>
        </w:numPr>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If we seek shareholder approval of our initial business combination and we do not conduct redemptions in connection with our initial business combination pursuant to the tender offer rules, our initial shareholders, directors, executive officers, advisors or their affiliates may purchase public shares or public rights in privately negotiated transactions or in the open market either prior to or following the completion of our initial business combination. In the event of any such purchases of our shares prior to the completion of our initial business combination, the number of ordinary shares subject to redemption will be reduced by the amount of any such purchases, increasing the pro forma net tangible book value per share. See “</w:t>
      </w:r>
      <w:r>
        <w:rPr>
          <w:rFonts w:ascii="Times New Roman" w:cs="Times New Roman" w:eastAsia="Times New Roman" w:hAnsi="Times New Roman"/>
          <w:sz w:val="13"/>
          <w:szCs w:val="13"/>
          <w:i w:val="1"/>
          <w:iCs w:val="1"/>
          <w:color w:val="auto"/>
        </w:rPr>
        <w:t>Proposed Business.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5"/>
          <w:szCs w:val="15"/>
          <w:color w:val="auto"/>
        </w:rPr>
        <w:t>124</w:t>
      </w:r>
    </w:p>
    <w:p>
      <w:pPr>
        <w:sectPr>
          <w:pgSz w:w="11900" w:h="16840" w:orient="portrait"/>
          <w:cols w:equalWidth="0" w:num="1">
            <w:col w:w="9625"/>
          </w:cols>
          <w:pgMar w:left="1115" w:top="558" w:right="1160" w:bottom="1440" w:gutter="0" w:footer="0" w:header="0"/>
        </w:sectPr>
      </w:pPr>
    </w:p>
    <w:bookmarkStart w:id="137" w:name="page138"/>
    <w:bookmarkEnd w:id="1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99" w:lineRule="exact"/>
        <w:rPr>
          <w:sz w:val="20"/>
          <w:szCs w:val="20"/>
          <w:color w:val="auto"/>
        </w:rPr>
      </w:pPr>
    </w:p>
    <w:p>
      <w:pPr>
        <w:ind w:left="460" w:right="260" w:firstLine="379"/>
        <w:spacing w:after="0" w:line="265" w:lineRule="auto"/>
        <w:rPr>
          <w:sz w:val="20"/>
          <w:szCs w:val="20"/>
          <w:color w:val="auto"/>
        </w:rPr>
      </w:pPr>
      <w:r>
        <w:rPr>
          <w:rFonts w:ascii="Times New Roman" w:cs="Times New Roman" w:eastAsia="Times New Roman" w:hAnsi="Times New Roman"/>
          <w:sz w:val="15"/>
          <w:szCs w:val="15"/>
          <w:color w:val="auto"/>
        </w:rPr>
        <w:t>The following table sets forth our capitalization as of July 21, 2025 and as adjusted to give effect to the sale of our public units offered by this prospectus and the sale of the private investor shares and private placement shares in the private placement, the application of the estimated net proceeds derived from the sale of such securities, and the issuance of the private investor shares and private placement shares:</w:t>
      </w:r>
    </w:p>
    <w:p>
      <w:pPr>
        <w:spacing w:after="0" w:line="184" w:lineRule="exact"/>
        <w:rPr>
          <w:sz w:val="20"/>
          <w:szCs w:val="20"/>
          <w:color w:val="auto"/>
        </w:rPr>
      </w:pPr>
    </w:p>
    <w:tbl>
      <w:tblPr>
        <w:tblLayout w:type="fixed"/>
        <w:tblInd w:w="162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As of July 21, 2025</w:t>
            </w: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580"/>
              <w:spacing w:after="0" w:line="146" w:lineRule="exact"/>
              <w:rPr>
                <w:sz w:val="20"/>
                <w:szCs w:val="20"/>
                <w:color w:val="auto"/>
              </w:rPr>
            </w:pPr>
            <w:r>
              <w:rPr>
                <w:rFonts w:ascii="Times New Roman" w:cs="Times New Roman" w:eastAsia="Times New Roman" w:hAnsi="Times New Roman"/>
                <w:sz w:val="13"/>
                <w:szCs w:val="13"/>
                <w:b w:val="1"/>
                <w:bCs w:val="1"/>
                <w:color w:val="auto"/>
              </w:rPr>
              <w:t>Actual</w:t>
            </w:r>
          </w:p>
        </w:tc>
        <w:tc>
          <w:tcPr>
            <w:tcW w:w="900" w:type="dxa"/>
            <w:vAlign w:val="bottom"/>
            <w:tcBorders>
              <w:top w:val="single" w:sz="8" w:color="auto"/>
            </w:tcBorders>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As Adjusted</w:t>
            </w:r>
            <w:r>
              <w:rPr>
                <w:rFonts w:ascii="Times New Roman" w:cs="Times New Roman" w:eastAsia="Times New Roman" w:hAnsi="Times New Roman"/>
                <w:sz w:val="8"/>
                <w:szCs w:val="8"/>
                <w:b w:val="1"/>
                <w:bCs w:val="1"/>
                <w:color w:val="auto"/>
              </w:rPr>
              <w:t>(2)(3)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 xml:space="preserve">Promissory note to related party </w:t>
            </w:r>
            <w:r>
              <w:rPr>
                <w:rFonts w:ascii="Times New Roman" w:cs="Times New Roman" w:eastAsia="Times New Roman" w:hAnsi="Times New Roman"/>
                <w:sz w:val="9"/>
                <w:szCs w:val="9"/>
                <w:color w:val="auto"/>
              </w:rPr>
              <w:t>(1)</w:t>
            </w: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100,000</w:t>
            </w: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Over-allotment liability</w:t>
            </w:r>
          </w:p>
        </w:tc>
        <w:tc>
          <w:tcPr>
            <w:tcW w:w="80" w:type="dxa"/>
            <w:vAlign w:val="bottom"/>
          </w:tcPr>
          <w:p>
            <w:pPr>
              <w:spacing w:after="0"/>
              <w:rPr>
                <w:sz w:val="15"/>
                <w:szCs w:val="15"/>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339,200</w:t>
            </w:r>
          </w:p>
        </w:tc>
        <w:tc>
          <w:tcPr>
            <w:tcW w:w="0" w:type="dxa"/>
            <w:vAlign w:val="bottom"/>
          </w:tcPr>
          <w:p>
            <w:pPr>
              <w:spacing w:after="0"/>
              <w:rPr>
                <w:sz w:val="1"/>
                <w:szCs w:val="1"/>
                <w:color w:val="auto"/>
              </w:rPr>
            </w:pPr>
          </w:p>
        </w:tc>
      </w:tr>
      <w:tr>
        <w:trPr>
          <w:trHeight w:val="18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A ordinary shares, par value $0.0001 per share, subject to redemption, no</w:t>
            </w: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shares subject to possible redemption, actual; 22,000,000 shares subject to</w:t>
            </w:r>
          </w:p>
        </w:tc>
        <w:tc>
          <w:tcPr>
            <w:tcW w:w="80" w:type="dxa"/>
            <w:vAlign w:val="bottom"/>
            <w:shd w:val="clear" w:color="auto" w:fill="CCEEFF"/>
          </w:tcPr>
          <w:p>
            <w:pPr>
              <w:spacing w:after="0"/>
              <w:rPr>
                <w:sz w:val="15"/>
                <w:szCs w:val="15"/>
                <w:color w:val="auto"/>
              </w:rPr>
            </w:pPr>
          </w:p>
        </w:tc>
        <w:tc>
          <w:tcPr>
            <w:tcW w:w="980" w:type="dxa"/>
            <w:vAlign w:val="bottom"/>
            <w:gridSpan w:val="3"/>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redemption, as adjusted</w:t>
            </w:r>
          </w:p>
        </w:tc>
        <w:tc>
          <w:tcPr>
            <w:tcW w:w="80" w:type="dxa"/>
            <w:vAlign w:val="bottom"/>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220,000,000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28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5"/>
                <w:szCs w:val="15"/>
                <w:color w:val="auto"/>
              </w:rPr>
              <w:t>Preferred shares, par value $0.0001 per share, 1,000,000 authorized; none</w:t>
            </w:r>
          </w:p>
        </w:tc>
        <w:tc>
          <w:tcPr>
            <w:tcW w:w="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issued or outstanding, actual and adjusted</w:t>
            </w:r>
          </w:p>
        </w:tc>
        <w:tc>
          <w:tcPr>
            <w:tcW w:w="80" w:type="dxa"/>
            <w:vAlign w:val="bottom"/>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320"/>
              <w:spacing w:after="0" w:line="167" w:lineRule="exact"/>
              <w:rPr>
                <w:sz w:val="20"/>
                <w:szCs w:val="20"/>
                <w:color w:val="auto"/>
              </w:rPr>
            </w:pPr>
            <w:r>
              <w:rPr>
                <w:rFonts w:ascii="Times New Roman" w:cs="Times New Roman" w:eastAsia="Times New Roman" w:hAnsi="Times New Roman"/>
                <w:sz w:val="15"/>
                <w:szCs w:val="15"/>
                <w:color w:val="auto"/>
              </w:rPr>
              <w:t>Class A ordinary shares, par value $0.0001 per share, 200,000,000 shares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authorized, no shares issued and outstanding, actual; 337,675 shares</w:t>
            </w:r>
          </w:p>
        </w:tc>
        <w:tc>
          <w:tcPr>
            <w:tcW w:w="80" w:type="dxa"/>
            <w:vAlign w:val="bottom"/>
          </w:tcPr>
          <w:p>
            <w:pPr>
              <w:spacing w:after="0"/>
              <w:rPr>
                <w:sz w:val="15"/>
                <w:szCs w:val="15"/>
                <w:color w:val="auto"/>
              </w:rPr>
            </w:pPr>
          </w:p>
        </w:tc>
        <w:tc>
          <w:tcPr>
            <w:tcW w:w="9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issued and outstanding, as adjusted</w:t>
            </w:r>
          </w:p>
        </w:tc>
        <w:tc>
          <w:tcPr>
            <w:tcW w:w="8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28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5"/>
                <w:szCs w:val="15"/>
                <w:color w:val="auto"/>
              </w:rPr>
              <w:t>Class B ordinary shares, par value $0.0001 per share, 20,000,000 shares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authorized, actual and as adjusted; 7,850,229 shares issued and</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outstanding, actual; 9,403,808 shares issued and outstanding, as</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adjusted</w:t>
            </w:r>
            <w:r>
              <w:rPr>
                <w:rFonts w:ascii="Times New Roman" w:cs="Times New Roman" w:eastAsia="Times New Roman" w:hAnsi="Times New Roman"/>
                <w:sz w:val="9"/>
                <w:szCs w:val="9"/>
                <w:color w:val="auto"/>
              </w:rPr>
              <w:t>(4)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24,215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1,084,826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(19,332)</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(19,332)</w:t>
            </w:r>
          </w:p>
        </w:tc>
        <w:tc>
          <w:tcPr>
            <w:tcW w:w="0" w:type="dxa"/>
            <w:vAlign w:val="bottom"/>
          </w:tcPr>
          <w:p>
            <w:pPr>
              <w:spacing w:after="0"/>
              <w:rPr>
                <w:sz w:val="1"/>
                <w:szCs w:val="1"/>
                <w:color w:val="auto"/>
              </w:rPr>
            </w:pPr>
          </w:p>
        </w:tc>
      </w:tr>
      <w:tr>
        <w:trPr>
          <w:trHeight w:val="193"/>
        </w:trPr>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Total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5,668</w:t>
            </w:r>
          </w:p>
        </w:tc>
        <w:tc>
          <w:tcPr>
            <w:tcW w:w="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1,066,468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capitalization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105,668</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221,405,668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40" w:hanging="385"/>
        <w:spacing w:after="0"/>
        <w:tabs>
          <w:tab w:leader="none" w:pos="8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sponsor has loaned us an aggregate of $100,000 as of July 21, 2025 to be used for a portion of the expenses of the offering.</w:t>
      </w:r>
    </w:p>
    <w:p>
      <w:pPr>
        <w:spacing w:after="0" w:line="21" w:lineRule="exact"/>
        <w:rPr>
          <w:rFonts w:ascii="Times New Roman" w:cs="Times New Roman" w:eastAsia="Times New Roman" w:hAnsi="Times New Roman"/>
          <w:sz w:val="15"/>
          <w:szCs w:val="15"/>
          <w:color w:val="auto"/>
        </w:rPr>
      </w:pPr>
    </w:p>
    <w:p>
      <w:pPr>
        <w:ind w:left="840" w:right="240" w:hanging="385"/>
        <w:spacing w:after="0" w:line="247" w:lineRule="auto"/>
        <w:tabs>
          <w:tab w:leader="none" w:pos="8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$927,000 we will receive from the sale pursuant to the Unit Purchase Agreement of the 95,200 private placement units to our insiders and Lynrock at $9.7374 per private placement unit. Also includes $2,430,006 we will receive from the sale of 2,964,203 private investor shares and 242,475 private placement units to the non-managing investors. Assumes the forfeiture of 1,410,624 Class B ordinary shares that are subject to forfeiture depending on the extent to which the underwriters’ option to purchase additional public units is exercised.</w:t>
      </w:r>
    </w:p>
    <w:p>
      <w:pPr>
        <w:ind w:left="840" w:hanging="385"/>
        <w:spacing w:after="0" w:line="250" w:lineRule="auto"/>
        <w:tabs>
          <w:tab w:leader="none" w:pos="8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completion of our initial business combination, we will provide our public shareholders with the opportunity to redeem their public shares, regardless of whether they abstain, vote for, or against, or our initial business combination, for cash at a per share price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any limitations (including, but not limited to, cash requirements) created by the terms of the proposed business combination.</w:t>
      </w:r>
    </w:p>
    <w:p>
      <w:pPr>
        <w:spacing w:after="0" w:line="12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125</w:t>
      </w:r>
    </w:p>
    <w:p>
      <w:pPr>
        <w:sectPr>
          <w:pgSz w:w="11900" w:h="16840" w:orient="portrait"/>
          <w:cols w:equalWidth="0" w:num="1">
            <w:col w:w="10120"/>
          </w:cols>
          <w:pgMar w:left="660" w:top="874" w:right="1120" w:bottom="1440" w:gutter="0" w:footer="0" w:header="0"/>
        </w:sectPr>
      </w:pPr>
    </w:p>
    <w:bookmarkStart w:id="138" w:name="page139"/>
    <w:bookmarkEnd w:id="1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840" w:hanging="385"/>
        <w:spacing w:after="0" w:line="284" w:lineRule="auto"/>
        <w:tabs>
          <w:tab w:leader="none" w:pos="8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share amount is prior to any forfeiture of founder shares by our initial shareholders and as adjusted assumes the forfeiture of 1,410,624 Class B ordinary shares that are subject to forfeiture depending on the extent to which the underwriters’ option to purchase additional shares is exercised.</w:t>
      </w:r>
    </w:p>
    <w:p>
      <w:pPr>
        <w:spacing w:after="0" w:line="1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126</w:t>
      </w:r>
    </w:p>
    <w:p>
      <w:pPr>
        <w:sectPr>
          <w:pgSz w:w="11900" w:h="16840" w:orient="portrait"/>
          <w:cols w:equalWidth="0" w:num="1">
            <w:col w:w="10100"/>
          </w:cols>
          <w:pgMar w:left="660" w:top="874" w:right="1140" w:bottom="1440" w:gutter="0" w:footer="0" w:header="0"/>
        </w:sectPr>
      </w:pPr>
    </w:p>
    <w:bookmarkStart w:id="139" w:name="page140"/>
    <w:bookmarkEnd w:id="1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 FINANCIAL CONDITION</w:t>
      </w:r>
    </w:p>
    <w:p>
      <w:pPr>
        <w:spacing w:after="0" w:line="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AND RESULTS OF OPERATIONS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4" w:lineRule="exact"/>
        <w:rPr>
          <w:sz w:val="20"/>
          <w:szCs w:val="20"/>
          <w:color w:val="auto"/>
        </w:rPr>
      </w:pPr>
    </w:p>
    <w:p>
      <w:pPr>
        <w:ind w:left="460" w:right="60" w:firstLine="379"/>
        <w:spacing w:after="0" w:line="250" w:lineRule="auto"/>
        <w:rPr>
          <w:sz w:val="20"/>
          <w:szCs w:val="20"/>
          <w:color w:val="auto"/>
        </w:rPr>
      </w:pPr>
      <w:r>
        <w:rPr>
          <w:rFonts w:ascii="Times New Roman" w:cs="Times New Roman" w:eastAsia="Times New Roman" w:hAnsi="Times New Roman"/>
          <w:sz w:val="15"/>
          <w:szCs w:val="15"/>
          <w:color w:val="auto"/>
        </w:rPr>
        <w:t>We are a newly organized Private-to-Public Equity (PPE) company, also known as a blank check company or special purpose acquisition company (SPAC), incorporated in the Cayman Islands and formed by an affiliate of the serial SPAC issuer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A&amp;D, cybersecurity, encryption and quantum technologies, satellite and drone technologies for commercial and defense applications, and semiconductor “system on a chip” (SOC) industries.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w:t>
      </w:r>
    </w:p>
    <w:p>
      <w:pPr>
        <w:spacing w:after="0" w:line="3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We will seek to capitalize on the significant experience and contacts of our management team to complete our initial business combination.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GigCapital8 is our eighth SPAC affiliated with GigCapital Global, with five of the other seven having completed business combinations; GIG1, which</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successfully completed its business combination with Kaleyra S.p.A., following which it was renamed as Kaleyra, Inc. (NYSE American: KLR) in</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November 2019 (and since that time, Kaleyra uplisted to NYSE), and Kaleyra, Inc. was then acquired in November 2023 by Tata Communications in a</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$320 million cash deal; GIG2, which successfully completed its business combination with UpHealth Holding, Inc. and Cloudbreak Health, LLC, following</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which it was renamed as UpHealth, Inc. (OTC Expert Market: UPHL) in June 2021, and UpHealth, Inc. sold its subsidiaries Innovations Group Incorporated</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 June 2023 to Belmar Pharma Solutions in a $58 million cash deal, and Cloudbreak Health in March 2024 to an affiliate of GTCR, LLC in a $180 million</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cash deal (some subsidiaries of UpHealth, Inc., such as UpHealth Holdings, Inc. and its wholly-owned subsidiaries, Thrasys, Inc. and Behavioral Health</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Services, LLC, and each of their subsidiaries filed voluntary petitions for relief under Chapter 11 of U.S. Bankruptcy Code in 2023); GIG3, which</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successfully completed its business combination with Lightning Systems, Inc. (doing business as Lightning eMotors), following which it was renamed as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Lightning eMotors, Inc. (OTC Expert Market: ZEVY) in May 2021 (Lightning eMotors went into receivership in December 2023, and as a result, the assets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of Lightning eMotors were sold to GERCO LLC, a subsidiary of GILLIG, in February 2024); GIG4, which successfully completed its business combination</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with BigBear.ai Holdings, LLC, following which it was renamed as BigBear.ai Holdings, Inc. (NYSE: BBAI) in December 2021; and GIG5, which</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successfully completed its business combination with QT Imaging, Inc., following which it was renamed as QT Imaging Holdings, Inc. (OTCQB: QTIH) in</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March 2024.</w:t>
      </w:r>
    </w:p>
    <w:p>
      <w:pPr>
        <w:spacing w:after="0" w:line="143"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We believe our management team’s distinctive background and record of acquisition and operational success could have a significant impact on target businesses. Although we may pursue our initial business combination in any business, industry or geographic location, we currently intend to focus on opportunities to capitalize on the ability of our management team, particularly our executive officers, to identify, acquire and operate a business in the A&amp;D, cybersecurity, encryption and quantum technologies, AI and ML, satellite and drone technologies for commercial and defense applications, and semiconductor “system on a chip” (SOC) industries.</w:t>
      </w:r>
    </w:p>
    <w:p>
      <w:pPr>
        <w:spacing w:after="0" w:line="122" w:lineRule="exact"/>
        <w:rPr>
          <w:sz w:val="20"/>
          <w:szCs w:val="20"/>
          <w:color w:val="auto"/>
        </w:rPr>
      </w:pPr>
    </w:p>
    <w:p>
      <w:pPr>
        <w:ind w:left="460" w:right="100" w:firstLine="379"/>
        <w:spacing w:after="0" w:line="284" w:lineRule="auto"/>
        <w:rPr>
          <w:sz w:val="20"/>
          <w:szCs w:val="20"/>
          <w:color w:val="auto"/>
        </w:rPr>
      </w:pPr>
      <w:r>
        <w:rPr>
          <w:rFonts w:ascii="Times New Roman" w:cs="Times New Roman" w:eastAsia="Times New Roman" w:hAnsi="Times New Roman"/>
          <w:sz w:val="15"/>
          <w:szCs w:val="15"/>
          <w:color w:val="auto"/>
        </w:rPr>
        <w:t>Based on few megatrends in the world, we believe that our new SPAC is timely and relevant to support enhancement of public capital investments in growing and commercializing innovative small and middle-cap exceptional technology companies.</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127</w:t>
      </w:r>
    </w:p>
    <w:p>
      <w:pPr>
        <w:sectPr>
          <w:pgSz w:w="11900" w:h="16840" w:orient="portrait"/>
          <w:cols w:equalWidth="0" w:num="1">
            <w:col w:w="10120"/>
          </w:cols>
          <w:pgMar w:left="660" w:top="874" w:right="1120" w:bottom="1440" w:gutter="0" w:footer="0" w:header="0"/>
        </w:sectPr>
      </w:pPr>
    </w:p>
    <w:bookmarkStart w:id="140" w:name="page141"/>
    <w:bookmarkEnd w:id="1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firstLine="379"/>
        <w:spacing w:after="0" w:line="252" w:lineRule="auto"/>
        <w:rPr>
          <w:sz w:val="20"/>
          <w:szCs w:val="20"/>
          <w:color w:val="auto"/>
        </w:rPr>
      </w:pPr>
      <w:r>
        <w:rPr>
          <w:rFonts w:ascii="Times New Roman" w:cs="Times New Roman" w:eastAsia="Times New Roman" w:hAnsi="Times New Roman"/>
          <w:sz w:val="15"/>
          <w:szCs w:val="15"/>
          <w:color w:val="auto"/>
        </w:rPr>
        <w:t>For one, urban population is expected to increase from today’s 53% to 70% by 2050. Based on United Nations data, overall growth of the world’s population will add close to 2.5 billion people to urban areas by 2050.</w:t>
      </w:r>
      <w:r>
        <w:rPr>
          <w:rFonts w:ascii="Times New Roman" w:cs="Times New Roman" w:eastAsia="Times New Roman" w:hAnsi="Times New Roman"/>
          <w:sz w:val="9"/>
          <w:szCs w:val="9"/>
          <w:color w:val="auto"/>
        </w:rPr>
        <w:t>1</w:t>
      </w:r>
      <w:r>
        <w:rPr>
          <w:rFonts w:ascii="Times New Roman" w:cs="Times New Roman" w:eastAsia="Times New Roman" w:hAnsi="Times New Roman"/>
          <w:sz w:val="15"/>
          <w:szCs w:val="15"/>
          <w:color w:val="auto"/>
        </w:rPr>
        <w:t xml:space="preserve"> The number of new mega-cities will increase rapidly, particularly in developing countries, requiring massive investments in smart and sustainable city infrastructures. These trends will be further emphasized and challenged by the ongoing demographic shift and new population age structure. In addition, climate change and consequent environmental and social impacts are some of the world’s greatest concerns. The United Nations Sustainable Development Goals and the Paris Climate Agreement are driving the agenda and world’s efforts toward a green economy and sustainable solutions.</w:t>
      </w:r>
      <w:r>
        <w:rPr>
          <w:rFonts w:ascii="Times New Roman" w:cs="Times New Roman" w:eastAsia="Times New Roman" w:hAnsi="Times New Roman"/>
          <w:sz w:val="9"/>
          <w:szCs w:val="9"/>
          <w:color w:val="auto"/>
        </w:rPr>
        <w:t>2</w:t>
      </w:r>
      <w:r>
        <w:rPr>
          <w:rFonts w:ascii="Times New Roman" w:cs="Times New Roman" w:eastAsia="Times New Roman" w:hAnsi="Times New Roman"/>
          <w:sz w:val="15"/>
          <w:szCs w:val="15"/>
          <w:color w:val="auto"/>
        </w:rPr>
        <w:t xml:space="preserve"> Consumer sensitivity to sustainable-marketed products grew substantially in the last 5 years, representing today more than 50% of total Consumer Packaged Goods (CPG) market growth.</w:t>
      </w:r>
      <w:r>
        <w:rPr>
          <w:rFonts w:ascii="Times New Roman" w:cs="Times New Roman" w:eastAsia="Times New Roman" w:hAnsi="Times New Roman"/>
          <w:sz w:val="9"/>
          <w:szCs w:val="9"/>
          <w:color w:val="auto"/>
        </w:rPr>
        <w:t>3</w:t>
      </w:r>
      <w:r>
        <w:rPr>
          <w:rFonts w:ascii="Times New Roman" w:cs="Times New Roman" w:eastAsia="Times New Roman" w:hAnsi="Times New Roman"/>
          <w:sz w:val="15"/>
          <w:szCs w:val="15"/>
          <w:color w:val="auto"/>
        </w:rPr>
        <w:t xml:space="preserve"> Capital allocation in funds embracing Environmental, Social and Governance principles reached record numbers in the last few years.</w:t>
      </w:r>
      <w:r>
        <w:rPr>
          <w:rFonts w:ascii="Times New Roman" w:cs="Times New Roman" w:eastAsia="Times New Roman" w:hAnsi="Times New Roman"/>
          <w:sz w:val="9"/>
          <w:szCs w:val="9"/>
          <w:color w:val="auto"/>
        </w:rPr>
        <w:t>4</w:t>
      </w:r>
      <w:r>
        <w:rPr>
          <w:rFonts w:ascii="Times New Roman" w:cs="Times New Roman" w:eastAsia="Times New Roman" w:hAnsi="Times New Roman"/>
          <w:sz w:val="15"/>
          <w:szCs w:val="15"/>
          <w:color w:val="auto"/>
        </w:rPr>
        <w:t>12</w:t>
      </w:r>
    </w:p>
    <w:p>
      <w:pPr>
        <w:spacing w:after="0" w:line="162"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Another megatrend is that data has become many enterprises’ most valuable asset. Digital transformation, built on cloud-based platforms and enabled with new technologies, including AI, the internet of things (IoT), mobile and robotics, offer companies across all industries new opportunities to drive new business models, with the scalability, flexibility, agility, and dynamism heretofore infeasible. These transformations, in turn, are powering the movements to address the other megatrends. The focus of global growth has been shifting. Developing countries, particularly in Asia Pacific and Latin America, are starting to bring their economies to the forefront of interlinked global trade and investment flows. The emerging markets are not only transitioning to more consumption-oriented economies, but also starting to export capital and innovation. Enterprises that are prepared and able to adapt and capitalize on the evolving global competitive landscape will be the winners of the 21st century. Our focus will be on companies with sustainable business and solid corporate governance that may have high impact on the world’s Sustainable Development Goals (SDG) and are determined to better society and the environment.</w:t>
      </w:r>
    </w:p>
    <w:p>
      <w:pPr>
        <w:spacing w:after="0" w:line="162" w:lineRule="exact"/>
        <w:rPr>
          <w:sz w:val="20"/>
          <w:szCs w:val="20"/>
          <w:color w:val="auto"/>
        </w:rPr>
      </w:pPr>
    </w:p>
    <w:p>
      <w:pPr>
        <w:jc w:val="both"/>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We intend to effectuate our initial business combination using cash from the proceeds of this offering, our common equity or any preferred equity that we may create in accordance with the terms of our amended and restated memorandum and articles of association, debt, or a combination of cash, common or preferred equity and debt.</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issuance of additional ordinary shares or the creation of one or more classes of preferred shares during our initial business combination:</w:t>
      </w:r>
    </w:p>
    <w:p>
      <w:pPr>
        <w:spacing w:after="0" w:line="124" w:lineRule="exact"/>
        <w:rPr>
          <w:sz w:val="20"/>
          <w:szCs w:val="20"/>
          <w:color w:val="auto"/>
        </w:rPr>
      </w:pPr>
    </w:p>
    <w:p>
      <w:pPr>
        <w:ind w:left="1300" w:hanging="371"/>
        <w:spacing w:after="0"/>
        <w:tabs>
          <w:tab w:leader="none" w:pos="13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significantly dilute the equity interest of investors in this offering who would not havepre-emption rights in respect of any such issue;</w:t>
      </w:r>
    </w:p>
    <w:p>
      <w:pPr>
        <w:spacing w:after="0" w:line="123" w:lineRule="exact"/>
        <w:rPr>
          <w:rFonts w:ascii="Times New Roman" w:cs="Times New Roman" w:eastAsia="Times New Roman" w:hAnsi="Times New Roman"/>
          <w:sz w:val="15"/>
          <w:szCs w:val="15"/>
          <w:color w:val="auto"/>
        </w:rPr>
      </w:pPr>
    </w:p>
    <w:p>
      <w:pPr>
        <w:ind w:left="1300" w:hanging="371"/>
        <w:spacing w:after="0" w:line="284" w:lineRule="auto"/>
        <w:tabs>
          <w:tab w:leader="none" w:pos="13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subordinate the rights of holders of ordinary shares if the rights, preferences, designations and limitations attaching to the preferred shares are senior to those afforded our ordinary shares;</w:t>
      </w:r>
    </w:p>
    <w:p>
      <w:pPr>
        <w:spacing w:after="0" w:line="65" w:lineRule="exact"/>
        <w:rPr>
          <w:rFonts w:ascii="Times New Roman" w:cs="Times New Roman" w:eastAsia="Times New Roman" w:hAnsi="Times New Roman"/>
          <w:sz w:val="15"/>
          <w:szCs w:val="15"/>
          <w:color w:val="auto"/>
        </w:rPr>
      </w:pPr>
    </w:p>
    <w:p>
      <w:pPr>
        <w:ind w:left="1300" w:right="80" w:hanging="371"/>
        <w:spacing w:after="0" w:line="284" w:lineRule="auto"/>
        <w:tabs>
          <w:tab w:leader="none" w:pos="13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spacing w:after="0" w:line="65" w:lineRule="exact"/>
        <w:rPr>
          <w:rFonts w:ascii="Times New Roman" w:cs="Times New Roman" w:eastAsia="Times New Roman" w:hAnsi="Times New Roman"/>
          <w:sz w:val="15"/>
          <w:szCs w:val="15"/>
          <w:color w:val="auto"/>
        </w:rPr>
      </w:pPr>
    </w:p>
    <w:p>
      <w:pPr>
        <w:ind w:left="1300" w:right="60" w:hanging="371"/>
        <w:spacing w:after="0" w:line="284" w:lineRule="auto"/>
        <w:tabs>
          <w:tab w:leader="none" w:pos="13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have the effect of delaying or preventing a change of control of us by diluting the share ownership or voting rights of a person seeking to obtain control of us; and</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adversely affect prevailing market prices for our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85725</wp:posOffset>
            </wp:positionV>
            <wp:extent cx="66929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9290" cy="7620"/>
                    </a:xfrm>
                    <a:prstGeom prst="rect">
                      <a:avLst/>
                    </a:prstGeom>
                    <a:noFill/>
                  </pic:spPr>
                </pic:pic>
              </a:graphicData>
            </a:graphic>
          </wp:anchor>
        </w:drawing>
      </w:r>
    </w:p>
    <w:p>
      <w:pPr>
        <w:spacing w:after="0" w:line="139" w:lineRule="exact"/>
        <w:rPr>
          <w:sz w:val="20"/>
          <w:szCs w:val="20"/>
          <w:color w:val="auto"/>
        </w:rPr>
      </w:pPr>
    </w:p>
    <w:p>
      <w:pPr>
        <w:ind w:left="840" w:hanging="385"/>
        <w:spacing w:after="0"/>
        <w:tabs>
          <w:tab w:leader="none" w:pos="840" w:val="left"/>
        </w:tabs>
        <w:numPr>
          <w:ilvl w:val="0"/>
          <w:numId w:val="55"/>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Report of the UN Economist Network for the UN 75th Anniversary—Sept. 2020.</w:t>
      </w:r>
    </w:p>
    <w:p>
      <w:pPr>
        <w:spacing w:after="0" w:line="21" w:lineRule="exact"/>
        <w:rPr>
          <w:sz w:val="20"/>
          <w:szCs w:val="20"/>
          <w:color w:val="auto"/>
        </w:rPr>
      </w:pPr>
    </w:p>
    <w:p>
      <w:pPr>
        <w:ind w:left="840" w:hanging="385"/>
        <w:spacing w:after="0"/>
        <w:tabs>
          <w:tab w:leader="none" w:pos="84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UN Framework Convention on Climate Change-FCC/CP/2-15/L.9/Rev1.</w:t>
      </w:r>
    </w:p>
    <w:p>
      <w:pPr>
        <w:spacing w:after="0" w:line="5" w:lineRule="exact"/>
        <w:rPr>
          <w:sz w:val="20"/>
          <w:szCs w:val="20"/>
          <w:color w:val="auto"/>
        </w:rPr>
      </w:pPr>
    </w:p>
    <w:p>
      <w:pPr>
        <w:ind w:left="840" w:right="40" w:hanging="385"/>
        <w:spacing w:after="0" w:line="247" w:lineRule="auto"/>
        <w:tabs>
          <w:tab w:leader="none" w:pos="840" w:val="left"/>
        </w:tabs>
        <w:numPr>
          <w:ilvl w:val="0"/>
          <w:numId w:val="57"/>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New York University, Stern School of Business, Center for Sustainable Business. Research on 2015-2020 IRI Purchasing Data Reveals Sustainability Drives Growth, Survives the Pandemic, July 2020.</w:t>
      </w:r>
    </w:p>
    <w:p>
      <w:pPr>
        <w:ind w:left="5160" w:right="4380" w:hanging="4705"/>
        <w:spacing w:after="0" w:line="476" w:lineRule="auto"/>
        <w:tabs>
          <w:tab w:leader="none" w:pos="825"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Blackrock -Sustainability: The tectonic shift transforming investing, Feb. 2020. 128</w:t>
      </w:r>
    </w:p>
    <w:p>
      <w:pPr>
        <w:sectPr>
          <w:pgSz w:w="11900" w:h="16840" w:orient="portrait"/>
          <w:cols w:equalWidth="0" w:num="1">
            <w:col w:w="10100"/>
          </w:cols>
          <w:pgMar w:left="660" w:top="874" w:right="1140" w:bottom="1440" w:gutter="0" w:footer="0" w:header="0"/>
        </w:sectPr>
      </w:pPr>
    </w:p>
    <w:bookmarkStart w:id="141" w:name="page142"/>
    <w:bookmarkEnd w:id="1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Similarly, if we issue debt securities or otherwise incur significant indebtedness, it could result in:</w:t>
      </w:r>
    </w:p>
    <w:p>
      <w:pPr>
        <w:spacing w:after="0" w:line="124" w:lineRule="exact"/>
        <w:rPr>
          <w:sz w:val="20"/>
          <w:szCs w:val="20"/>
          <w:color w:val="auto"/>
        </w:rPr>
      </w:pPr>
    </w:p>
    <w:p>
      <w:pPr>
        <w:ind w:left="1300" w:right="620" w:hanging="371"/>
        <w:spacing w:after="0" w:line="284" w:lineRule="auto"/>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and foreclosure on our assets if our operating revenues after our initial business combination are insufficient to repay our debt obligations;</w:t>
      </w:r>
    </w:p>
    <w:p>
      <w:pPr>
        <w:spacing w:after="0" w:line="65" w:lineRule="exact"/>
        <w:rPr>
          <w:rFonts w:ascii="Times New Roman" w:cs="Times New Roman" w:eastAsia="Times New Roman" w:hAnsi="Times New Roman"/>
          <w:sz w:val="15"/>
          <w:szCs w:val="15"/>
          <w:color w:val="auto"/>
        </w:rPr>
      </w:pPr>
    </w:p>
    <w:p>
      <w:pPr>
        <w:ind w:left="1300" w:right="260" w:hanging="371"/>
        <w:spacing w:after="0" w:line="284" w:lineRule="auto"/>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immediate payment of all principal and accrued interest, if any, if the debt is payable on demand;</w:t>
      </w:r>
    </w:p>
    <w:p>
      <w:pPr>
        <w:spacing w:after="0" w:line="123" w:lineRule="exact"/>
        <w:rPr>
          <w:rFonts w:ascii="Times New Roman" w:cs="Times New Roman" w:eastAsia="Times New Roman" w:hAnsi="Times New Roman"/>
          <w:sz w:val="15"/>
          <w:szCs w:val="15"/>
          <w:color w:val="auto"/>
        </w:rPr>
      </w:pPr>
    </w:p>
    <w:p>
      <w:pPr>
        <w:ind w:left="1300" w:right="140" w:hanging="371"/>
        <w:spacing w:after="0" w:line="284" w:lineRule="auto"/>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obtain necessary additional financing if any document governing such debt contains covenants restricting our ability to obtain such financing while the debt security is outstanding;</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pay dividends on our ordinary shares;</w:t>
      </w:r>
    </w:p>
    <w:p>
      <w:pPr>
        <w:spacing w:after="0" w:line="123" w:lineRule="exact"/>
        <w:rPr>
          <w:rFonts w:ascii="Times New Roman" w:cs="Times New Roman" w:eastAsia="Times New Roman" w:hAnsi="Times New Roman"/>
          <w:sz w:val="15"/>
          <w:szCs w:val="15"/>
          <w:color w:val="auto"/>
        </w:rPr>
      </w:pPr>
    </w:p>
    <w:p>
      <w:pPr>
        <w:ind w:left="1300" w:hanging="371"/>
        <w:spacing w:after="0" w:line="284" w:lineRule="auto"/>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our flexibility in planning for and reacting to changes in our business and in the industry in which we operate;</w:t>
      </w:r>
    </w:p>
    <w:p>
      <w:pPr>
        <w:spacing w:after="0" w:line="123" w:lineRule="exact"/>
        <w:rPr>
          <w:rFonts w:ascii="Times New Roman" w:cs="Times New Roman" w:eastAsia="Times New Roman" w:hAnsi="Times New Roman"/>
          <w:sz w:val="15"/>
          <w:szCs w:val="15"/>
          <w:color w:val="auto"/>
        </w:rPr>
      </w:pPr>
    </w:p>
    <w:p>
      <w:pPr>
        <w:ind w:left="1300" w:right="420" w:hanging="371"/>
        <w:spacing w:after="0" w:line="284" w:lineRule="auto"/>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vulnerability to adverse changes in general economic, industry and competitive conditions and adverse changes in government regulation; and</w:t>
      </w:r>
    </w:p>
    <w:p>
      <w:pPr>
        <w:spacing w:after="0" w:line="65" w:lineRule="exact"/>
        <w:rPr>
          <w:rFonts w:ascii="Times New Roman" w:cs="Times New Roman" w:eastAsia="Times New Roman" w:hAnsi="Times New Roman"/>
          <w:sz w:val="15"/>
          <w:szCs w:val="15"/>
          <w:color w:val="auto"/>
        </w:rPr>
      </w:pPr>
    </w:p>
    <w:p>
      <w:pPr>
        <w:ind w:left="1300" w:right="20" w:hanging="371"/>
        <w:spacing w:after="0" w:line="284" w:lineRule="auto"/>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37" w:lineRule="exact"/>
        <w:rPr>
          <w:sz w:val="20"/>
          <w:szCs w:val="20"/>
          <w:color w:val="auto"/>
        </w:rPr>
      </w:pPr>
    </w:p>
    <w:p>
      <w:pPr>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As indicated in the accompanying financial statements as of July 21, 2025, we had $ 125,000 in cash and working capital of $5,668. Further, we expect to incur significant costs in the pursuit of our acquisition plans. We cannot assure you that our plans to raise capital or to complete our initial business combination will be successful. These factors, among others, raise substantial doubt about our ability to continue as a going concern.</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Results of Operations and Known Trends or Future Events</w:t>
      </w:r>
    </w:p>
    <w:p>
      <w:pPr>
        <w:spacing w:after="0" w:line="104"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04" w:lineRule="exact"/>
        <w:rPr>
          <w:sz w:val="20"/>
          <w:szCs w:val="20"/>
          <w:color w:val="auto"/>
        </w:rPr>
      </w:pPr>
    </w:p>
    <w:p>
      <w:pPr>
        <w:ind w:left="460" w:right="160" w:firstLine="379"/>
        <w:spacing w:after="0" w:line="253" w:lineRule="auto"/>
        <w:rPr>
          <w:sz w:val="20"/>
          <w:szCs w:val="20"/>
          <w:color w:val="auto"/>
        </w:rPr>
      </w:pPr>
      <w:r>
        <w:rPr>
          <w:rFonts w:ascii="Times New Roman" w:cs="Times New Roman" w:eastAsia="Times New Roman" w:hAnsi="Times New Roman"/>
          <w:sz w:val="15"/>
          <w:szCs w:val="15"/>
          <w:color w:val="auto"/>
        </w:rPr>
        <w:t>Our liquidity needs have been satisfied to date through receipt of $125,000 from the sale of the founder shares and a related party loan of $100,000. We estimate that the net proceeds from (1) the sale of the public units in this offering, after deducting net offering expenses of approximately $1,957,006, which includes underwriting discounts and commissions of $1,000,000 (including a $250,000 referral fee to be paid by the underwriters to United First Partners LLC) (or in the event that the underwriters exercise the over -allotment option in full, expenses of approximately $2,044,578, which includes underwriting discounts and commissions of $1,025,000), (2) the sale of the private placement units to our insiders (or non -affiliated investors to which our sponsor assigns the subscription for such private placement units) for a purchase price of $927,000, and (3) the sale of the private placement units and the private investor shares to the non-managing investors for a purchase</w:t>
      </w:r>
    </w:p>
    <w:p>
      <w:pPr>
        <w:spacing w:after="0" w:line="1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129</w:t>
      </w:r>
    </w:p>
    <w:p>
      <w:pPr>
        <w:sectPr>
          <w:pgSz w:w="11900" w:h="16840" w:orient="portrait"/>
          <w:cols w:equalWidth="0" w:num="1">
            <w:col w:w="10140"/>
          </w:cols>
          <w:pgMar w:left="660" w:top="874" w:right="1100" w:bottom="1440" w:gutter="0" w:footer="0" w:header="0"/>
        </w:sectPr>
      </w:pPr>
    </w:p>
    <w:bookmarkStart w:id="142" w:name="page143"/>
    <w:bookmarkEnd w:id="1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9" w:lineRule="auto"/>
        <w:rPr>
          <w:sz w:val="20"/>
          <w:szCs w:val="20"/>
          <w:color w:val="auto"/>
        </w:rPr>
      </w:pPr>
      <w:r>
        <w:rPr>
          <w:rFonts w:ascii="Times New Roman" w:cs="Times New Roman" w:eastAsia="Times New Roman" w:hAnsi="Times New Roman"/>
          <w:sz w:val="15"/>
          <w:szCs w:val="15"/>
          <w:color w:val="auto"/>
        </w:rPr>
        <w:t>price of $2,430,006 (or $2,624,578 in the event that the underwriters exercise the over -allotment option in full), will be $221,400,000 (or $254,507,000 if the over-allotment option is exercised in full), of which $220,000,000 (or $253,000,000 if the over-allotment option is exercised in full) will be held in the trust account. The remaining estimated $1,400,000 (or $1,507,000 if the over-allotment option is exercised in full), plus an additional $125,000 that we already have, will not be held in the trust account.</w:t>
      </w:r>
    </w:p>
    <w:p>
      <w:pPr>
        <w:spacing w:after="0" w:line="156" w:lineRule="exact"/>
        <w:rPr>
          <w:sz w:val="20"/>
          <w:szCs w:val="20"/>
          <w:color w:val="auto"/>
        </w:rPr>
      </w:pPr>
    </w:p>
    <w:p>
      <w:pPr>
        <w:jc w:val="both"/>
        <w:ind w:left="460" w:right="400" w:firstLine="379"/>
        <w:spacing w:after="0" w:line="254" w:lineRule="auto"/>
        <w:rPr>
          <w:sz w:val="20"/>
          <w:szCs w:val="20"/>
          <w:color w:val="auto"/>
        </w:rPr>
      </w:pPr>
      <w:r>
        <w:rPr>
          <w:rFonts w:ascii="Times New Roman" w:cs="Times New Roman" w:eastAsia="Times New Roman" w:hAnsi="Times New Roman"/>
          <w:sz w:val="15"/>
          <w:szCs w:val="15"/>
          <w:color w:val="auto"/>
        </w:rPr>
        <w:t>We intend to use substantially all of the funds held in the trust account (less permitted withdrawals), including any amounts representing interest earned on the trust account (which interest shall be net of taxes permitted withdrawals by us), to acquire a target business or businesses and to pay our expenses relating thereto.</w:t>
      </w:r>
    </w:p>
    <w:p>
      <w:pPr>
        <w:spacing w:after="0" w:line="1" w:lineRule="exact"/>
        <w:rPr>
          <w:sz w:val="20"/>
          <w:szCs w:val="20"/>
          <w:color w:val="auto"/>
        </w:rPr>
      </w:pPr>
    </w:p>
    <w:p>
      <w:pPr>
        <w:ind w:left="460" w:right="20"/>
        <w:spacing w:after="0" w:line="252" w:lineRule="auto"/>
        <w:rPr>
          <w:sz w:val="20"/>
          <w:szCs w:val="20"/>
          <w:color w:val="auto"/>
        </w:rPr>
      </w:pPr>
      <w:r>
        <w:rPr>
          <w:rFonts w:ascii="Times New Roman" w:cs="Times New Roman" w:eastAsia="Times New Roman" w:hAnsi="Times New Roman"/>
          <w:sz w:val="15"/>
          <w:szCs w:val="15"/>
          <w:color w:val="auto"/>
        </w:rPr>
        <w:t>We may withdraw interest to pay our taxes, if any.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60" w:lineRule="exact"/>
        <w:rPr>
          <w:sz w:val="20"/>
          <w:szCs w:val="20"/>
          <w:color w:val="auto"/>
        </w:rPr>
      </w:pPr>
    </w:p>
    <w:p>
      <w:pPr>
        <w:ind w:left="460" w:firstLine="379"/>
        <w:spacing w:after="0" w:line="253" w:lineRule="auto"/>
        <w:rPr>
          <w:sz w:val="20"/>
          <w:szCs w:val="20"/>
          <w:color w:val="auto"/>
        </w:rPr>
      </w:pPr>
      <w:r>
        <w:rPr>
          <w:rFonts w:ascii="Times New Roman" w:cs="Times New Roman" w:eastAsia="Times New Roman" w:hAnsi="Times New Roman"/>
          <w:sz w:val="15"/>
          <w:szCs w:val="15"/>
          <w:color w:val="auto"/>
        </w:rPr>
        <w:t>We believe that, upon consummation of this offering, the estimated $1,400,000 (or $1,507,000 if the over-allotment option is exercised in full) of cash not held in the trust account along with permitted withdrawals will be sufficient to allow us to operate for at least the next 24 months from the closing of this offering,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the following approximate expenses to be paid from the $1,400,000 (or $1,507,000 if the over-allotment option is exercised in full) not held in the trust account:</w:t>
      </w:r>
    </w:p>
    <w:p>
      <w:pPr>
        <w:spacing w:after="0" w:line="89" w:lineRule="exact"/>
        <w:rPr>
          <w:sz w:val="20"/>
          <w:szCs w:val="20"/>
          <w:color w:val="auto"/>
        </w:rPr>
      </w:pPr>
    </w:p>
    <w:p>
      <w:pPr>
        <w:ind w:left="1300" w:right="560" w:hanging="371"/>
        <w:spacing w:after="0" w:line="284" w:lineRule="auto"/>
        <w:tabs>
          <w:tab w:leader="none" w:pos="13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$125,000 of expenses for the legal, accounting and other third-party expenses attendant to the structuring and negotiating of our initial business combination (or $232,000 if the over-allotment option is exercised in full);</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$160,000 of expenses for SEC filing and other legal and accounting fees related to regulatory reporting obligations;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$720,000 (equal to $30,000 per month for up to 24 months) for office space and administrative fees;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$215,000 for directors and officers insurance;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$180,000 (equal to $15,000 per month for up to 12 months) for payments to our Chief Financial Officer.</w:t>
      </w:r>
    </w:p>
    <w:p>
      <w:pPr>
        <w:spacing w:after="0" w:line="195" w:lineRule="exact"/>
        <w:rPr>
          <w:sz w:val="20"/>
          <w:szCs w:val="20"/>
          <w:color w:val="auto"/>
        </w:rPr>
      </w:pPr>
    </w:p>
    <w:p>
      <w:pPr>
        <w:ind w:left="460" w:right="20" w:firstLine="379"/>
        <w:spacing w:after="0" w:line="253" w:lineRule="auto"/>
        <w:rPr>
          <w:sz w:val="20"/>
          <w:szCs w:val="20"/>
          <w:color w:val="auto"/>
        </w:rPr>
      </w:pPr>
      <w:r>
        <w:rPr>
          <w:rFonts w:ascii="Times New Roman" w:cs="Times New Roman" w:eastAsia="Times New Roman" w:hAnsi="Times New Roman"/>
          <w:sz w:val="15"/>
          <w:szCs w:val="15"/>
          <w:color w:val="auto"/>
        </w:rPr>
        <w:t>If our estimates of the costs of undertaking in -depth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60" w:lineRule="exact"/>
        <w:rPr>
          <w:sz w:val="20"/>
          <w:szCs w:val="20"/>
          <w:color w:val="auto"/>
        </w:rPr>
      </w:pPr>
    </w:p>
    <w:p>
      <w:pPr>
        <w:ind w:left="460" w:right="160" w:firstLine="379"/>
        <w:spacing w:after="0" w:line="265" w:lineRule="auto"/>
        <w:rPr>
          <w:sz w:val="20"/>
          <w:szCs w:val="20"/>
          <w:color w:val="auto"/>
        </w:rPr>
      </w:pPr>
      <w:r>
        <w:rPr>
          <w:rFonts w:ascii="Times New Roman" w:cs="Times New Roman" w:eastAsia="Times New Roman" w:hAnsi="Times New Roman"/>
          <w:sz w:val="15"/>
          <w:szCs w:val="15"/>
          <w:color w:val="auto"/>
        </w:rPr>
        <w:t>As of July 21, 2025, we had $125,000 in cash and working capital of $5,668. We have incurred and expect to continue to incur significant costs in pursuit of our acquisition plans. Our plans to raise capital and to consummate our initial business combination may not be successful. These factors among others raise substantial doubt about our ability to continue as a going concern.</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130</w:t>
      </w:r>
    </w:p>
    <w:p>
      <w:pPr>
        <w:sectPr>
          <w:pgSz w:w="11900" w:h="16840" w:orient="portrait"/>
          <w:cols w:equalWidth="0" w:num="1">
            <w:col w:w="10140"/>
          </w:cols>
          <w:pgMar w:left="660" w:top="874" w:right="1100" w:bottom="1440" w:gutter="0" w:footer="0" w:header="0"/>
        </w:sectPr>
      </w:pPr>
    </w:p>
    <w:bookmarkStart w:id="143" w:name="page144"/>
    <w:bookmarkEnd w:id="1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Controls and Procedures</w:t>
      </w:r>
    </w:p>
    <w:p>
      <w:pPr>
        <w:spacing w:after="0" w:line="104" w:lineRule="exact"/>
        <w:rPr>
          <w:sz w:val="20"/>
          <w:szCs w:val="20"/>
          <w:color w:val="auto"/>
        </w:rPr>
      </w:pPr>
    </w:p>
    <w:p>
      <w:pPr>
        <w:ind w:left="460" w:firstLine="379"/>
        <w:spacing w:after="0" w:line="253" w:lineRule="auto"/>
        <w:rPr>
          <w:sz w:val="20"/>
          <w:szCs w:val="20"/>
          <w:color w:val="auto"/>
        </w:rPr>
      </w:pPr>
      <w:r>
        <w:rPr>
          <w:rFonts w:ascii="Times New Roman" w:cs="Times New Roman" w:eastAsia="Times New Roman" w:hAnsi="Times New Roman"/>
          <w:sz w:val="15"/>
          <w:szCs w:val="15"/>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2025.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342" w:lineRule="exact"/>
        <w:rPr>
          <w:sz w:val="20"/>
          <w:szCs w:val="20"/>
          <w:color w:val="auto"/>
        </w:rPr>
      </w:pPr>
    </w:p>
    <w:p>
      <w:pPr>
        <w:ind w:left="460" w:right="180" w:firstLine="379"/>
        <w:spacing w:after="0" w:line="254" w:lineRule="auto"/>
        <w:rPr>
          <w:sz w:val="20"/>
          <w:szCs w:val="20"/>
          <w:color w:val="auto"/>
        </w:rPr>
      </w:pPr>
      <w:r>
        <w:rPr>
          <w:rFonts w:ascii="Times New Roman" w:cs="Times New Roman" w:eastAsia="Times New Roman" w:hAnsi="Times New Roman"/>
          <w:sz w:val="15"/>
          <w:szCs w:val="15"/>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 - Oxley Act regarding the adequacy of internal controls. Many small and mid-sized target businesses we may consider for our initial business combination may have internal controls that need improvement in areas such as:</w:t>
      </w:r>
    </w:p>
    <w:p>
      <w:pPr>
        <w:spacing w:after="0" w:line="89" w:lineRule="exact"/>
        <w:rPr>
          <w:sz w:val="20"/>
          <w:szCs w:val="20"/>
          <w:color w:val="auto"/>
        </w:rPr>
      </w:pPr>
    </w:p>
    <w:p>
      <w:pPr>
        <w:ind w:left="1300" w:hanging="371"/>
        <w:spacing w:after="0"/>
        <w:tabs>
          <w:tab w:leader="none" w:pos="13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staffing for financial, accounting and external reporting areas, including segregation of duties;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reconciliation of accounts;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 recording of expenses and liabilities in the period to which they relate;</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evidence of internal review and approval of accounting transactions;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documentation of processes, assumptions and conclusions underlying significant estimates;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documentation of accounting policies and procedures.</w:t>
      </w:r>
    </w:p>
    <w:p>
      <w:pPr>
        <w:spacing w:after="0" w:line="195" w:lineRule="exact"/>
        <w:rPr>
          <w:sz w:val="20"/>
          <w:szCs w:val="20"/>
          <w:color w:val="auto"/>
        </w:rPr>
      </w:pPr>
    </w:p>
    <w:p>
      <w:pPr>
        <w:ind w:left="460" w:right="80" w:firstLine="379"/>
        <w:spacing w:after="0" w:line="259" w:lineRule="auto"/>
        <w:rPr>
          <w:sz w:val="20"/>
          <w:szCs w:val="20"/>
          <w:color w:val="auto"/>
        </w:rPr>
      </w:pPr>
      <w:r>
        <w:rPr>
          <w:rFonts w:ascii="Times New Roman" w:cs="Times New Roman" w:eastAsia="Times New Roman" w:hAnsi="Times New Roman"/>
          <w:sz w:val="15"/>
          <w:szCs w:val="15"/>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also may take longer than we expect, thus increasing our exposure to financial fraud or erroneous financing reporting.</w:t>
      </w:r>
    </w:p>
    <w:p>
      <w:pPr>
        <w:spacing w:after="0" w:line="156" w:lineRule="exact"/>
        <w:rPr>
          <w:sz w:val="20"/>
          <w:szCs w:val="20"/>
          <w:color w:val="auto"/>
        </w:rPr>
      </w:pPr>
    </w:p>
    <w:p>
      <w:pPr>
        <w:ind w:left="460" w:right="160" w:firstLine="379"/>
        <w:spacing w:after="0" w:line="265" w:lineRule="auto"/>
        <w:rPr>
          <w:sz w:val="20"/>
          <w:szCs w:val="20"/>
          <w:color w:val="auto"/>
        </w:rPr>
      </w:pPr>
      <w:r>
        <w:rPr>
          <w:rFonts w:ascii="Times New Roman" w:cs="Times New Roman" w:eastAsia="Times New Roman" w:hAnsi="Times New Roman"/>
          <w:sz w:val="15"/>
          <w:szCs w:val="15"/>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Related Party Transactions</w:t>
      </w:r>
    </w:p>
    <w:p>
      <w:pPr>
        <w:spacing w:after="0" w:line="104" w:lineRule="exact"/>
        <w:rPr>
          <w:sz w:val="20"/>
          <w:szCs w:val="20"/>
          <w:color w:val="auto"/>
        </w:rPr>
      </w:pPr>
    </w:p>
    <w:p>
      <w:pPr>
        <w:ind w:left="460" w:right="100" w:firstLine="379"/>
        <w:spacing w:after="0" w:line="252" w:lineRule="auto"/>
        <w:rPr>
          <w:sz w:val="20"/>
          <w:szCs w:val="20"/>
          <w:color w:val="auto"/>
        </w:rPr>
      </w:pPr>
      <w:r>
        <w:rPr>
          <w:rFonts w:ascii="Times New Roman" w:cs="Times New Roman" w:eastAsia="Times New Roman" w:hAnsi="Times New Roman"/>
          <w:sz w:val="15"/>
          <w:szCs w:val="15"/>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over-allotment option is exercised during this offering. Our sponsor intends at the time of this offering to sell 375,397 founder shares in the aggregate to Messrs. Greene, Machuca, Timm and Horowitz at an aggregate price of $9,244 and 1,416,665 founder shares to Lynrock at an aggregate price of $13,130, or $ 0.00927 per share, thus reducing the price paid by our sponsor for the 6,058,167 founder shares which it is retaining to $2,626, or $0.000434 per share. The purchase price per founder share was determined by</w:t>
      </w:r>
    </w:p>
    <w:p>
      <w:pPr>
        <w:spacing w:after="0" w:line="1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131</w:t>
      </w:r>
    </w:p>
    <w:p>
      <w:pPr>
        <w:sectPr>
          <w:pgSz w:w="11900" w:h="16840" w:orient="portrait"/>
          <w:cols w:equalWidth="0" w:num="1">
            <w:col w:w="10120"/>
          </w:cols>
          <w:pgMar w:left="660" w:top="874" w:right="1120" w:bottom="1440" w:gutter="0" w:footer="0" w:header="0"/>
        </w:sectPr>
      </w:pPr>
    </w:p>
    <w:bookmarkStart w:id="144" w:name="page145"/>
    <w:bookmarkEnd w:id="1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jc w:val="both"/>
        <w:ind w:left="460" w:right="240"/>
        <w:spacing w:after="0" w:line="265" w:lineRule="auto"/>
        <w:rPr>
          <w:sz w:val="20"/>
          <w:szCs w:val="20"/>
          <w:color w:val="auto"/>
        </w:rPr>
      </w:pPr>
      <w:r>
        <w:rPr>
          <w:rFonts w:ascii="Times New Roman" w:cs="Times New Roman" w:eastAsia="Times New Roman" w:hAnsi="Times New Roman"/>
          <w:sz w:val="15"/>
          <w:szCs w:val="15"/>
          <w:color w:val="auto"/>
        </w:rPr>
        <w:t>dividing the amount of cash contributed to the company by the number of founder shares issued. Prior to the initial investment of $25,000 by our sponsor and four other directors, the company had no assets, tangible or intangible. In connection with this offering, up to 1,023,943 founder shares are subject to forfeiture by our initial shareholders depending on the extent to which the underwriters’ over-allotment option is exercised during this offering.</w:t>
      </w:r>
    </w:p>
    <w:p>
      <w:pPr>
        <w:spacing w:after="0" w:line="151"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156" w:lineRule="exact"/>
        <w:rPr>
          <w:sz w:val="20"/>
          <w:szCs w:val="20"/>
          <w:color w:val="auto"/>
        </w:rPr>
      </w:pPr>
    </w:p>
    <w:p>
      <w:pPr>
        <w:ind w:left="460" w:right="80" w:firstLine="379"/>
        <w:spacing w:after="0" w:line="265" w:lineRule="auto"/>
        <w:rPr>
          <w:sz w:val="20"/>
          <w:szCs w:val="20"/>
          <w:color w:val="auto"/>
        </w:rPr>
      </w:pPr>
      <w:r>
        <w:rPr>
          <w:rFonts w:ascii="Times New Roman" w:cs="Times New Roman" w:eastAsia="Times New Roman" w:hAnsi="Times New Roman"/>
          <w:sz w:val="15"/>
          <w:szCs w:val="15"/>
          <w:color w:val="auto"/>
        </w:rPr>
        <w:t>On July 18, 2025, we also entered into a promissory note with our sponsor with a principal amount of $100,000, all of which remained outstanding as of July 21, 2025, to be used for the payment of expenses related to this offering. The promissory note is non-interest bearing, unsecured and is due on the earlier of (i) December 31, 2025 or (ii) the date on which we consummate this offering.</w:t>
      </w:r>
    </w:p>
    <w:p>
      <w:pPr>
        <w:spacing w:after="0" w:line="151"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w:t>
      </w:r>
    </w:p>
    <w:p>
      <w:pPr>
        <w:spacing w:after="0" w:line="151" w:lineRule="exact"/>
        <w:rPr>
          <w:sz w:val="20"/>
          <w:szCs w:val="20"/>
          <w:color w:val="auto"/>
        </w:rPr>
      </w:pPr>
    </w:p>
    <w:p>
      <w:pPr>
        <w:ind w:left="460" w:right="140" w:firstLine="379"/>
        <w:spacing w:after="0" w:line="256" w:lineRule="auto"/>
        <w:rPr>
          <w:sz w:val="20"/>
          <w:szCs w:val="20"/>
          <w:color w:val="auto"/>
        </w:rPr>
      </w:pPr>
      <w:r>
        <w:rPr>
          <w:rFonts w:ascii="Times New Roman" w:cs="Times New Roman" w:eastAsia="Times New Roman" w:hAnsi="Times New Roman"/>
          <w:sz w:val="15"/>
          <w:szCs w:val="15"/>
          <w:color w:val="auto"/>
        </w:rPr>
        <w:t>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rights that permit us to use the trademark “Private-to-Public Equity (PPE).”</w:t>
      </w:r>
    </w:p>
    <w:p>
      <w:pPr>
        <w:spacing w:after="0" w:line="158"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Our sponsor, officers and directors, or any of their respective affiliates, will be reimbursed for any out-of- 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60" w:lineRule="exact"/>
        <w:rPr>
          <w:sz w:val="20"/>
          <w:szCs w:val="20"/>
          <w:color w:val="auto"/>
        </w:rPr>
      </w:pPr>
    </w:p>
    <w:p>
      <w:pPr>
        <w:ind w:left="460" w:right="40" w:firstLine="379"/>
        <w:spacing w:after="0" w:line="256" w:lineRule="auto"/>
        <w:rPr>
          <w:sz w:val="20"/>
          <w:szCs w:val="20"/>
          <w:color w:val="auto"/>
        </w:rPr>
      </w:pPr>
      <w:r>
        <w:rPr>
          <w:rFonts w:ascii="Times New Roman" w:cs="Times New Roman" w:eastAsia="Times New Roman" w:hAnsi="Times New Roman"/>
          <w:sz w:val="15"/>
          <w:szCs w:val="15"/>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sponsor, executive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w:t>
      </w:r>
    </w:p>
    <w:p>
      <w:pPr>
        <w:spacing w:after="0" w:line="158" w:lineRule="exact"/>
        <w:rPr>
          <w:sz w:val="20"/>
          <w:szCs w:val="20"/>
          <w:color w:val="auto"/>
        </w:rPr>
      </w:pPr>
    </w:p>
    <w:p>
      <w:pPr>
        <w:ind w:left="460" w:right="60" w:firstLine="379"/>
        <w:spacing w:after="0" w:line="256" w:lineRule="auto"/>
        <w:rPr>
          <w:sz w:val="20"/>
          <w:szCs w:val="20"/>
          <w:color w:val="auto"/>
        </w:rPr>
      </w:pPr>
      <w:r>
        <w:rPr>
          <w:rFonts w:ascii="Times New Roman" w:cs="Times New Roman" w:eastAsia="Times New Roman" w:hAnsi="Times New Roman"/>
          <w:sz w:val="15"/>
          <w:szCs w:val="15"/>
          <w:color w:val="auto"/>
        </w:rPr>
        <w:t>Pursuant to a registration rights agreement we will enter into an agreement with each of our initial shareholders on or prior to the closing of this offering, we may be required to register certain securities for sale under the Securities Act. These holders are entitled under the registration rights agreement to make up to three demands that we register certain of our securities held by them under the Securities Act and to have the securities covered thereby registered for resale pursuant to Rule 415 under the Securities Act. In addition, these holders have the right to include their securities in any other registration statement filed by us. However, the registration</w:t>
      </w:r>
    </w:p>
    <w:p>
      <w:pPr>
        <w:spacing w:after="0" w:line="12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132</w:t>
      </w:r>
    </w:p>
    <w:p>
      <w:pPr>
        <w:sectPr>
          <w:pgSz w:w="11900" w:h="16840" w:orient="portrait"/>
          <w:cols w:equalWidth="0" w:num="1">
            <w:col w:w="10140"/>
          </w:cols>
          <w:pgMar w:left="660" w:top="874" w:right="1100" w:bottom="1440" w:gutter="0" w:footer="0" w:header="0"/>
        </w:sectPr>
      </w:pPr>
    </w:p>
    <w:bookmarkStart w:id="145" w:name="page146"/>
    <w:bookmarkEnd w:id="1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60"/>
        <w:spacing w:after="0" w:line="265" w:lineRule="auto"/>
        <w:rPr>
          <w:sz w:val="20"/>
          <w:szCs w:val="20"/>
          <w:color w:val="auto"/>
        </w:rPr>
      </w:pPr>
      <w:r>
        <w:rPr>
          <w:rFonts w:ascii="Times New Roman" w:cs="Times New Roman" w:eastAsia="Times New Roman" w:hAnsi="Times New Roman"/>
          <w:sz w:val="15"/>
          <w:szCs w:val="15"/>
          <w:color w:val="auto"/>
        </w:rPr>
        <w:t>rights agreement provides that we will not permit any registration statement filed under the Securities Act to become effective until the securities covered thereby are released from their respective lock-up restrictions, as described herein. We will bear the costs and expenses of filing any such registration statements. See “</w:t>
      </w:r>
      <w:r>
        <w:rPr>
          <w:rFonts w:ascii="Times New Roman" w:cs="Times New Roman" w:eastAsia="Times New Roman" w:hAnsi="Times New Roman"/>
          <w:sz w:val="15"/>
          <w:szCs w:val="15"/>
          <w:i w:val="1"/>
          <w:iCs w:val="1"/>
          <w:color w:val="auto"/>
        </w:rPr>
        <w:t>Certain Relationships and Related Party Transactions</w:t>
      </w:r>
      <w:r>
        <w:rPr>
          <w:rFonts w:ascii="Times New Roman" w:cs="Times New Roman" w:eastAsia="Times New Roman" w:hAnsi="Times New Roman"/>
          <w:sz w:val="15"/>
          <w:szCs w:val="15"/>
          <w:color w:val="auto"/>
        </w:rPr>
        <w:t>.”</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Quantitative and Qualitative Disclosures about Market Risk</w:t>
      </w:r>
    </w:p>
    <w:p>
      <w:pPr>
        <w:spacing w:after="0" w:line="104" w:lineRule="exact"/>
        <w:rPr>
          <w:sz w:val="20"/>
          <w:szCs w:val="20"/>
          <w:color w:val="auto"/>
        </w:rPr>
      </w:pPr>
    </w:p>
    <w:p>
      <w:pPr>
        <w:ind w:left="460" w:right="140" w:firstLine="379"/>
        <w:spacing w:after="0" w:line="265" w:lineRule="auto"/>
        <w:rPr>
          <w:sz w:val="20"/>
          <w:szCs w:val="20"/>
          <w:color w:val="auto"/>
        </w:rPr>
      </w:pPr>
      <w:r>
        <w:rPr>
          <w:rFonts w:ascii="Times New Roman" w:cs="Times New Roman" w:eastAsia="Times New Roman" w:hAnsi="Times New Roman"/>
          <w:sz w:val="15"/>
          <w:szCs w:val="15"/>
          <w:color w:val="auto"/>
        </w:rPr>
        <w:t>The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Off-Balance Sheet Arrangements; Commitments and Contractual Obligations; Quarterly Results</w:t>
      </w:r>
    </w:p>
    <w:p>
      <w:pPr>
        <w:spacing w:after="0" w:line="104" w:lineRule="exact"/>
        <w:rPr>
          <w:sz w:val="20"/>
          <w:szCs w:val="20"/>
          <w:color w:val="auto"/>
        </w:rPr>
      </w:pPr>
    </w:p>
    <w:p>
      <w:pPr>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As of the date of this prospectus,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JOBS Act</w:t>
      </w:r>
    </w:p>
    <w:p>
      <w:pPr>
        <w:spacing w:after="0" w:line="104" w:lineRule="exact"/>
        <w:rPr>
          <w:sz w:val="20"/>
          <w:szCs w:val="20"/>
          <w:color w:val="auto"/>
        </w:rPr>
      </w:pPr>
    </w:p>
    <w:p>
      <w:pPr>
        <w:ind w:left="460" w:right="60" w:firstLine="379"/>
        <w:spacing w:after="0" w:line="254" w:lineRule="auto"/>
        <w:rPr>
          <w:sz w:val="20"/>
          <w:szCs w:val="20"/>
          <w:color w:val="auto"/>
        </w:rPr>
      </w:pPr>
      <w:r>
        <w:rPr>
          <w:rFonts w:ascii="Times New Roman" w:cs="Times New Roman" w:eastAsia="Times New Roman" w:hAnsi="Times New Roman"/>
          <w:sz w:val="15"/>
          <w:szCs w:val="15"/>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60"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including but not limited to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are no longer an “emerging growth company,” whichever is earlier.</w:t>
      </w:r>
    </w:p>
    <w:p>
      <w:pPr>
        <w:spacing w:after="0" w:line="3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133</w:t>
      </w:r>
    </w:p>
    <w:p>
      <w:pPr>
        <w:sectPr>
          <w:pgSz w:w="11900" w:h="16840" w:orient="portrait"/>
          <w:cols w:equalWidth="0" w:num="1">
            <w:col w:w="10160"/>
          </w:cols>
          <w:pgMar w:left="660" w:top="874" w:right="1080" w:bottom="1440" w:gutter="0" w:footer="0" w:header="0"/>
        </w:sectPr>
      </w:pPr>
    </w:p>
    <w:bookmarkStart w:id="146" w:name="page147"/>
    <w:bookmarkEnd w:id="1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PROPOSED BUSINESS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4" w:lineRule="exact"/>
        <w:rPr>
          <w:sz w:val="20"/>
          <w:szCs w:val="20"/>
          <w:color w:val="auto"/>
        </w:rPr>
      </w:pPr>
    </w:p>
    <w:p>
      <w:pPr>
        <w:ind w:left="460" w:right="60" w:firstLine="379"/>
        <w:spacing w:after="0" w:line="251" w:lineRule="auto"/>
        <w:rPr>
          <w:sz w:val="20"/>
          <w:szCs w:val="20"/>
          <w:color w:val="auto"/>
        </w:rPr>
      </w:pPr>
      <w:r>
        <w:rPr>
          <w:rFonts w:ascii="Times New Roman" w:cs="Times New Roman" w:eastAsia="Times New Roman" w:hAnsi="Times New Roman"/>
          <w:sz w:val="15"/>
          <w:szCs w:val="15"/>
          <w:color w:val="auto"/>
        </w:rPr>
        <w:t>We are a newly organized Private-to-Public Equity (PPE) company, also known as a blank check company or special purpose acquisition company,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w:t>
      </w:r>
    </w:p>
    <w:p>
      <w:pPr>
        <w:spacing w:after="0" w:line="340" w:lineRule="exact"/>
        <w:rPr>
          <w:sz w:val="20"/>
          <w:szCs w:val="20"/>
          <w:color w:val="auto"/>
        </w:rPr>
      </w:pPr>
    </w:p>
    <w:p>
      <w:pPr>
        <w:ind w:left="460" w:right="200" w:firstLine="379"/>
        <w:spacing w:after="0" w:line="265" w:lineRule="auto"/>
        <w:rPr>
          <w:sz w:val="20"/>
          <w:szCs w:val="20"/>
          <w:color w:val="auto"/>
        </w:rPr>
      </w:pPr>
      <w:r>
        <w:rPr>
          <w:rFonts w:ascii="Times New Roman" w:cs="Times New Roman" w:eastAsia="Times New Roman" w:hAnsi="Times New Roman"/>
          <w:sz w:val="15"/>
          <w:szCs w:val="15"/>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A&amp;D services, cybersecurity and secured communications and quantum-based command and control systems, and AI and ML industries.</w:t>
      </w:r>
    </w:p>
    <w:p>
      <w:pPr>
        <w:spacing w:after="0" w:line="151"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Our management team believes there is a backlog of companies that are interested in becoming public companies. We believe that because this backlog is substantial, there may be a number of attractive companies that will not be able to list via a traditional IPO in the near-term, and therefore may opt to pursue a listing via a SPAC instead. Moreover, we believe current market conditions are causing middle-market financial sponsors and venture capital firms to consider alternative methods for providing liquidity to their limited partners.</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Business Strategy</w:t>
      </w:r>
    </w:p>
    <w:p>
      <w:pPr>
        <w:spacing w:after="0" w:line="104"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w:t>
      </w:r>
    </w:p>
    <w:p>
      <w:pPr>
        <w:spacing w:after="0" w:line="167"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w:t>
      </w:r>
    </w:p>
    <w:p>
      <w:pPr>
        <w:spacing w:after="0" w:line="1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134</w:t>
      </w:r>
    </w:p>
    <w:p>
      <w:pPr>
        <w:sectPr>
          <w:pgSz w:w="11900" w:h="16840" w:orient="portrait"/>
          <w:cols w:equalWidth="0" w:num="1">
            <w:col w:w="10100"/>
          </w:cols>
          <w:pgMar w:left="660" w:top="874" w:right="1140" w:bottom="1440" w:gutter="0" w:footer="0" w:header="0"/>
        </w:sectPr>
      </w:pPr>
    </w:p>
    <w:bookmarkStart w:id="147" w:name="page148"/>
    <w:bookmarkEnd w:id="1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59" w:lineRule="auto"/>
        <w:rPr>
          <w:sz w:val="20"/>
          <w:szCs w:val="20"/>
          <w:color w:val="auto"/>
        </w:rPr>
      </w:pPr>
      <w:r>
        <w:rPr>
          <w:rFonts w:ascii="Times New Roman" w:cs="Times New Roman" w:eastAsia="Times New Roman" w:hAnsi="Times New Roman"/>
          <w:sz w:val="15"/>
          <w:szCs w:val="15"/>
          <w:color w:val="auto"/>
        </w:rPr>
        <w:t>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spacing w:after="0" w:line="1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We expect to distinguish ourselves with our ability to:</w:t>
      </w:r>
    </w:p>
    <w:p>
      <w:pPr>
        <w:spacing w:after="0" w:line="120" w:lineRule="exact"/>
        <w:rPr>
          <w:sz w:val="20"/>
          <w:szCs w:val="20"/>
          <w:color w:val="auto"/>
        </w:rPr>
      </w:pPr>
    </w:p>
    <w:p>
      <w:pPr>
        <w:jc w:val="both"/>
        <w:ind w:left="1300" w:right="220" w:hanging="371"/>
        <w:spacing w:after="0" w:line="257" w:lineRule="auto"/>
        <w:tabs>
          <w:tab w:leader="none" w:pos="13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Tap into our vast international network of relationships to develop a distinctive pipeline of acquisition opportunities.</w:t>
      </w:r>
      <w:r>
        <w:rPr>
          <w:rFonts w:ascii="Times New Roman" w:cs="Times New Roman" w:eastAsia="Times New Roman" w:hAnsi="Times New Roman"/>
          <w:sz w:val="15"/>
          <w:szCs w:val="15"/>
          <w:color w:val="auto"/>
        </w:rPr>
        <w:t>We believe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combination of our Chief Executive Officer’s industry experience and our directors’ and management’s ability and network of relationships with CEOs, founders, family offices, private equity, hedge-funds, venture capitalists, sponsors and investment banks will help us to identify and evaluate suitable target businesses that could benefit from our operational and strategic expertise and from management’s experience in structuring complex transactions and accessing capital for growth.</w:t>
      </w:r>
    </w:p>
    <w:p>
      <w:pPr>
        <w:spacing w:after="0" w:line="83" w:lineRule="exact"/>
        <w:rPr>
          <w:rFonts w:ascii="Times New Roman" w:cs="Times New Roman" w:eastAsia="Times New Roman" w:hAnsi="Times New Roman"/>
          <w:sz w:val="15"/>
          <w:szCs w:val="15"/>
          <w:color w:val="auto"/>
        </w:rPr>
      </w:pPr>
    </w:p>
    <w:p>
      <w:pPr>
        <w:ind w:left="1300" w:hanging="371"/>
        <w:spacing w:after="0" w:line="264" w:lineRule="auto"/>
        <w:tabs>
          <w:tab w:leader="none" w:pos="13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Revitalize the acquisition target and generate value for shareholders after the business combination. </w:t>
      </w:r>
      <w:r>
        <w:rPr>
          <w:rFonts w:ascii="Times New Roman" w:cs="Times New Roman" w:eastAsia="Times New Roman" w:hAnsi="Times New Roman"/>
          <w:sz w:val="15"/>
          <w:szCs w:val="15"/>
          <w:color w:val="auto"/>
        </w:rPr>
        <w:t>Given our management’s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w:t>
      </w:r>
    </w:p>
    <w:p>
      <w:pPr>
        <w:spacing w:after="0" w:line="259" w:lineRule="exact"/>
        <w:rPr>
          <w:rFonts w:ascii="Times New Roman" w:cs="Times New Roman" w:eastAsia="Times New Roman" w:hAnsi="Times New Roman"/>
          <w:sz w:val="15"/>
          <w:szCs w:val="15"/>
          <w:color w:val="auto"/>
        </w:rPr>
      </w:pPr>
    </w:p>
    <w:p>
      <w:pPr>
        <w:ind w:left="1300" w:right="400" w:hanging="371"/>
        <w:spacing w:after="0" w:line="261" w:lineRule="auto"/>
        <w:tabs>
          <w:tab w:leader="none" w:pos="13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Show a proven record of successful completions of business combinations</w:t>
      </w:r>
      <w:r>
        <w:rPr>
          <w:rFonts w:ascii="Times New Roman" w:cs="Times New Roman" w:eastAsia="Times New Roman" w:hAnsi="Times New Roman"/>
          <w:sz w:val="15"/>
          <w:szCs w:val="15"/>
          <w:color w:val="auto"/>
        </w:rPr>
        <w:t>. We believe that our management team’s track record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w:t>
      </w:r>
    </w:p>
    <w:p>
      <w:pPr>
        <w:spacing w:after="0" w:line="82" w:lineRule="exact"/>
        <w:rPr>
          <w:rFonts w:ascii="Times New Roman" w:cs="Times New Roman" w:eastAsia="Times New Roman" w:hAnsi="Times New Roman"/>
          <w:sz w:val="15"/>
          <w:szCs w:val="15"/>
          <w:color w:val="auto"/>
        </w:rPr>
      </w:pPr>
    </w:p>
    <w:p>
      <w:pPr>
        <w:ind w:left="1700" w:hanging="286"/>
        <w:spacing w:after="0" w:line="251" w:lineRule="auto"/>
        <w:tabs>
          <w:tab w:leader="none" w:pos="1700"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GIG1 —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spacing w:after="0" w:line="93" w:lineRule="exact"/>
        <w:rPr>
          <w:rFonts w:ascii="Times New Roman" w:cs="Times New Roman" w:eastAsia="Times New Roman" w:hAnsi="Times New Roman"/>
          <w:sz w:val="15"/>
          <w:szCs w:val="15"/>
          <w:color w:val="auto"/>
        </w:rPr>
      </w:pPr>
    </w:p>
    <w:p>
      <w:pPr>
        <w:ind w:left="1700" w:right="60" w:hanging="286"/>
        <w:spacing w:after="0" w:line="252" w:lineRule="auto"/>
        <w:tabs>
          <w:tab w:leader="none" w:pos="1700"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GIG2 —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w:t>
      </w:r>
    </w:p>
    <w:p>
      <w:pPr>
        <w:spacing w:after="0" w:line="3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135</w:t>
      </w:r>
    </w:p>
    <w:p>
      <w:pPr>
        <w:sectPr>
          <w:pgSz w:w="11900" w:h="16840" w:orient="portrait"/>
          <w:cols w:equalWidth="0" w:num="1">
            <w:col w:w="10140"/>
          </w:cols>
          <w:pgMar w:left="660" w:top="874" w:right="1100" w:bottom="1440" w:gutter="0" w:footer="0" w:header="0"/>
        </w:sectPr>
      </w:pPr>
    </w:p>
    <w:bookmarkStart w:id="148" w:name="page149"/>
    <w:bookmarkEnd w:id="1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720" w:right="100"/>
        <w:spacing w:after="0" w:line="256" w:lineRule="auto"/>
        <w:rPr>
          <w:sz w:val="20"/>
          <w:szCs w:val="20"/>
          <w:color w:val="auto"/>
        </w:rPr>
      </w:pPr>
      <w:r>
        <w:rPr>
          <w:rFonts w:ascii="Times New Roman" w:cs="Times New Roman" w:eastAsia="Times New Roman" w:hAnsi="Times New Roman"/>
          <w:sz w:val="15"/>
          <w:szCs w:val="15"/>
          <w:color w:val="auto"/>
        </w:rPr>
        <w:t xml:space="preserve">UpHealth, Inc. closed down certain of its subsidiaries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w:t>
      </w:r>
      <w:r>
        <w:rPr>
          <w:rFonts w:ascii="Times New Roman" w:cs="Times New Roman" w:eastAsia="Times New Roman" w:hAnsi="Times New Roman"/>
          <w:sz w:val="15"/>
          <w:szCs w:val="15"/>
          <w:u w:val="single" w:color="auto"/>
          <w:color w:val="auto"/>
        </w:rPr>
        <w:t>UpHealth</w:t>
      </w:r>
      <w:r>
        <w:rPr>
          <w:rFonts w:ascii="Times New Roman" w:cs="Times New Roman" w:eastAsia="Times New Roman" w:hAnsi="Times New Roman"/>
          <w:sz w:val="15"/>
          <w:szCs w:val="15"/>
          <w:color w:val="auto"/>
        </w:rPr>
        <w:t xml:space="preserve"> Holdings’ wholly-owned subsidiaries, Thrasys, Inc. and Behavioral Health Services, LLC, and each of their subsidiaries filed voluntary petitions for relief under Chapter 11 of the U.S. Bankruptcy Code.</w:t>
      </w:r>
    </w:p>
    <w:p>
      <w:pPr>
        <w:spacing w:after="0" w:line="87" w:lineRule="exact"/>
        <w:rPr>
          <w:sz w:val="20"/>
          <w:szCs w:val="20"/>
          <w:color w:val="auto"/>
        </w:rPr>
      </w:pPr>
    </w:p>
    <w:p>
      <w:pPr>
        <w:ind w:left="1700" w:right="40" w:hanging="286"/>
        <w:spacing w:after="0" w:line="252" w:lineRule="auto"/>
        <w:tabs>
          <w:tab w:leader="none" w:pos="17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GIG3 —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w:t>
      </w:r>
    </w:p>
    <w:p>
      <w:pPr>
        <w:spacing w:after="0" w:line="90" w:lineRule="exact"/>
        <w:rPr>
          <w:rFonts w:ascii="Times New Roman" w:cs="Times New Roman" w:eastAsia="Times New Roman" w:hAnsi="Times New Roman"/>
          <w:sz w:val="15"/>
          <w:szCs w:val="15"/>
          <w:color w:val="auto"/>
        </w:rPr>
      </w:pPr>
    </w:p>
    <w:p>
      <w:pPr>
        <w:ind w:left="1700" w:right="40" w:hanging="286"/>
        <w:spacing w:after="0" w:line="254" w:lineRule="auto"/>
        <w:tabs>
          <w:tab w:leader="none" w:pos="17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GIG4 —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w:t>
      </w:r>
    </w:p>
    <w:p>
      <w:pPr>
        <w:spacing w:after="0" w:line="89" w:lineRule="exact"/>
        <w:rPr>
          <w:rFonts w:ascii="Times New Roman" w:cs="Times New Roman" w:eastAsia="Times New Roman" w:hAnsi="Times New Roman"/>
          <w:sz w:val="15"/>
          <w:szCs w:val="15"/>
          <w:color w:val="auto"/>
        </w:rPr>
      </w:pPr>
    </w:p>
    <w:p>
      <w:pPr>
        <w:ind w:left="1700" w:hanging="286"/>
        <w:spacing w:after="0" w:line="253" w:lineRule="auto"/>
        <w:tabs>
          <w:tab w:leader="none" w:pos="17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GIG5 —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w:t>
      </w:r>
    </w:p>
    <w:p>
      <w:pPr>
        <w:spacing w:after="0" w:line="271" w:lineRule="exact"/>
        <w:rPr>
          <w:rFonts w:ascii="Times New Roman" w:cs="Times New Roman" w:eastAsia="Times New Roman" w:hAnsi="Times New Roman"/>
          <w:sz w:val="15"/>
          <w:szCs w:val="15"/>
          <w:color w:val="auto"/>
        </w:rPr>
      </w:pPr>
    </w:p>
    <w:p>
      <w:pPr>
        <w:ind w:left="1700" w:right="40" w:hanging="286"/>
        <w:spacing w:after="0" w:line="252" w:lineRule="auto"/>
        <w:tabs>
          <w:tab w:leader="none" w:pos="17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GIW —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w:t>
      </w:r>
    </w:p>
    <w:p>
      <w:pPr>
        <w:spacing w:after="0" w:line="2" w:lineRule="exact"/>
        <w:rPr>
          <w:rFonts w:ascii="Times New Roman" w:cs="Times New Roman" w:eastAsia="Times New Roman" w:hAnsi="Times New Roman"/>
          <w:sz w:val="15"/>
          <w:szCs w:val="15"/>
          <w:color w:val="auto"/>
        </w:rPr>
      </w:pPr>
    </w:p>
    <w:p>
      <w:pPr>
        <w:ind w:left="1700" w:right="20"/>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spacing w:after="0" w:line="87" w:lineRule="exact"/>
        <w:rPr>
          <w:rFonts w:ascii="Times New Roman" w:cs="Times New Roman" w:eastAsia="Times New Roman" w:hAnsi="Times New Roman"/>
          <w:sz w:val="15"/>
          <w:szCs w:val="15"/>
          <w:color w:val="auto"/>
        </w:rPr>
      </w:pPr>
    </w:p>
    <w:p>
      <w:pPr>
        <w:ind w:left="1700" w:right="40" w:hanging="286"/>
        <w:spacing w:after="0" w:line="259" w:lineRule="auto"/>
        <w:tabs>
          <w:tab w:leader="none" w:pos="17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GIG7 —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136</w:t>
      </w:r>
    </w:p>
    <w:p>
      <w:pPr>
        <w:sectPr>
          <w:pgSz w:w="11900" w:h="16840" w:orient="portrait"/>
          <w:cols w:equalWidth="0" w:num="1">
            <w:col w:w="10120"/>
          </w:cols>
          <w:pgMar w:left="660" w:top="874" w:right="1120" w:bottom="1440" w:gutter="0" w:footer="0" w:header="0"/>
        </w:sectPr>
      </w:pPr>
    </w:p>
    <w:bookmarkStart w:id="149" w:name="page150"/>
    <w:bookmarkEnd w:id="1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720"/>
        <w:spacing w:after="0" w:line="284" w:lineRule="auto"/>
        <w:rPr>
          <w:sz w:val="20"/>
          <w:szCs w:val="20"/>
          <w:color w:val="auto"/>
        </w:rPr>
      </w:pPr>
      <w:r>
        <w:rPr>
          <w:rFonts w:ascii="Times New Roman" w:cs="Times New Roman" w:eastAsia="Times New Roman" w:hAnsi="Times New Roman"/>
          <w:sz w:val="15"/>
          <w:szCs w:val="15"/>
          <w:color w:val="auto"/>
        </w:rPr>
        <w:t>purchase one Class A ordinary share of GIG7, generating $200 million. GIG7 listed on Nasdaq under the symbol “GIG” and is currently looking for a suitable acquisition target.</w:t>
      </w:r>
    </w:p>
    <w:p>
      <w:pPr>
        <w:spacing w:after="0" w:line="137" w:lineRule="exact"/>
        <w:rPr>
          <w:sz w:val="20"/>
          <w:szCs w:val="20"/>
          <w:color w:val="auto"/>
        </w:rPr>
      </w:pPr>
    </w:p>
    <w:p>
      <w:pPr>
        <w:ind w:left="460" w:right="40" w:firstLine="379"/>
        <w:spacing w:after="0" w:line="251" w:lineRule="auto"/>
        <w:rPr>
          <w:sz w:val="20"/>
          <w:szCs w:val="20"/>
          <w:color w:val="auto"/>
        </w:rPr>
      </w:pPr>
      <w:r>
        <w:rPr>
          <w:rFonts w:ascii="Times New Roman" w:cs="Times New Roman" w:eastAsia="Times New Roman" w:hAnsi="Times New Roman"/>
          <w:sz w:val="15"/>
          <w:szCs w:val="15"/>
          <w:color w:val="auto"/>
        </w:rPr>
        <w:t>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 interested U.S. and foreign acquisition targets from extensive screening with previous GigCapital PPE platforms. Our management team’s expertise in data-driven identification, evaluation and engagement with potential targets 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Management Team</w:t>
      </w:r>
    </w:p>
    <w:p>
      <w:pPr>
        <w:spacing w:after="0" w:line="104" w:lineRule="exact"/>
        <w:rPr>
          <w:sz w:val="20"/>
          <w:szCs w:val="20"/>
          <w:color w:val="auto"/>
        </w:rPr>
      </w:pPr>
    </w:p>
    <w:p>
      <w:pPr>
        <w:ind w:left="460" w:right="60" w:firstLine="379"/>
        <w:spacing w:after="0" w:line="257" w:lineRule="auto"/>
        <w:rPr>
          <w:sz w:val="20"/>
          <w:szCs w:val="20"/>
          <w:color w:val="auto"/>
        </w:rPr>
      </w:pPr>
      <w:r>
        <w:rPr>
          <w:rFonts w:ascii="Times New Roman" w:cs="Times New Roman" w:eastAsia="Times New Roman" w:hAnsi="Times New Roman"/>
          <w:sz w:val="15"/>
          <w:szCs w:val="15"/>
          <w:color w:val="auto"/>
        </w:rPr>
        <w:t>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 quantum- based command and control systems, and AI and ML. Our team is well positioned to originate attractive investment opportunities and has a history of executing various business transactions in multiple geographies and under varying economic and financial market conditions.</w:t>
      </w:r>
    </w:p>
    <w:p>
      <w:pPr>
        <w:spacing w:after="0" w:line="339" w:lineRule="exact"/>
        <w:rPr>
          <w:sz w:val="20"/>
          <w:szCs w:val="20"/>
          <w:color w:val="auto"/>
        </w:rPr>
      </w:pPr>
    </w:p>
    <w:p>
      <w:pPr>
        <w:ind w:left="460" w:right="160" w:firstLine="379"/>
        <w:spacing w:after="0" w:line="256" w:lineRule="auto"/>
        <w:rPr>
          <w:sz w:val="20"/>
          <w:szCs w:val="20"/>
          <w:color w:val="auto"/>
        </w:rPr>
      </w:pPr>
      <w:r>
        <w:rPr>
          <w:rFonts w:ascii="Times New Roman" w:cs="Times New Roman" w:eastAsia="Times New Roman" w:hAnsi="Times New Roman"/>
          <w:sz w:val="15"/>
          <w:szCs w:val="15"/>
          <w:color w:val="auto"/>
        </w:rPr>
        <w:t>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w:t>
      </w:r>
    </w:p>
    <w:p>
      <w:pPr>
        <w:spacing w:after="0" w:line="158" w:lineRule="exact"/>
        <w:rPr>
          <w:sz w:val="20"/>
          <w:szCs w:val="20"/>
          <w:color w:val="auto"/>
        </w:rPr>
      </w:pPr>
    </w:p>
    <w:p>
      <w:pPr>
        <w:ind w:left="460" w:right="180" w:firstLine="379"/>
        <w:spacing w:after="0" w:line="250" w:lineRule="auto"/>
        <w:rPr>
          <w:sz w:val="20"/>
          <w:szCs w:val="20"/>
          <w:color w:val="auto"/>
        </w:rPr>
      </w:pPr>
      <w:r>
        <w:rPr>
          <w:rFonts w:ascii="Times New Roman" w:cs="Times New Roman" w:eastAsia="Times New Roman" w:hAnsi="Times New Roman"/>
          <w:sz w:val="15"/>
          <w:szCs w:val="15"/>
          <w:color w:val="auto"/>
        </w:rPr>
        <w:t>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w:t>
      </w:r>
      <w:r>
        <w:rPr>
          <w:rFonts w:ascii="Times New Roman" w:cs="Times New Roman" w:eastAsia="Times New Roman" w:hAnsi="Times New Roman"/>
          <w:sz w:val="15"/>
          <w:szCs w:val="15"/>
          <w:b w:val="1"/>
          <w:bCs w:val="1"/>
          <w:color w:val="auto"/>
        </w:rPr>
        <w:t>. For more information, please refer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“Risk Factors — Risks Related to</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Management Team.”</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Executive Officers and Directors</w:t>
      </w:r>
    </w:p>
    <w:p>
      <w:pPr>
        <w:spacing w:after="0" w:line="100" w:lineRule="exact"/>
        <w:rPr>
          <w:sz w:val="20"/>
          <w:szCs w:val="20"/>
          <w:color w:val="auto"/>
        </w:rPr>
      </w:pPr>
    </w:p>
    <w:p>
      <w:pPr>
        <w:ind w:left="460" w:right="120" w:firstLine="37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Dr. Avi S. Katz </w:t>
      </w:r>
      <w:r>
        <w:rPr>
          <w:rFonts w:ascii="Times New Roman" w:cs="Times New Roman" w:eastAsia="Times New Roman" w:hAnsi="Times New Roman"/>
          <w:sz w:val="15"/>
          <w:szCs w:val="15"/>
          <w:color w:val="auto"/>
        </w:rPr>
        <w:t>serves as our Chief Executive Officer and Chairman of the Board. Dr. Katz has served as the Chairman of the Board of QT Imaging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w:t>
      </w:r>
    </w:p>
    <w:p>
      <w:pPr>
        <w:spacing w:after="0" w:line="1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137</w:t>
      </w:r>
    </w:p>
    <w:p>
      <w:pPr>
        <w:sectPr>
          <w:pgSz w:w="11900" w:h="16840" w:orient="portrait"/>
          <w:cols w:equalWidth="0" w:num="1">
            <w:col w:w="10120"/>
          </w:cols>
          <w:pgMar w:left="660" w:top="874" w:right="1120" w:bottom="1440" w:gutter="0" w:footer="0" w:header="0"/>
        </w:sectPr>
      </w:pPr>
    </w:p>
    <w:bookmarkStart w:id="150" w:name="page151"/>
    <w:bookmarkEnd w:id="1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48" w:lineRule="auto"/>
        <w:rPr>
          <w:sz w:val="20"/>
          <w:szCs w:val="20"/>
          <w:color w:val="auto"/>
        </w:rPr>
      </w:pPr>
      <w:r>
        <w:rPr>
          <w:rFonts w:ascii="Times New Roman" w:cs="Times New Roman" w:eastAsia="Times New Roman" w:hAnsi="Times New Roman"/>
          <w:sz w:val="15"/>
          <w:szCs w:val="15"/>
          <w:color w:val="auto"/>
        </w:rPr>
        <w:t>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 purpose-acquisition-company (SPAC). Dr. Katzco-founded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 -tenth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 -Public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w:t>
      </w:r>
    </w:p>
    <w:p>
      <w:pPr>
        <w:spacing w:after="0" w:line="31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138</w:t>
      </w:r>
    </w:p>
    <w:p>
      <w:pPr>
        <w:sectPr>
          <w:pgSz w:w="11900" w:h="16840" w:orient="portrait"/>
          <w:cols w:equalWidth="0" w:num="1">
            <w:col w:w="10100"/>
          </w:cols>
          <w:pgMar w:left="660" w:top="874" w:right="1140" w:bottom="1440" w:gutter="0" w:footer="0" w:header="0"/>
        </w:sectPr>
      </w:pPr>
    </w:p>
    <w:bookmarkStart w:id="151" w:name="page152"/>
    <w:bookmarkEnd w:id="1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2" w:lineRule="auto"/>
        <w:rPr>
          <w:sz w:val="20"/>
          <w:szCs w:val="20"/>
          <w:color w:val="auto"/>
        </w:rPr>
      </w:pPr>
      <w:r>
        <w:rPr>
          <w:rFonts w:ascii="Times New Roman" w:cs="Times New Roman" w:eastAsia="Times New Roman" w:hAnsi="Times New Roman"/>
          <w:sz w:val="15"/>
          <w:szCs w:val="15"/>
          <w:color w:val="auto"/>
        </w:rPr>
        <w:t>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w:t>
      </w:r>
    </w:p>
    <w:p>
      <w:pPr>
        <w:spacing w:after="0" w:line="2" w:lineRule="exact"/>
        <w:rPr>
          <w:sz w:val="20"/>
          <w:szCs w:val="20"/>
          <w:color w:val="auto"/>
        </w:rPr>
      </w:pPr>
    </w:p>
    <w:p>
      <w:pPr>
        <w:ind w:left="460" w:hanging="5"/>
        <w:spacing w:after="0" w:line="247" w:lineRule="auto"/>
        <w:tabs>
          <w:tab w:leader="none" w:pos="678"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w:t>
      </w:r>
    </w:p>
    <w:p>
      <w:pPr>
        <w:spacing w:after="0" w:line="2" w:lineRule="exact"/>
        <w:rPr>
          <w:rFonts w:ascii="Times New Roman" w:cs="Times New Roman" w:eastAsia="Times New Roman" w:hAnsi="Times New Roman"/>
          <w:sz w:val="15"/>
          <w:szCs w:val="15"/>
          <w:color w:val="auto"/>
        </w:rPr>
      </w:pPr>
    </w:p>
    <w:p>
      <w:pPr>
        <w:ind w:left="460" w:right="40"/>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59" w:lineRule="exact"/>
        <w:rPr>
          <w:sz w:val="20"/>
          <w:szCs w:val="20"/>
          <w:color w:val="auto"/>
        </w:rPr>
      </w:pPr>
    </w:p>
    <w:p>
      <w:pPr>
        <w:ind w:left="460" w:right="60" w:firstLine="37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Dr. Raluca Dinu </w:t>
      </w:r>
      <w:r>
        <w:rPr>
          <w:rFonts w:ascii="Times New Roman" w:cs="Times New Roman" w:eastAsia="Times New Roman" w:hAnsi="Times New Roman"/>
          <w:sz w:val="15"/>
          <w:szCs w:val="15"/>
          <w:color w:val="auto"/>
        </w:rPr>
        <w:t>is our director. Dr. Dinu is the Chief Executive Officer, President, Secretary, serving in those roles since March 2024 and as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 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w:t>
      </w:r>
    </w:p>
    <w:p>
      <w:pPr>
        <w:spacing w:after="0" w:line="1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139</w:t>
      </w:r>
    </w:p>
    <w:p>
      <w:pPr>
        <w:sectPr>
          <w:pgSz w:w="11900" w:h="16840" w:orient="portrait"/>
          <w:cols w:equalWidth="0" w:num="1">
            <w:col w:w="10140"/>
          </w:cols>
          <w:pgMar w:left="660" w:top="874" w:right="1100" w:bottom="1440" w:gutter="0" w:footer="0" w:header="0"/>
        </w:sectPr>
      </w:pPr>
    </w:p>
    <w:bookmarkStart w:id="152" w:name="page153"/>
    <w:bookmarkEnd w:id="1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49" w:lineRule="auto"/>
        <w:rPr>
          <w:sz w:val="20"/>
          <w:szCs w:val="20"/>
          <w:color w:val="auto"/>
        </w:rPr>
      </w:pPr>
      <w:r>
        <w:rPr>
          <w:rFonts w:ascii="Times New Roman" w:cs="Times New Roman" w:eastAsia="Times New Roman" w:hAnsi="Times New Roman"/>
          <w:sz w:val="15"/>
          <w:szCs w:val="15"/>
          <w:color w:val="auto"/>
        </w:rPr>
        <w:t>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 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62" w:lineRule="exact"/>
        <w:rPr>
          <w:sz w:val="20"/>
          <w:szCs w:val="20"/>
          <w:color w:val="auto"/>
        </w:rPr>
      </w:pPr>
    </w:p>
    <w:p>
      <w:pPr>
        <w:ind w:left="460" w:right="80" w:firstLine="37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Christine M. Marshall </w:t>
      </w:r>
      <w:r>
        <w:rPr>
          <w:rFonts w:ascii="Times New Roman" w:cs="Times New Roman" w:eastAsia="Times New Roman" w:hAnsi="Times New Roman"/>
          <w:sz w:val="15"/>
          <w:szCs w:val="15"/>
          <w:color w:val="auto"/>
        </w:rPr>
        <w:t>joined our company as Chief Financial Officer on June 30, 2025. Ms. Marshall is an accomplished finance leader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w:t>
      </w:r>
    </w:p>
    <w:p>
      <w:pPr>
        <w:spacing w:after="0" w:line="3" w:lineRule="exact"/>
        <w:rPr>
          <w:sz w:val="20"/>
          <w:szCs w:val="20"/>
          <w:color w:val="auto"/>
        </w:rPr>
      </w:pPr>
    </w:p>
    <w:p>
      <w:pPr>
        <w:ind w:left="460"/>
        <w:spacing w:after="0" w:line="249" w:lineRule="auto"/>
        <w:rPr>
          <w:sz w:val="20"/>
          <w:szCs w:val="20"/>
          <w:color w:val="auto"/>
        </w:rPr>
      </w:pPr>
      <w:r>
        <w:rPr>
          <w:rFonts w:ascii="Times New Roman" w:cs="Times New Roman" w:eastAsia="Times New Roman" w:hAnsi="Times New Roman"/>
          <w:sz w:val="15"/>
          <w:szCs w:val="15"/>
          <w:color w:val="auto"/>
        </w:rPr>
        <w:t>Ms. Marshall was the Senior Director of Accounting, as well as for a portion that time, the Assistant Controller at Vocera Communications, Inc., a company supplying a wireless network- 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Nominees for our Board of Directors</w:t>
      </w:r>
    </w:p>
    <w:p>
      <w:pPr>
        <w:spacing w:after="0" w:line="100" w:lineRule="exact"/>
        <w:rPr>
          <w:sz w:val="20"/>
          <w:szCs w:val="20"/>
          <w:color w:val="auto"/>
        </w:rPr>
      </w:pPr>
    </w:p>
    <w:p>
      <w:pPr>
        <w:ind w:left="460" w:right="140" w:firstLine="37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Admiral (Ret.) David Ben-Bashat </w:t>
      </w:r>
      <w:r>
        <w:rPr>
          <w:rFonts w:ascii="Times New Roman" w:cs="Times New Roman" w:eastAsia="Times New Roman" w:hAnsi="Times New Roman"/>
          <w:sz w:val="15"/>
          <w:szCs w:val="15"/>
          <w:color w:val="auto"/>
        </w:rPr>
        <w:t>will serve as our independent director upon the completion of this offering. V. Admiral (Ret.)Ben-Bashat was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w:t>
      </w:r>
    </w:p>
    <w:p>
      <w:pPr>
        <w:spacing w:after="0" w:line="12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140</w:t>
      </w:r>
    </w:p>
    <w:p>
      <w:pPr>
        <w:sectPr>
          <w:pgSz w:w="11900" w:h="16840" w:orient="portrait"/>
          <w:cols w:equalWidth="0" w:num="1">
            <w:col w:w="10140"/>
          </w:cols>
          <w:pgMar w:left="660" w:top="874" w:right="1100" w:bottom="1440" w:gutter="0" w:footer="0" w:header="0"/>
        </w:sectPr>
      </w:pPr>
    </w:p>
    <w:bookmarkStart w:id="153" w:name="page154"/>
    <w:bookmarkEnd w:id="1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0" w:lineRule="auto"/>
        <w:rPr>
          <w:sz w:val="20"/>
          <w:szCs w:val="20"/>
          <w:color w:val="auto"/>
        </w:rPr>
      </w:pPr>
      <w:r>
        <w:rPr>
          <w:rFonts w:ascii="Times New Roman" w:cs="Times New Roman" w:eastAsia="Times New Roman" w:hAnsi="Times New Roman"/>
          <w:sz w:val="15"/>
          <w:szCs w:val="15"/>
          <w:color w:val="auto"/>
        </w:rPr>
        <w:t>Israeli Ministry of Defense Mission in Singapore. As the Commander in Chief of the Israeli Navy, V. Admiral (Ret.)Ben-Bashat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337"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Rear Admiral (Ret.) Omri Dagul </w:t>
      </w:r>
      <w:r>
        <w:rPr>
          <w:rFonts w:ascii="Times New Roman" w:cs="Times New Roman" w:eastAsia="Times New Roman" w:hAnsi="Times New Roman"/>
          <w:sz w:val="15"/>
          <w:szCs w:val="15"/>
          <w:color w:val="auto"/>
        </w:rPr>
        <w:t>will serve as our independent director upon the completion of this offering. Over several decades, R. Admiral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w:t>
      </w:r>
    </w:p>
    <w:p>
      <w:pPr>
        <w:spacing w:after="0" w:line="162"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Raanan I. Horowitz </w:t>
      </w:r>
      <w:r>
        <w:rPr>
          <w:rFonts w:ascii="Times New Roman" w:cs="Times New Roman" w:eastAsia="Times New Roman" w:hAnsi="Times New Roman"/>
          <w:sz w:val="15"/>
          <w:szCs w:val="15"/>
          <w:color w:val="auto"/>
        </w:rPr>
        <w:t>will serve as our independent director upon the completion of this offering. Mr. Horowitz currently serves on the Board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Trustees of the Institute for Defense Analysis, an American non -profit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 -performance products and systems solutions for the defense, homeland security, commercial aviation, and medical instrumentation markets from 2007 until March 2024. Elbit Systems of America, LLC is a wholly owned subsidiary of Elbit Systems Ltd., a global source of innovative, technology- based systems for diverse defense and commercial applications with more than 19,500 employees in 15 countries. Prior to being appointed to lead Elbit Systems of America, LLC, Mr. Horowitz served</w:t>
      </w:r>
    </w:p>
    <w:p>
      <w:pPr>
        <w:spacing w:after="0" w:line="1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141</w:t>
      </w:r>
    </w:p>
    <w:p>
      <w:pPr>
        <w:sectPr>
          <w:pgSz w:w="11900" w:h="16840" w:orient="portrait"/>
          <w:cols w:equalWidth="0" w:num="1">
            <w:col w:w="10100"/>
          </w:cols>
          <w:pgMar w:left="660" w:top="874" w:right="1140" w:bottom="1440" w:gutter="0" w:footer="0" w:header="0"/>
        </w:sectPr>
      </w:pPr>
    </w:p>
    <w:bookmarkStart w:id="154" w:name="page155"/>
    <w:bookmarkEnd w:id="1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1" w:lineRule="auto"/>
        <w:rPr>
          <w:sz w:val="20"/>
          <w:szCs w:val="20"/>
          <w:color w:val="auto"/>
        </w:rPr>
      </w:pPr>
      <w:r>
        <w:rPr>
          <w:rFonts w:ascii="Times New Roman" w:cs="Times New Roman" w:eastAsia="Times New Roman" w:hAnsi="Times New Roman"/>
          <w:sz w:val="15"/>
          <w:szCs w:val="15"/>
          <w:color w:val="auto"/>
        </w:rPr>
        <w:t>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61"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Ambassador Adrian Zuckerman </w:t>
      </w:r>
      <w:r>
        <w:rPr>
          <w:rFonts w:ascii="Times New Roman" w:cs="Times New Roman" w:eastAsia="Times New Roman" w:hAnsi="Times New Roman"/>
          <w:sz w:val="15"/>
          <w:szCs w:val="15"/>
          <w:color w:val="auto"/>
        </w:rPr>
        <w:t>will serve as our independent director upon the completion of this offering. Ambassador Zuckerman was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60"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Luis Machuca </w:t>
      </w:r>
      <w:r>
        <w:rPr>
          <w:rFonts w:ascii="Times New Roman" w:cs="Times New Roman" w:eastAsia="Times New Roman" w:hAnsi="Times New Roman"/>
          <w:sz w:val="15"/>
          <w:szCs w:val="15"/>
          <w:color w:val="auto"/>
        </w:rPr>
        <w:t>will serve as our independent director upon the completion of this offering. He also serves as a director of UpHealth, Inc. (OTC Expert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3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142</w:t>
      </w:r>
    </w:p>
    <w:p>
      <w:pPr>
        <w:sectPr>
          <w:pgSz w:w="11900" w:h="16840" w:orient="portrait"/>
          <w:cols w:equalWidth="0" w:num="1">
            <w:col w:w="10140"/>
          </w:cols>
          <w:pgMar w:left="660" w:top="874" w:right="1100" w:bottom="1440" w:gutter="0" w:footer="0" w:header="0"/>
        </w:sectPr>
      </w:pPr>
    </w:p>
    <w:bookmarkStart w:id="155" w:name="page156"/>
    <w:bookmarkEnd w:id="1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Bryan Timm </w:t>
      </w:r>
      <w:r>
        <w:rPr>
          <w:rFonts w:ascii="Times New Roman" w:cs="Times New Roman" w:eastAsia="Times New Roman" w:hAnsi="Times New Roman"/>
          <w:sz w:val="15"/>
          <w:szCs w:val="15"/>
          <w:color w:val="auto"/>
        </w:rPr>
        <w:t>will serve as our independent director upon the completion of this offering. Mr. Timm currently serves as a Board Advisor for Pape’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Group, a family company serving the West Coast with Kenworth,John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340"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James Greene </w:t>
      </w:r>
      <w:r>
        <w:rPr>
          <w:rFonts w:ascii="Times New Roman" w:cs="Times New Roman" w:eastAsia="Times New Roman" w:hAnsi="Times New Roman"/>
          <w:sz w:val="15"/>
          <w:szCs w:val="15"/>
          <w:color w:val="auto"/>
        </w:rPr>
        <w:t>will serve as our independent director upon completion of this offering. Mr. Greene served as a director of Umpqua Bank (Nasdaq:</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Investment Criteria</w:t>
      </w:r>
    </w:p>
    <w:p>
      <w:pPr>
        <w:spacing w:after="0" w:line="104" w:lineRule="exact"/>
        <w:rPr>
          <w:sz w:val="20"/>
          <w:szCs w:val="20"/>
          <w:color w:val="auto"/>
        </w:rPr>
      </w:pPr>
    </w:p>
    <w:p>
      <w:pPr>
        <w:ind w:left="460" w:right="20" w:firstLine="379"/>
        <w:spacing w:after="0" w:line="255" w:lineRule="auto"/>
        <w:rPr>
          <w:sz w:val="20"/>
          <w:szCs w:val="20"/>
          <w:color w:val="auto"/>
        </w:rPr>
      </w:pPr>
      <w:r>
        <w:rPr>
          <w:rFonts w:ascii="Times New Roman" w:cs="Times New Roman" w:eastAsia="Times New Roman" w:hAnsi="Times New Roman"/>
          <w:sz w:val="15"/>
          <w:szCs w:val="15"/>
          <w:color w:val="auto"/>
        </w:rPr>
        <w:t>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w:t>
      </w:r>
    </w:p>
    <w:p>
      <w:pPr>
        <w:spacing w:after="0" w:line="264" w:lineRule="exact"/>
        <w:rPr>
          <w:sz w:val="20"/>
          <w:szCs w:val="20"/>
          <w:color w:val="auto"/>
        </w:rPr>
      </w:pPr>
    </w:p>
    <w:p>
      <w:pPr>
        <w:ind w:left="1300" w:right="60" w:hanging="371"/>
        <w:spacing w:after="0" w:line="257" w:lineRule="auto"/>
        <w:tabs>
          <w:tab w:leader="none" w:pos="13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Companies that embrace today’s digital transformation and intelligent automation. </w:t>
      </w:r>
      <w:r>
        <w:rPr>
          <w:rFonts w:ascii="Times New Roman" w:cs="Times New Roman" w:eastAsia="Times New Roman" w:hAnsi="Times New Roman"/>
          <w:sz w:val="15"/>
          <w:szCs w:val="15"/>
          <w:color w:val="auto"/>
        </w:rPr>
        <w:t>We will seek acquisition candidates active in the A&amp;D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spacing w:after="0" w:line="83" w:lineRule="exact"/>
        <w:rPr>
          <w:rFonts w:ascii="Times New Roman" w:cs="Times New Roman" w:eastAsia="Times New Roman" w:hAnsi="Times New Roman"/>
          <w:sz w:val="15"/>
          <w:szCs w:val="15"/>
          <w:color w:val="auto"/>
        </w:rPr>
      </w:pPr>
    </w:p>
    <w:p>
      <w:pPr>
        <w:ind w:left="1300" w:right="20" w:hanging="371"/>
        <w:spacing w:after="0" w:line="261" w:lineRule="auto"/>
        <w:tabs>
          <w:tab w:leader="none" w:pos="13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Companies that will benefit from a public listing. </w:t>
      </w:r>
      <w:r>
        <w:rPr>
          <w:rFonts w:ascii="Times New Roman" w:cs="Times New Roman" w:eastAsia="Times New Roman" w:hAnsi="Times New Roman"/>
          <w:sz w:val="15"/>
          <w:szCs w:val="15"/>
          <w:color w:val="auto"/>
        </w:rPr>
        <w:t>We will focus on partners looking to move to the next level through a public business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spacing w:after="0" w:line="78" w:lineRule="exact"/>
        <w:rPr>
          <w:rFonts w:ascii="Times New Roman" w:cs="Times New Roman" w:eastAsia="Times New Roman" w:hAnsi="Times New Roman"/>
          <w:sz w:val="15"/>
          <w:szCs w:val="15"/>
          <w:color w:val="auto"/>
        </w:rPr>
      </w:pPr>
    </w:p>
    <w:p>
      <w:pPr>
        <w:ind w:left="1300" w:right="60" w:hanging="371"/>
        <w:spacing w:after="0" w:line="289" w:lineRule="auto"/>
        <w:tabs>
          <w:tab w:leader="none" w:pos="13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Companies that will benefit from our industry expertise and relationships. </w:t>
      </w:r>
      <w:r>
        <w:rPr>
          <w:rFonts w:ascii="Times New Roman" w:cs="Times New Roman" w:eastAsia="Times New Roman" w:hAnsi="Times New Roman"/>
          <w:sz w:val="15"/>
          <w:szCs w:val="15"/>
          <w:color w:val="auto"/>
        </w:rPr>
        <w:t>We will seek companies that will be best positioned to leverage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industry expertise, international capabilities, global experience,</w:t>
      </w:r>
    </w:p>
    <w:p>
      <w:pPr>
        <w:spacing w:after="0" w:line="9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143</w:t>
      </w:r>
    </w:p>
    <w:p>
      <w:pPr>
        <w:sectPr>
          <w:pgSz w:w="11900" w:h="16840" w:orient="portrait"/>
          <w:cols w:equalWidth="0" w:num="1">
            <w:col w:w="10100"/>
          </w:cols>
          <w:pgMar w:left="660" w:top="874" w:right="1140" w:bottom="1440" w:gutter="0" w:footer="0" w:header="0"/>
        </w:sectPr>
      </w:pPr>
    </w:p>
    <w:bookmarkStart w:id="156" w:name="page157"/>
    <w:bookmarkEnd w:id="1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20"/>
        <w:spacing w:after="0" w:line="253" w:lineRule="auto"/>
        <w:rPr>
          <w:sz w:val="20"/>
          <w:szCs w:val="20"/>
          <w:color w:val="auto"/>
        </w:rPr>
      </w:pPr>
      <w:r>
        <w:rPr>
          <w:rFonts w:ascii="Times New Roman" w:cs="Times New Roman" w:eastAsia="Times New Roman" w:hAnsi="Times New Roman"/>
          <w:sz w:val="15"/>
          <w:szCs w:val="15"/>
          <w:color w:val="auto"/>
        </w:rPr>
        <w:t>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 Our management also demonstrated the speed, certainty and efficiency in executing prior deals, which is highly desirable to quality business partners.</w:t>
      </w:r>
    </w:p>
    <w:p>
      <w:pPr>
        <w:spacing w:after="0" w:line="85" w:lineRule="exact"/>
        <w:rPr>
          <w:sz w:val="20"/>
          <w:szCs w:val="20"/>
          <w:color w:val="auto"/>
        </w:rPr>
      </w:pPr>
    </w:p>
    <w:p>
      <w:pPr>
        <w:ind w:left="1300" w:right="180" w:hanging="371"/>
        <w:spacing w:after="0" w:line="268" w:lineRule="auto"/>
        <w:tabs>
          <w:tab w:leader="none" w:pos="13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Companies that are market-leading participants</w:t>
      </w:r>
      <w:r>
        <w:rPr>
          <w:rFonts w:ascii="Times New Roman" w:cs="Times New Roman" w:eastAsia="Times New Roman" w:hAnsi="Times New Roman"/>
          <w:sz w:val="15"/>
          <w:szCs w:val="15"/>
          <w:color w:val="auto"/>
        </w:rPr>
        <w:t>. We will seek an acquisition target that has an established business and market position.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While we will focus on the aerospace and defense services, cybersecurity and secured communications and quantum-based command and control systems, and AI and ML, we will not seek a target that is pre-revenue or in early stages of development with unproven technologies.</w:t>
      </w:r>
    </w:p>
    <w:p>
      <w:pPr>
        <w:spacing w:after="0" w:line="73" w:lineRule="exact"/>
        <w:rPr>
          <w:rFonts w:ascii="Times New Roman" w:cs="Times New Roman" w:eastAsia="Times New Roman" w:hAnsi="Times New Roman"/>
          <w:sz w:val="15"/>
          <w:szCs w:val="15"/>
          <w:color w:val="auto"/>
        </w:rPr>
      </w:pPr>
    </w:p>
    <w:p>
      <w:pPr>
        <w:ind w:left="1300" w:right="100" w:hanging="371"/>
        <w:spacing w:after="0" w:line="261" w:lineRule="auto"/>
        <w:tabs>
          <w:tab w:leader="none" w:pos="13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Companies with strong management. </w:t>
      </w:r>
      <w:r>
        <w:rPr>
          <w:rFonts w:ascii="Times New Roman" w:cs="Times New Roman" w:eastAsia="Times New Roman" w:hAnsi="Times New Roman"/>
          <w:sz w:val="15"/>
          <w:szCs w:val="15"/>
          <w:color w:val="auto"/>
        </w:rPr>
        <w:t>We will prioritize entities with well-established, proven and talented management teams that wish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w:t>
      </w:r>
    </w:p>
    <w:p>
      <w:pPr>
        <w:spacing w:after="0" w:line="154" w:lineRule="exact"/>
        <w:rPr>
          <w:sz w:val="20"/>
          <w:szCs w:val="20"/>
          <w:color w:val="auto"/>
        </w:rPr>
      </w:pPr>
    </w:p>
    <w:p>
      <w:pPr>
        <w:ind w:left="460" w:right="20"/>
        <w:spacing w:after="0" w:line="284" w:lineRule="auto"/>
        <w:rPr>
          <w:sz w:val="20"/>
          <w:szCs w:val="20"/>
          <w:color w:val="auto"/>
        </w:rPr>
      </w:pPr>
      <w:r>
        <w:rPr>
          <w:rFonts w:ascii="Times New Roman" w:cs="Times New Roman" w:eastAsia="Times New Roman" w:hAnsi="Times New Roman"/>
          <w:sz w:val="15"/>
          <w:szCs w:val="15"/>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Our Acquisition Process</w:t>
      </w:r>
    </w:p>
    <w:p>
      <w:pPr>
        <w:spacing w:after="0" w:line="104" w:lineRule="exact"/>
        <w:rPr>
          <w:sz w:val="20"/>
          <w:szCs w:val="20"/>
          <w:color w:val="auto"/>
        </w:rPr>
      </w:pPr>
    </w:p>
    <w:p>
      <w:pPr>
        <w:ind w:left="460" w:right="20"/>
        <w:spacing w:after="0" w:line="265" w:lineRule="auto"/>
        <w:rPr>
          <w:sz w:val="20"/>
          <w:szCs w:val="20"/>
          <w:color w:val="auto"/>
        </w:rPr>
      </w:pPr>
      <w:r>
        <w:rPr>
          <w:rFonts w:ascii="Times New Roman" w:cs="Times New Roman" w:eastAsia="Times New Roman" w:hAnsi="Times New Roman"/>
          <w:sz w:val="15"/>
          <w:szCs w:val="15"/>
          <w:color w:val="auto"/>
        </w:rPr>
        <w:t>We intend to partner with a late- stage growth and high-quality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w:t>
      </w:r>
    </w:p>
    <w:p>
      <w:pPr>
        <w:spacing w:after="0" w:line="76" w:lineRule="exact"/>
        <w:rPr>
          <w:sz w:val="20"/>
          <w:szCs w:val="20"/>
          <w:color w:val="auto"/>
        </w:rPr>
      </w:pPr>
    </w:p>
    <w:p>
      <w:pPr>
        <w:ind w:left="1300" w:hanging="371"/>
        <w:spacing w:after="0" w:line="257" w:lineRule="auto"/>
        <w:tabs>
          <w:tab w:leader="none" w:pos="13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Inception</w:t>
      </w:r>
      <w:r>
        <w:rPr>
          <w:rFonts w:ascii="Times New Roman" w:cs="Times New Roman" w:eastAsia="Times New Roman" w:hAnsi="Times New Roman"/>
          <w:sz w:val="15"/>
          <w:szCs w:val="15"/>
          <w:color w:val="auto"/>
        </w:rPr>
        <w:t>. This phase usually lasts up to approx. 2-3 months and entails incorporating a SPAC and bringing on a Private-to-Public (PPE)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w:t>
      </w:r>
    </w:p>
    <w:p>
      <w:pPr>
        <w:spacing w:after="0" w:line="83" w:lineRule="exact"/>
        <w:rPr>
          <w:rFonts w:ascii="Times New Roman" w:cs="Times New Roman" w:eastAsia="Times New Roman" w:hAnsi="Times New Roman"/>
          <w:sz w:val="15"/>
          <w:szCs w:val="15"/>
          <w:color w:val="auto"/>
        </w:rPr>
      </w:pPr>
    </w:p>
    <w:p>
      <w:pPr>
        <w:ind w:left="1300" w:right="320" w:hanging="371"/>
        <w:spacing w:after="0" w:line="257" w:lineRule="auto"/>
        <w:tabs>
          <w:tab w:leader="none" w:pos="13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Searching</w:t>
      </w:r>
      <w:r>
        <w:rPr>
          <w:rFonts w:ascii="Times New Roman" w:cs="Times New Roman" w:eastAsia="Times New Roman" w:hAnsi="Times New Roman"/>
          <w:sz w:val="15"/>
          <w:szCs w:val="15"/>
          <w:color w:val="auto"/>
        </w:rPr>
        <w:t>. The search for a financially viable acquisition target ready to become a public company may take approx. 6 to 12 months.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w:t>
      </w:r>
    </w:p>
    <w:p>
      <w:pPr>
        <w:spacing w:after="0" w:line="83" w:lineRule="exact"/>
        <w:rPr>
          <w:rFonts w:ascii="Times New Roman" w:cs="Times New Roman" w:eastAsia="Times New Roman" w:hAnsi="Times New Roman"/>
          <w:sz w:val="15"/>
          <w:szCs w:val="15"/>
          <w:color w:val="auto"/>
        </w:rPr>
      </w:pPr>
    </w:p>
    <w:p>
      <w:pPr>
        <w:ind w:left="1300" w:right="160" w:hanging="371"/>
        <w:spacing w:after="0" w:line="289" w:lineRule="auto"/>
        <w:tabs>
          <w:tab w:leader="none" w:pos="13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Engagement</w:t>
      </w:r>
      <w:r>
        <w:rPr>
          <w:rFonts w:ascii="Times New Roman" w:cs="Times New Roman" w:eastAsia="Times New Roman" w:hAnsi="Times New Roman"/>
          <w:sz w:val="15"/>
          <w:szCs w:val="15"/>
          <w:color w:val="auto"/>
        </w:rPr>
        <w:t>. The next step is negotiation and execution of a letter of intent. It may take approx. from 3 to 6 weeks, and approx. another 5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10 weeks are required to conduct due diligence review and sign a binding definitive agreement.</w:t>
      </w:r>
    </w:p>
    <w:p>
      <w:pPr>
        <w:spacing w:after="0" w:line="58" w:lineRule="exact"/>
        <w:rPr>
          <w:rFonts w:ascii="Times New Roman" w:cs="Times New Roman" w:eastAsia="Times New Roman" w:hAnsi="Times New Roman"/>
          <w:sz w:val="15"/>
          <w:szCs w:val="15"/>
          <w:color w:val="auto"/>
        </w:rPr>
      </w:pPr>
    </w:p>
    <w:p>
      <w:pPr>
        <w:ind w:left="1300" w:right="120" w:hanging="371"/>
        <w:spacing w:after="0" w:line="289" w:lineRule="auto"/>
        <w:tabs>
          <w:tab w:leader="none" w:pos="13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Closing</w:t>
      </w:r>
      <w:r>
        <w:rPr>
          <w:rFonts w:ascii="Times New Roman" w:cs="Times New Roman" w:eastAsia="Times New Roman" w:hAnsi="Times New Roman"/>
          <w:sz w:val="15"/>
          <w:szCs w:val="15"/>
          <w:color w:val="auto"/>
        </w:rPr>
        <w:t>. Following entry into the binding definitive agreement, the acquisition target must deliver audited financial statements as required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enable us to file all necessary SEC filings and obtain SEC</w:t>
      </w:r>
    </w:p>
    <w:p>
      <w:pPr>
        <w:spacing w:after="0" w:line="9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144</w:t>
      </w:r>
    </w:p>
    <w:p>
      <w:pPr>
        <w:sectPr>
          <w:pgSz w:w="11900" w:h="16840" w:orient="portrait"/>
          <w:cols w:equalWidth="0" w:num="1">
            <w:col w:w="10100"/>
          </w:cols>
          <w:pgMar w:left="660" w:top="874" w:right="1140" w:bottom="1440" w:gutter="0" w:footer="0" w:header="0"/>
        </w:sectPr>
      </w:pPr>
    </w:p>
    <w:bookmarkStart w:id="157" w:name="page158"/>
    <w:bookmarkEnd w:id="1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20"/>
        <w:spacing w:after="0" w:line="255" w:lineRule="auto"/>
        <w:rPr>
          <w:sz w:val="20"/>
          <w:szCs w:val="20"/>
          <w:color w:val="auto"/>
        </w:rPr>
      </w:pPr>
      <w:r>
        <w:rPr>
          <w:rFonts w:ascii="Times New Roman" w:cs="Times New Roman" w:eastAsia="Times New Roman" w:hAnsi="Times New Roman"/>
          <w:sz w:val="15"/>
          <w:szCs w:val="15"/>
          <w:color w:val="auto"/>
        </w:rPr>
        <w:t>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w:t>
      </w:r>
    </w:p>
    <w:p>
      <w:pPr>
        <w:spacing w:after="0" w:line="264" w:lineRule="exact"/>
        <w:rPr>
          <w:sz w:val="20"/>
          <w:szCs w:val="20"/>
          <w:color w:val="auto"/>
        </w:rPr>
      </w:pPr>
    </w:p>
    <w:p>
      <w:pPr>
        <w:ind w:left="1300" w:right="20" w:hanging="371"/>
        <w:spacing w:after="0" w:line="268" w:lineRule="auto"/>
        <w:tabs>
          <w:tab w:leader="none" w:pos="13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Growth and Exit</w:t>
      </w:r>
      <w:r>
        <w:rPr>
          <w:rFonts w:ascii="Times New Roman" w:cs="Times New Roman" w:eastAsia="Times New Roman" w:hAnsi="Times New Roman"/>
          <w:sz w:val="15"/>
          <w:szCs w:val="15"/>
          <w:color w:val="auto"/>
        </w:rPr>
        <w:t>. The final phase may last approx. from 1 to 4 years, during which we invest our time and resources in expanding and growing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business. We actively participate in meetings of the board of directors and strategic advisory board, provide continuous financing and M&amp;A advisory support for growth, geographic expansion and consolidation, and prepare the business combination for de-SPAC.</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Sponsor</w:t>
      </w:r>
    </w:p>
    <w:p>
      <w:pPr>
        <w:spacing w:after="0" w:line="104" w:lineRule="exact"/>
        <w:rPr>
          <w:sz w:val="20"/>
          <w:szCs w:val="20"/>
          <w:color w:val="auto"/>
        </w:rPr>
      </w:pPr>
    </w:p>
    <w:p>
      <w:pPr>
        <w:ind w:left="460" w:right="80" w:firstLine="379"/>
        <w:spacing w:after="0" w:line="256" w:lineRule="auto"/>
        <w:rPr>
          <w:sz w:val="20"/>
          <w:szCs w:val="20"/>
          <w:color w:val="auto"/>
        </w:rPr>
      </w:pPr>
      <w:r>
        <w:rPr>
          <w:rFonts w:ascii="Times New Roman" w:cs="Times New Roman" w:eastAsia="Times New Roman" w:hAnsi="Times New Roman"/>
          <w:sz w:val="15"/>
          <w:szCs w:val="15"/>
          <w:color w:val="auto"/>
        </w:rPr>
        <w:t>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w:t>
      </w:r>
    </w:p>
    <w:p>
      <w:pPr>
        <w:spacing w:after="0" w:line="158" w:lineRule="exact"/>
        <w:rPr>
          <w:sz w:val="20"/>
          <w:szCs w:val="20"/>
          <w:color w:val="auto"/>
        </w:rPr>
      </w:pPr>
    </w:p>
    <w:p>
      <w:pPr>
        <w:ind w:left="460" w:right="280" w:firstLine="379"/>
        <w:spacing w:after="0" w:line="284" w:lineRule="auto"/>
        <w:rPr>
          <w:sz w:val="20"/>
          <w:szCs w:val="20"/>
          <w:color w:val="auto"/>
        </w:rPr>
      </w:pPr>
      <w:r>
        <w:rPr>
          <w:rFonts w:ascii="Times New Roman" w:cs="Times New Roman" w:eastAsia="Times New Roman" w:hAnsi="Times New Roman"/>
          <w:sz w:val="15"/>
          <w:szCs w:val="15"/>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ectPr>
          <w:pgSz w:w="11900" w:h="16840" w:orient="portrait"/>
          <w:cols w:equalWidth="0" w:num="1">
            <w:col w:w="10140"/>
          </w:cols>
          <w:pgMar w:left="660" w:top="874" w:right="1100" w:bottom="1440" w:gutter="0" w:footer="0" w:header="0"/>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4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Amount of Compensation to be Received or</w:t>
            </w:r>
          </w:p>
        </w:tc>
      </w:tr>
      <w:tr>
        <w:trPr>
          <w:trHeight w:val="171"/>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Entity/Individual</w:t>
            </w:r>
          </w:p>
        </w:tc>
        <w:tc>
          <w:tcPr>
            <w:tcW w:w="40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3"/>
                <w:szCs w:val="13"/>
                <w:b w:val="1"/>
                <w:bCs w:val="1"/>
                <w:color w:val="auto"/>
              </w:rPr>
              <w:t>Securities Issued or to be Issued</w:t>
            </w:r>
          </w:p>
        </w:tc>
      </w:tr>
      <w:tr>
        <w:trPr>
          <w:trHeight w:val="250"/>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GigAcquisitions8</w:t>
            </w: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$30,000 per month</w:t>
            </w:r>
          </w:p>
        </w:tc>
      </w:tr>
      <w:tr>
        <w:trPr>
          <w:trHeight w:val="199"/>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Corp.</w:t>
            </w:r>
          </w:p>
        </w:tc>
        <w:tc>
          <w:tcPr>
            <w:tcW w:w="4040" w:type="dxa"/>
            <w:vAlign w:val="bottom"/>
          </w:tcPr>
          <w:p>
            <w:pPr>
              <w:spacing w:after="0"/>
              <w:rPr>
                <w:sz w:val="17"/>
                <w:szCs w:val="17"/>
                <w:color w:val="auto"/>
              </w:rPr>
            </w:pPr>
          </w:p>
        </w:tc>
      </w:tr>
      <w:tr>
        <w:trPr>
          <w:trHeight w:val="251"/>
        </w:trPr>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7,850,229 Class B ordinary shares, of which 1,023,943 Class B</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ordinary shares remain subject to forfeiture depending on the</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extent to which the underwriters’ over-allotment option is</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exercised during this offering. Our sponsor intends at the time of</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this offering to sell 375,397 founder shares in the aggregate to</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Messrs. Greene, Machuca, Timm and Horowitz at an aggregate</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price of $9,244 and 1,416,665 founder shares to Lynrock at an</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aggregate price of $13,130, and prior to the consummation of this</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offering to transfer 5,000 founder shares to Christine Marshall,</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our Chief Financial Officer, solely in consideration of future</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services to us, thus reducing its holding to 6,053,167 founder</w:t>
            </w:r>
          </w:p>
        </w:tc>
      </w:tr>
      <w:tr>
        <w:trPr>
          <w:trHeight w:val="199"/>
        </w:trPr>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shares</w:t>
            </w:r>
          </w:p>
        </w:tc>
      </w:tr>
      <w:tr>
        <w:trPr>
          <w:trHeight w:val="272"/>
        </w:trPr>
        <w:tc>
          <w:tcPr>
            <w:tcW w:w="9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Up to $100,000 in loans</w:t>
            </w:r>
          </w:p>
        </w:tc>
      </w:tr>
      <w:tr>
        <w:trPr>
          <w:trHeight w:val="429"/>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Up to $1,500,000 in working capital loans, which loans may be</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convertible into private placement units at a price of $10.00 per</w:t>
            </w:r>
          </w:p>
        </w:tc>
      </w:tr>
      <w:tr>
        <w:trPr>
          <w:trHeight w:val="199"/>
        </w:trPr>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unit at the option of the lender</w:t>
            </w:r>
          </w:p>
        </w:tc>
      </w:tr>
      <w:tr>
        <w:trPr>
          <w:trHeight w:val="332"/>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4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145</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b w:val="1"/>
          <w:bCs w:val="1"/>
          <w:color w:val="auto"/>
        </w:rPr>
        <w:t>Consideration Paid or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239204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92045" cy="7620"/>
                    </a:xfrm>
                    <a:prstGeom prst="rect">
                      <a:avLst/>
                    </a:prstGeom>
                    <a:noFill/>
                  </pic:spPr>
                </pic:pic>
              </a:graphicData>
            </a:graphic>
          </wp:anchor>
        </w:drawing>
      </w:r>
    </w:p>
    <w:p>
      <w:pPr>
        <w:spacing w:after="0" w:line="9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5"/>
          <w:szCs w:val="15"/>
          <w:color w:val="auto"/>
        </w:rPr>
        <w:t>Office space, administrative and shared personnel support services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5"/>
          <w:szCs w:val="15"/>
          <w:color w:val="auto"/>
        </w:rPr>
        <w:t>Repayment of loans made to us to cover offering related and organizational expenses</w:t>
      </w:r>
    </w:p>
    <w:p>
      <w:pPr>
        <w:spacing w:after="0" w:line="42"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5"/>
          <w:szCs w:val="15"/>
          <w:color w:val="auto"/>
        </w:rPr>
        <w:t>Working capital loans to finance transaction costs in connection with an initial business combination</w:t>
      </w:r>
    </w:p>
    <w:p>
      <w:pPr>
        <w:sectPr>
          <w:pgSz w:w="11900" w:h="16840" w:orient="portrait"/>
          <w:cols w:equalWidth="0" w:num="2">
            <w:col w:w="6160" w:space="200"/>
            <w:col w:w="3780"/>
          </w:cols>
          <w:pgMar w:left="660" w:top="874" w:right="1100" w:bottom="1440" w:gutter="0" w:footer="0" w:header="0"/>
          <w:type w:val="continuous"/>
        </w:sectPr>
      </w:pPr>
    </w:p>
    <w:bookmarkStart w:id="158" w:name="page159"/>
    <w:bookmarkEnd w:id="1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ectPr>
          <w:pgSz w:w="11900" w:h="16840" w:orient="portrait"/>
          <w:cols w:equalWidth="0" w:num="1">
            <w:col w:w="10120"/>
          </w:cols>
          <w:pgMar w:left="660" w:top="874" w:right="1120" w:bottom="1440" w:gutter="0" w:footer="0" w:header="0"/>
        </w:sectPr>
      </w:pP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4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Amount of Compensation to be Received or</w:t>
            </w:r>
          </w:p>
        </w:tc>
      </w:tr>
      <w:tr>
        <w:trPr>
          <w:trHeight w:val="171"/>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Entity/Individual</w:t>
            </w:r>
          </w:p>
        </w:tc>
        <w:tc>
          <w:tcPr>
            <w:tcW w:w="404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Securities Issued or to be Issued</w:t>
            </w:r>
          </w:p>
        </w:tc>
      </w:tr>
      <w:tr>
        <w:trPr>
          <w:trHeight w:val="250"/>
        </w:trPr>
        <w:tc>
          <w:tcPr>
            <w:tcW w:w="960" w:type="dxa"/>
            <w:vAlign w:val="bottom"/>
            <w:tcBorders>
              <w:top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Reimbursement for any out-of-pocket expenses related to</w:t>
            </w:r>
          </w:p>
        </w:tc>
      </w:tr>
      <w:tr>
        <w:trPr>
          <w:trHeight w:val="178"/>
        </w:trPr>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identifying, investigating and completing an initial business</w:t>
            </w:r>
          </w:p>
        </w:tc>
      </w:tr>
      <w:tr>
        <w:trPr>
          <w:trHeight w:val="199"/>
        </w:trPr>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combination</w:t>
            </w:r>
          </w:p>
        </w:tc>
      </w:tr>
      <w:tr>
        <w:trPr>
          <w:trHeight w:val="251"/>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GigAcquisitions8</w:t>
            </w: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45,200 private placement units to be purchased simultaneously</w:t>
            </w:r>
          </w:p>
        </w:tc>
      </w:tr>
      <w:tr>
        <w:trPr>
          <w:trHeight w:val="178"/>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Corp. and certain</w:t>
            </w: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with the closing of this offering (including if the underwriters’</w:t>
            </w:r>
          </w:p>
        </w:tc>
      </w:tr>
      <w:tr>
        <w:trPr>
          <w:trHeight w:val="178"/>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directors (Messrs.</w:t>
            </w: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over-allotment option is exercised in full)</w:t>
            </w:r>
          </w:p>
        </w:tc>
      </w:tr>
      <w:tr>
        <w:trPr>
          <w:trHeight w:val="178"/>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Greene, Machuca,</w:t>
            </w:r>
          </w:p>
        </w:tc>
        <w:tc>
          <w:tcPr>
            <w:tcW w:w="4040" w:type="dxa"/>
            <w:vAlign w:val="bottom"/>
          </w:tcPr>
          <w:p>
            <w:pPr>
              <w:spacing w:after="0"/>
              <w:rPr>
                <w:sz w:val="15"/>
                <w:szCs w:val="15"/>
                <w:color w:val="auto"/>
              </w:rPr>
            </w:pPr>
          </w:p>
        </w:tc>
      </w:tr>
      <w:tr>
        <w:trPr>
          <w:trHeight w:val="199"/>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Timm and Horowitz)</w:t>
            </w:r>
          </w:p>
        </w:tc>
        <w:tc>
          <w:tcPr>
            <w:tcW w:w="4040" w:type="dxa"/>
            <w:vAlign w:val="bottom"/>
          </w:tcPr>
          <w:p>
            <w:pPr>
              <w:spacing w:after="0"/>
              <w:rPr>
                <w:sz w:val="17"/>
                <w:szCs w:val="17"/>
                <w:color w:val="auto"/>
              </w:rPr>
            </w:pPr>
          </w:p>
        </w:tc>
      </w:tr>
      <w:tr>
        <w:trPr>
          <w:trHeight w:val="251"/>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Holders of Class B</w:t>
            </w: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Anti-dilution protection upon conversion into Class A ordinary</w:t>
            </w:r>
          </w:p>
        </w:tc>
      </w:tr>
      <w:tr>
        <w:trPr>
          <w:trHeight w:val="199"/>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ordinary shares</w:t>
            </w: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shares at a greater than one-to-one ratio</w:t>
            </w:r>
          </w:p>
        </w:tc>
      </w:tr>
      <w:tr>
        <w:trPr>
          <w:trHeight w:val="429"/>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GigAcquisitions8</w:t>
            </w: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Finder’s fees, advisory fees, consulting fees, success fees</w:t>
            </w:r>
          </w:p>
        </w:tc>
      </w:tr>
      <w:tr>
        <w:trPr>
          <w:trHeight w:val="178"/>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Corp, our officers,</w:t>
            </w:r>
          </w:p>
        </w:tc>
        <w:tc>
          <w:tcPr>
            <w:tcW w:w="4040" w:type="dxa"/>
            <w:vAlign w:val="bottom"/>
          </w:tcPr>
          <w:p>
            <w:pPr>
              <w:spacing w:after="0"/>
              <w:rPr>
                <w:sz w:val="15"/>
                <w:szCs w:val="15"/>
                <w:color w:val="auto"/>
              </w:rPr>
            </w:pPr>
          </w:p>
        </w:tc>
      </w:tr>
      <w:tr>
        <w:trPr>
          <w:trHeight w:val="178"/>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directors, or our or</w:t>
            </w:r>
          </w:p>
        </w:tc>
        <w:tc>
          <w:tcPr>
            <w:tcW w:w="4040" w:type="dxa"/>
            <w:vAlign w:val="bottom"/>
          </w:tcPr>
          <w:p>
            <w:pPr>
              <w:spacing w:after="0"/>
              <w:rPr>
                <w:sz w:val="15"/>
                <w:szCs w:val="15"/>
                <w:color w:val="auto"/>
              </w:rPr>
            </w:pPr>
          </w:p>
        </w:tc>
      </w:tr>
      <w:tr>
        <w:trPr>
          <w:trHeight w:val="199"/>
        </w:trPr>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their affiliates</w:t>
            </w:r>
          </w:p>
        </w:tc>
        <w:tc>
          <w:tcPr>
            <w:tcW w:w="4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b w:val="1"/>
          <w:bCs w:val="1"/>
          <w:color w:val="auto"/>
        </w:rPr>
        <w:t>Consideration Paid or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239204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92045" cy="7620"/>
                    </a:xfrm>
                    <a:prstGeom prst="rect">
                      <a:avLst/>
                    </a:prstGeom>
                    <a:noFill/>
                  </pic:spPr>
                </pic:pic>
              </a:graphicData>
            </a:graphic>
          </wp:anchor>
        </w:drawing>
      </w:r>
    </w:p>
    <w:p>
      <w:pPr>
        <w:spacing w:after="0" w:line="9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5"/>
          <w:szCs w:val="15"/>
          <w:color w:val="auto"/>
        </w:rPr>
        <w:t>Services in connection with identifying, investigating and completing an initial business combination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$440,130.48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5"/>
          <w:szCs w:val="15"/>
          <w:color w:val="auto"/>
        </w:rPr>
        <w:t>Issuance of the Class A ordinary shares issuable in connection with the conversion of the founder shares on a greater than one-to-one basis upon conversion</w:t>
      </w:r>
    </w:p>
    <w:p>
      <w:pPr>
        <w:spacing w:after="0" w:line="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Any services in order to effectuate the completion of our initial business combination, which, if payments are made in connection with such services prior to the completion of our initial business combination, will be paid from funds held outside the trust account. No agreements have been signed as of the date of this prospectus.</w:t>
      </w:r>
    </w:p>
    <w:p>
      <w:pPr>
        <w:spacing w:after="0" w:line="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5"/>
          <w:szCs w:val="15"/>
          <w:color w:val="auto"/>
        </w:rPr>
        <w:t>We may engage our sponsor or an affiliate of our sponsor as an advisor or otherwise in connection with our initial business combination and certain other transactions and pay such person or entity a salary or fee in an amount that constitutes a market standard for comparable transactions. No agreements have been signed as of the date of this prospectus.</w:t>
      </w:r>
    </w:p>
    <w:p>
      <w:pPr>
        <w:spacing w:after="0" w:line="172" w:lineRule="exact"/>
        <w:rPr>
          <w:sz w:val="20"/>
          <w:szCs w:val="20"/>
          <w:color w:val="auto"/>
        </w:rPr>
      </w:pPr>
    </w:p>
    <w:p>
      <w:pPr>
        <w:sectPr>
          <w:pgSz w:w="11900" w:h="16840" w:orient="portrait"/>
          <w:cols w:equalWidth="0" w:num="2">
            <w:col w:w="6160" w:space="200"/>
            <w:col w:w="3760"/>
          </w:cols>
          <w:pgMar w:left="660" w:top="874" w:right="112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5"/>
          <w:szCs w:val="15"/>
          <w:color w:val="auto"/>
        </w:rPr>
        <w:t>Because our sponsor acquired the founder shares at a nominal price of $0.000434 per Class B ordinary share, four of our directors will purchase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founder shares from the sponsor at the time of this offering for $0.02462 per share, Lynrock will acquire founder shares from our sponsor at the time of this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offering at a nominal purchase price of $0.00927 per share, and the non-managing investors acquired the private investor shares at a nominal price of</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$0.023254 per Class B ordinary share, our public shareholders will incur an immediate and material dilution upon the closing of this offering. Further, the</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Class A ordinary shares issuable in connection with the conversion of the Class B ordinary shares may result in material dilution to our public shareholders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due to the anti-dilution rights of our Class B ordinary shares that may result in an issuance of Class A ordinary shares on a greater than one-to-one basis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upon conversion. In addition, because our sponsor and the non-managing investors acquired the private placement units, including the private placement</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shares, at a price of $9.7374 per private placement unit that is less than the amount paid by out public shareholders for the public units which we are selling</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 this offering, our public shareholders will incur an immediate and substantial dilution upon the closing of this offering. Additionally, our public</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shareholders may experience dilution from the conversion of the 337,675 private placement rights that form a part of the private placement units into 33,767</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Class A ordinary shares (or up to 357,657 private placement rights converting into 35,765 Class A ordinary shares if the underwriters’ over-allotment option</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is exercised in full) to be purchased in the private placement simultaneously with the closing of this offering. Further, our public shareholders may</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experience material dilution if the $1,500,000 in working capital loans is fully advanced by the sponsor and the</w:t>
      </w:r>
    </w:p>
    <w:p>
      <w:pPr>
        <w:spacing w:after="0" w:line="14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146</w:t>
      </w:r>
    </w:p>
    <w:p>
      <w:pPr>
        <w:sectPr>
          <w:pgSz w:w="11900" w:h="16840" w:orient="portrait"/>
          <w:cols w:equalWidth="0" w:num="1">
            <w:col w:w="10120"/>
          </w:cols>
          <w:pgMar w:left="660" w:top="874" w:right="1120" w:bottom="1440" w:gutter="0" w:footer="0" w:header="0"/>
          <w:type w:val="continuous"/>
        </w:sectPr>
      </w:pPr>
    </w:p>
    <w:bookmarkStart w:id="159" w:name="page160"/>
    <w:bookmarkEnd w:id="1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100"/>
        <w:spacing w:after="0" w:line="256" w:lineRule="auto"/>
        <w:rPr>
          <w:sz w:val="20"/>
          <w:szCs w:val="20"/>
          <w:color w:val="auto"/>
        </w:rPr>
      </w:pPr>
      <w:r>
        <w:rPr>
          <w:rFonts w:ascii="Times New Roman" w:cs="Times New Roman" w:eastAsia="Times New Roman" w:hAnsi="Times New Roman"/>
          <w:sz w:val="15"/>
          <w:szCs w:val="15"/>
          <w:color w:val="auto"/>
        </w:rPr>
        <w:t xml:space="preserve">sponsor elects to convert the working capital loans into private placement units at $ 10.00 per unit, resulting in the sponsor receiving an additional 150,000 private placement units. </w:t>
      </w:r>
      <w:r>
        <w:rPr>
          <w:rFonts w:ascii="Times New Roman" w:cs="Times New Roman" w:eastAsia="Times New Roman" w:hAnsi="Times New Roman"/>
          <w:sz w:val="15"/>
          <w:szCs w:val="15"/>
          <w:b w:val="1"/>
          <w:bCs w:val="1"/>
          <w:color w:val="auto"/>
        </w:rPr>
        <w:t>See the sections titled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Risk Factors — Risks Relating to our Securities — The nominal purchase price paid by our insiders for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 xml:space="preserve">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 </w:t>
      </w:r>
      <w:r>
        <w:rPr>
          <w:rFonts w:ascii="Times New Roman" w:cs="Times New Roman" w:eastAsia="Times New Roman" w:hAnsi="Times New Roman"/>
          <w:sz w:val="15"/>
          <w:szCs w:val="15"/>
          <w:b w:val="1"/>
          <w:bCs w:val="1"/>
          <w:color w:val="auto"/>
        </w:rPr>
        <w:t>and “</w:t>
      </w:r>
      <w:r>
        <w:rPr>
          <w:rFonts w:ascii="Times New Roman" w:cs="Times New Roman" w:eastAsia="Times New Roman" w:hAnsi="Times New Roman"/>
          <w:sz w:val="15"/>
          <w:szCs w:val="15"/>
          <w:b w:val="1"/>
          <w:bCs w:val="1"/>
          <w:i w:val="1"/>
          <w:iCs w:val="1"/>
          <w:color w:val="auto"/>
        </w:rPr>
        <w:t>Dilution</w:t>
      </w:r>
      <w:r>
        <w:rPr>
          <w:rFonts w:ascii="Times New Roman" w:cs="Times New Roman" w:eastAsia="Times New Roman" w:hAnsi="Times New Roman"/>
          <w:sz w:val="15"/>
          <w:szCs w:val="15"/>
          <w:b w:val="1"/>
          <w:bCs w:val="1"/>
          <w:color w:val="auto"/>
        </w:rPr>
        <w:t>.”</w:t>
      </w:r>
    </w:p>
    <w:p>
      <w:pPr>
        <w:spacing w:after="0" w:line="158" w:lineRule="exact"/>
        <w:rPr>
          <w:sz w:val="20"/>
          <w:szCs w:val="20"/>
          <w:color w:val="auto"/>
        </w:rPr>
      </w:pPr>
    </w:p>
    <w:p>
      <w:pPr>
        <w:ind w:left="460" w:right="20" w:firstLine="379"/>
        <w:spacing w:after="0" w:line="249" w:lineRule="auto"/>
        <w:rPr>
          <w:sz w:val="20"/>
          <w:szCs w:val="20"/>
          <w:color w:val="auto"/>
        </w:rPr>
      </w:pPr>
      <w:r>
        <w:rPr>
          <w:rFonts w:ascii="Times New Roman" w:cs="Times New Roman" w:eastAsia="Times New Roman" w:hAnsi="Times New Roman"/>
          <w:sz w:val="15"/>
          <w:szCs w:val="15"/>
          <w:color w:val="auto"/>
        </w:rPr>
        <w:t>The founder shares and private investor shares will automatically convert into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w:t>
      </w:r>
    </w:p>
    <w:p>
      <w:pPr>
        <w:spacing w:after="0" w:line="1" w:lineRule="exact"/>
        <w:rPr>
          <w:sz w:val="20"/>
          <w:szCs w:val="20"/>
          <w:color w:val="auto"/>
        </w:rPr>
      </w:pPr>
    </w:p>
    <w:p>
      <w:pPr>
        <w:ind w:left="460" w:right="60" w:hanging="5"/>
        <w:spacing w:after="0" w:line="254" w:lineRule="auto"/>
        <w:tabs>
          <w:tab w:leader="none" w:pos="729"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minus any redemptions of Class A ordinary shares by public shareholders in connection with an initial business combination; provided that such conversion of founder shares will never occur on a less than one-for-one basis. </w:t>
      </w:r>
      <w:r>
        <w:rPr>
          <w:rFonts w:ascii="Times New Roman" w:cs="Times New Roman" w:eastAsia="Times New Roman" w:hAnsi="Times New Roman"/>
          <w:sz w:val="15"/>
          <w:szCs w:val="15"/>
          <w:b w:val="1"/>
          <w:bCs w:val="1"/>
          <w:color w:val="auto"/>
        </w:rPr>
        <w:t>See the section titled “</w:t>
      </w:r>
      <w:r>
        <w:rPr>
          <w:rFonts w:ascii="Times New Roman" w:cs="Times New Roman" w:eastAsia="Times New Roman" w:hAnsi="Times New Roman"/>
          <w:sz w:val="15"/>
          <w:szCs w:val="15"/>
          <w:b w:val="1"/>
          <w:bCs w:val="1"/>
          <w:i w:val="1"/>
          <w:iCs w:val="1"/>
          <w:color w:val="auto"/>
        </w:rPr>
        <w:t>Summary — The Offering —Conversion of founder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shares and private investor shares and anti-dilution rights</w:t>
      </w:r>
      <w:r>
        <w:rPr>
          <w:rFonts w:ascii="Times New Roman" w:cs="Times New Roman" w:eastAsia="Times New Roman" w:hAnsi="Times New Roman"/>
          <w:sz w:val="15"/>
          <w:szCs w:val="15"/>
          <w:b w:val="1"/>
          <w:bCs w:val="1"/>
          <w:color w:val="auto"/>
        </w:rPr>
        <w:t>.”</w:t>
      </w:r>
    </w:p>
    <w:p>
      <w:pPr>
        <w:spacing w:after="0" w:line="159" w:lineRule="exact"/>
        <w:rPr>
          <w:sz w:val="20"/>
          <w:szCs w:val="20"/>
          <w:color w:val="auto"/>
        </w:rPr>
      </w:pPr>
    </w:p>
    <w:p>
      <w:pPr>
        <w:jc w:val="both"/>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w:t>
      </w:r>
    </w:p>
    <w:p>
      <w:pPr>
        <w:spacing w:after="0" w:line="151" w:lineRule="exact"/>
        <w:rPr>
          <w:sz w:val="20"/>
          <w:szCs w:val="20"/>
          <w:color w:val="auto"/>
        </w:rPr>
      </w:pPr>
    </w:p>
    <w:p>
      <w:pPr>
        <w:ind w:left="460" w:right="60" w:firstLine="379"/>
        <w:spacing w:after="0" w:line="262" w:lineRule="auto"/>
        <w:rPr>
          <w:sz w:val="20"/>
          <w:szCs w:val="20"/>
          <w:color w:val="auto"/>
        </w:rPr>
      </w:pPr>
      <w:r>
        <w:rPr>
          <w:rFonts w:ascii="Times New Roman" w:cs="Times New Roman" w:eastAsia="Times New Roman" w:hAnsi="Times New Roman"/>
          <w:sz w:val="15"/>
          <w:szCs w:val="15"/>
          <w:color w:val="auto"/>
        </w:rPr>
        <w:t>Pursuant to a letter agreement to be entered with us, each of our sponsor, directors and officers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w:t>
      </w:r>
    </w:p>
    <w:p>
      <w:pPr>
        <w:spacing w:after="0" w:line="368"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Natural Persons and Entities</w:t>
            </w:r>
          </w:p>
        </w:tc>
        <w:tc>
          <w:tcPr>
            <w:tcW w:w="10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Exceptions to Transfer</w:t>
            </w:r>
          </w:p>
        </w:tc>
      </w:tr>
      <w:tr>
        <w:trPr>
          <w:trHeight w:val="18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Subject Securities</w:t>
            </w:r>
          </w:p>
        </w:tc>
        <w:tc>
          <w:tcPr>
            <w:tcW w:w="460" w:type="dxa"/>
            <w:vAlign w:val="bottom"/>
          </w:tcPr>
          <w:p>
            <w:pPr>
              <w:spacing w:after="0"/>
              <w:rPr>
                <w:sz w:val="16"/>
                <w:szCs w:val="16"/>
                <w:color w:val="auto"/>
              </w:rPr>
            </w:pPr>
          </w:p>
        </w:tc>
        <w:tc>
          <w:tcPr>
            <w:tcW w:w="2980" w:type="dxa"/>
            <w:vAlign w:val="bottom"/>
            <w:gridSpan w:val="2"/>
          </w:tcPr>
          <w:p>
            <w:pPr>
              <w:ind w:left="96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262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Subject to Restrictions</w:t>
            </w:r>
          </w:p>
        </w:tc>
        <w:tc>
          <w:tcPr>
            <w:tcW w:w="10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Restrictions</w:t>
            </w:r>
          </w:p>
        </w:tc>
      </w:tr>
      <w:tr>
        <w:trPr>
          <w:trHeight w:val="150"/>
        </w:trPr>
        <w:tc>
          <w:tcPr>
            <w:tcW w:w="980" w:type="dxa"/>
            <w:vAlign w:val="bottom"/>
          </w:tcPr>
          <w:p>
            <w:pPr>
              <w:spacing w:after="0" w:line="151" w:lineRule="exact"/>
              <w:rPr>
                <w:sz w:val="20"/>
                <w:szCs w:val="20"/>
                <w:color w:val="auto"/>
              </w:rPr>
            </w:pPr>
            <w:r>
              <w:rPr>
                <w:rFonts w:ascii="Times New Roman" w:cs="Times New Roman" w:eastAsia="Times New Roman" w:hAnsi="Times New Roman"/>
                <w:sz w:val="15"/>
                <w:szCs w:val="15"/>
                <w:color w:val="auto"/>
              </w:rPr>
              <w:t>Founder shares</w:t>
            </w:r>
          </w:p>
        </w:tc>
        <w:tc>
          <w:tcPr>
            <w:tcW w:w="460" w:type="dxa"/>
            <w:vAlign w:val="bottom"/>
          </w:tcPr>
          <w:p>
            <w:pPr>
              <w:spacing w:after="0"/>
              <w:rPr>
                <w:sz w:val="13"/>
                <w:szCs w:val="13"/>
                <w:color w:val="auto"/>
              </w:rPr>
            </w:pPr>
          </w:p>
        </w:tc>
        <w:tc>
          <w:tcPr>
            <w:tcW w:w="280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The earlier of (A) six months after the date of</w:t>
            </w:r>
          </w:p>
        </w:tc>
        <w:tc>
          <w:tcPr>
            <w:tcW w:w="180" w:type="dxa"/>
            <w:vAlign w:val="bottom"/>
          </w:tcPr>
          <w:p>
            <w:pPr>
              <w:spacing w:after="0"/>
              <w:rPr>
                <w:sz w:val="13"/>
                <w:szCs w:val="13"/>
                <w:color w:val="auto"/>
              </w:rPr>
            </w:pPr>
          </w:p>
        </w:tc>
        <w:tc>
          <w:tcPr>
            <w:tcW w:w="262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GigAcquisitions8 Corp.</w:t>
            </w:r>
          </w:p>
        </w:tc>
        <w:tc>
          <w:tcPr>
            <w:tcW w:w="100" w:type="dxa"/>
            <w:vAlign w:val="bottom"/>
          </w:tcPr>
          <w:p>
            <w:pPr>
              <w:spacing w:after="0"/>
              <w:rPr>
                <w:sz w:val="13"/>
                <w:szCs w:val="13"/>
                <w:color w:val="auto"/>
              </w:rPr>
            </w:pPr>
          </w:p>
        </w:tc>
        <w:tc>
          <w:tcPr>
            <w:tcW w:w="252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Transfers permitted (1) amongst such</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consummation of our initial business</w:t>
            </w: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Dr. Avi S. Katz</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holders and their affiliates, to our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combination or (B) subsequent to our initial</w:t>
            </w: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Dr. Raluca Dinu</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executive officers or directors, or to any</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business combination, (x) the date on which</w:t>
            </w: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Christine M Marshall</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affiliate or family member of any of our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last sale price of our ordinary shares</w:t>
            </w: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Admiral (Ret.) David Ben-Bashat</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executive officers or directors, (2) in the</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equals or exceeds $11.50 per share (as</w:t>
            </w: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Rear Admiral (Ret.) Omri Dagul</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case of an entity, as a distribution to its</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adjusted for share divisions, share dividends,</w:t>
            </w: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Raanan I. Horowitz</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partners, shareholders or members upon</w:t>
            </w:r>
          </w:p>
        </w:tc>
      </w:tr>
      <w:tr>
        <w:trPr>
          <w:trHeight w:val="199"/>
        </w:trPr>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Ambassador Adrian Zuckerman</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its</w:t>
            </w:r>
          </w:p>
        </w:tc>
      </w:tr>
      <w:tr>
        <w:trPr>
          <w:trHeight w:val="343"/>
        </w:trPr>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40" w:orient="portrait"/>
          <w:cols w:equalWidth="0" w:num="1">
            <w:col w:w="10120"/>
          </w:cols>
          <w:pgMar w:left="660" w:top="874" w:right="1120" w:bottom="1440" w:gutter="0" w:footer="0" w:header="0"/>
        </w:sectPr>
      </w:pPr>
    </w:p>
    <w:bookmarkStart w:id="160" w:name="page161"/>
    <w:bookmarkEnd w:id="1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Natural Persons and Entities</w:t>
            </w:r>
          </w:p>
        </w:tc>
        <w:tc>
          <w:tcPr>
            <w:tcW w:w="10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Exceptions to Transfer</w:t>
            </w:r>
          </w:p>
        </w:tc>
      </w:tr>
      <w:tr>
        <w:trPr>
          <w:trHeight w:val="171"/>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Subject Securities</w:t>
            </w:r>
          </w:p>
        </w:tc>
        <w:tc>
          <w:tcPr>
            <w:tcW w:w="460" w:type="dxa"/>
            <w:vAlign w:val="bottom"/>
          </w:tcPr>
          <w:p>
            <w:pPr>
              <w:spacing w:after="0"/>
              <w:rPr>
                <w:sz w:val="14"/>
                <w:szCs w:val="14"/>
                <w:color w:val="auto"/>
              </w:rPr>
            </w:pPr>
          </w:p>
        </w:tc>
        <w:tc>
          <w:tcPr>
            <w:tcW w:w="28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80" w:type="dxa"/>
            <w:vAlign w:val="bottom"/>
          </w:tcPr>
          <w:p>
            <w:pPr>
              <w:spacing w:after="0"/>
              <w:rPr>
                <w:sz w:val="14"/>
                <w:szCs w:val="14"/>
                <w:color w:val="auto"/>
              </w:rPr>
            </w:pPr>
          </w:p>
        </w:tc>
        <w:tc>
          <w:tcPr>
            <w:tcW w:w="26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Subject to Restrictions</w:t>
            </w:r>
          </w:p>
        </w:tc>
        <w:tc>
          <w:tcPr>
            <w:tcW w:w="10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Restrictions</w:t>
            </w:r>
          </w:p>
        </w:tc>
      </w:tr>
      <w:tr>
        <w:trPr>
          <w:trHeight w:val="167"/>
        </w:trPr>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reorganizations, recapitalizations and the</w:t>
            </w:r>
          </w:p>
        </w:tc>
        <w:tc>
          <w:tcPr>
            <w:tcW w:w="180" w:type="dxa"/>
            <w:vAlign w:val="bottom"/>
          </w:tcPr>
          <w:p>
            <w:pPr>
              <w:spacing w:after="0"/>
              <w:rPr>
                <w:sz w:val="14"/>
                <w:szCs w:val="14"/>
                <w:color w:val="auto"/>
              </w:rPr>
            </w:pPr>
          </w:p>
        </w:tc>
        <w:tc>
          <w:tcPr>
            <w:tcW w:w="26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Luis Machuca</w:t>
            </w:r>
          </w:p>
        </w:tc>
        <w:tc>
          <w:tcPr>
            <w:tcW w:w="100" w:type="dxa"/>
            <w:vAlign w:val="bottom"/>
          </w:tcPr>
          <w:p>
            <w:pPr>
              <w:spacing w:after="0"/>
              <w:rPr>
                <w:sz w:val="14"/>
                <w:szCs w:val="14"/>
                <w:color w:val="auto"/>
              </w:rPr>
            </w:pPr>
          </w:p>
        </w:tc>
        <w:tc>
          <w:tcPr>
            <w:tcW w:w="25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liquidation, (3) in the case of an</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like) for any 20 trading days within any</w:t>
            </w: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Bryan Timm</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individual, (i) by bona fide gift to such</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30-trading day period commencing at least</w:t>
            </w: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James Greene</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person’s immediate family or to a trust,</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90 days after our initial business</w:t>
            </w: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Lynrock</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the beneficiary of which is a member of</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combination, or (y) the date on which we</w:t>
            </w: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such person’s immediate family, an</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consummate a liquidation, merger, stock</w:t>
            </w: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affiliate of such person or to a charitable</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exchange or other similar transaction after</w:t>
            </w: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organization, (ii) by virtue of the laws of</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our initial business combination which</w:t>
            </w: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descent and distribution upon death of</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results in all of our shareholders having the</w:t>
            </w: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such person, (iii) pursuant to a qualified</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right to exchange their ordinary shares for</w:t>
            </w: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domestic relations order, (4) by certain</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cash, securities or other property.</w:t>
            </w: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pledges to secure obligations incurred in</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connection with purchases of our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company’s securities, (5) through</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private sales or transfers made in</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connection with the consummation of</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our initial business combination at</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prices no greater than the price at which</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such securities were originally</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purchased, (6) to us for no value for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cancellation in connection with the</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consummation of our initial business</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combination; provided that (except for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clause (6)) these transferees (“permitted</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transferees”) shall enter into a written</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agreement with us agreeing to be bound</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by the transfer restrictions agreed to by</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the original holder in connection with</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the purchase of the securities being</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transferred. In addition, the sponsor,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executive officers and directors may</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transfer, assign or sell any of the</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founder shares or private placement</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units ((including underlying</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securities) (i) in the event of our</w:t>
            </w:r>
          </w:p>
        </w:tc>
      </w:tr>
      <w:tr>
        <w:trPr>
          <w:trHeight w:val="199"/>
        </w:trPr>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liquidation</w:t>
            </w:r>
          </w:p>
        </w:tc>
      </w:tr>
      <w:tr>
        <w:trPr>
          <w:trHeight w:val="332"/>
        </w:trPr>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gridSpan w:val="2"/>
          </w:tcPr>
          <w:p>
            <w:pPr>
              <w:jc w:val="right"/>
              <w:ind w:right="2027"/>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40" w:orient="portrait"/>
          <w:cols w:equalWidth="0" w:num="1">
            <w:col w:w="10120"/>
          </w:cols>
          <w:pgMar w:left="660" w:top="874" w:right="1120" w:bottom="1440" w:gutter="0" w:footer="0" w:header="0"/>
        </w:sectPr>
      </w:pPr>
    </w:p>
    <w:bookmarkStart w:id="161" w:name="page162"/>
    <w:bookmarkEnd w:id="1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Natural Persons and Entities</w:t>
            </w:r>
          </w:p>
        </w:tc>
        <w:tc>
          <w:tcPr>
            <w:tcW w:w="10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Exceptions to Transfer</w:t>
            </w:r>
          </w:p>
        </w:tc>
      </w:tr>
      <w:tr>
        <w:trPr>
          <w:trHeight w:val="171"/>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Subject Securities</w:t>
            </w:r>
          </w:p>
        </w:tc>
        <w:tc>
          <w:tcPr>
            <w:tcW w:w="280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80" w:type="dxa"/>
            <w:vAlign w:val="bottom"/>
          </w:tcPr>
          <w:p>
            <w:pPr>
              <w:spacing w:after="0"/>
              <w:rPr>
                <w:sz w:val="14"/>
                <w:szCs w:val="14"/>
                <w:color w:val="auto"/>
              </w:rPr>
            </w:pPr>
          </w:p>
        </w:tc>
        <w:tc>
          <w:tcPr>
            <w:tcW w:w="262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Subject to Restrictions</w:t>
            </w:r>
          </w:p>
        </w:tc>
        <w:tc>
          <w:tcPr>
            <w:tcW w:w="10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Restrictions</w:t>
            </w:r>
          </w:p>
        </w:tc>
      </w:tr>
      <w:tr>
        <w:trPr>
          <w:trHeight w:val="167"/>
        </w:trPr>
        <w:tc>
          <w:tcPr>
            <w:tcW w:w="98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5"/>
                <w:szCs w:val="15"/>
                <w:color w:val="auto"/>
              </w:rPr>
              <w:t>prior to the consummation of our initial</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business combination; (ii) by virtue of</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the laws of the Cayman Islands, by</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virtue of sponsor’s memorandum and</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articles of association or other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constitutional, organizational or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formational documents, as amended,</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upon dissolution of the sponsor, or by</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virtue of the constitutional,</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organizational or formational documents</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of a subsidiary of the sponsor that holds</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any such securities, upon liquidation or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dissolution of such subsidiary; or (iii) in</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the event of our completion of a</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liquidation, merger, share exchange,</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reorganization or other similar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transaction which results in all of our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shareholders having the right to</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exchange their ordinary shares for cash,</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securities or other property subsequent</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to the completion of our initial business</w:t>
            </w:r>
          </w:p>
        </w:tc>
      </w:tr>
      <w:tr>
        <w:trPr>
          <w:trHeight w:val="199"/>
        </w:trPr>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combination.</w:t>
            </w:r>
          </w:p>
        </w:tc>
      </w:tr>
      <w:tr>
        <w:trPr>
          <w:trHeight w:val="251"/>
        </w:trPr>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Private placement</w:t>
            </w: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Thirty days after the completion of our</w:t>
            </w:r>
          </w:p>
        </w:tc>
        <w:tc>
          <w:tcPr>
            <w:tcW w:w="18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GigAcquisitions8 Corp.</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Same as above.</w:t>
            </w:r>
          </w:p>
        </w:tc>
      </w:tr>
      <w:tr>
        <w:trPr>
          <w:trHeight w:val="178"/>
        </w:trPr>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units (including</w:t>
            </w:r>
          </w:p>
        </w:tc>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initial business combination</w:t>
            </w: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Dr. Avi S. Katz</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underlying</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Dr. Raluca Dinu</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Christine M Marshall</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Admiral (Ret.) David Ben-Bashat</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Rear Admiral (Ret.) Omri Dagul</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Raanan I. Horowitz</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Ambassador Adrian Zuckerman</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Luis Machuca</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Bryan Timm</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James Greene</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Lynrock</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99"/>
        </w:trPr>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Non-managing investors</w:t>
            </w:r>
          </w:p>
        </w:tc>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43"/>
        </w:trPr>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gridSpan w:val="2"/>
          </w:tcPr>
          <w:p>
            <w:pPr>
              <w:jc w:val="right"/>
              <w:ind w:right="2025"/>
              <w:spacing w:after="0"/>
              <w:rPr>
                <w:sz w:val="20"/>
                <w:szCs w:val="20"/>
                <w:color w:val="auto"/>
              </w:rPr>
            </w:pPr>
            <w:r>
              <w:rPr>
                <w:rFonts w:ascii="Times New Roman" w:cs="Times New Roman" w:eastAsia="Times New Roman" w:hAnsi="Times New Roman"/>
                <w:sz w:val="15"/>
                <w:szCs w:val="15"/>
                <w:color w:val="auto"/>
              </w:rPr>
              <w:t>149</w:t>
            </w: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40" w:orient="portrait"/>
          <w:cols w:equalWidth="0" w:num="1">
            <w:col w:w="10120"/>
          </w:cols>
          <w:pgMar w:left="660" w:top="874" w:right="1120" w:bottom="1440" w:gutter="0" w:footer="0" w:header="0"/>
        </w:sectPr>
      </w:pPr>
    </w:p>
    <w:bookmarkStart w:id="162" w:name="page163"/>
    <w:bookmarkEnd w:id="1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ectPr>
          <w:pgSz w:w="11900" w:h="16840" w:orient="portrait"/>
          <w:cols w:equalWidth="0" w:num="1">
            <w:col w:w="10120"/>
          </w:cols>
          <w:pgMar w:left="660" w:top="874" w:right="112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2"/>
          <w:szCs w:val="12"/>
          <w:b w:val="1"/>
          <w:bCs w:val="1"/>
          <w:u w:val="single" w:color="auto"/>
          <w:color w:val="auto"/>
        </w:rPr>
        <w:t>Subject Securities</w:t>
      </w:r>
    </w:p>
    <w:p>
      <w:pPr>
        <w:spacing w:after="0" w:line="32" w:lineRule="exact"/>
        <w:rPr>
          <w:sz w:val="20"/>
          <w:szCs w:val="20"/>
          <w:color w:val="auto"/>
        </w:rPr>
      </w:pPr>
    </w:p>
    <w:p>
      <w:pPr>
        <w:ind w:left="460" w:right="20"/>
        <w:spacing w:after="0" w:line="282" w:lineRule="auto"/>
        <w:rPr>
          <w:sz w:val="20"/>
          <w:szCs w:val="20"/>
          <w:color w:val="auto"/>
        </w:rPr>
      </w:pPr>
      <w:r>
        <w:rPr>
          <w:rFonts w:ascii="Times New Roman" w:cs="Times New Roman" w:eastAsia="Times New Roman" w:hAnsi="Times New Roman"/>
          <w:sz w:val="15"/>
          <w:szCs w:val="15"/>
          <w:color w:val="auto"/>
        </w:rPr>
        <w:t>Private investor shares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Natural Persons and Entities</w:t>
            </w:r>
          </w:p>
        </w:tc>
        <w:tc>
          <w:tcPr>
            <w:tcW w:w="10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Exceptions to Transfer</w:t>
            </w:r>
          </w:p>
        </w:tc>
      </w:tr>
      <w:tr>
        <w:trPr>
          <w:trHeight w:val="175"/>
        </w:trPr>
        <w:tc>
          <w:tcPr>
            <w:tcW w:w="2980" w:type="dxa"/>
            <w:vAlign w:val="bottom"/>
            <w:gridSpan w:val="2"/>
          </w:tcPr>
          <w:p>
            <w:pPr>
              <w:ind w:left="96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Subject to Restrictions</w:t>
            </w:r>
          </w:p>
        </w:tc>
        <w:tc>
          <w:tcPr>
            <w:tcW w:w="10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Restrictions</w:t>
            </w:r>
          </w:p>
        </w:tc>
      </w:tr>
      <w:tr>
        <w:trPr>
          <w:trHeight w:val="163"/>
        </w:trPr>
        <w:tc>
          <w:tcPr>
            <w:tcW w:w="280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rPr>
              <w:t>The earlier of (A) six months after the date of</w:t>
            </w:r>
          </w:p>
        </w:tc>
        <w:tc>
          <w:tcPr>
            <w:tcW w:w="180" w:type="dxa"/>
            <w:vAlign w:val="bottom"/>
          </w:tcPr>
          <w:p>
            <w:pPr>
              <w:spacing w:after="0"/>
              <w:rPr>
                <w:sz w:val="14"/>
                <w:szCs w:val="14"/>
                <w:color w:val="auto"/>
              </w:rPr>
            </w:pPr>
          </w:p>
        </w:tc>
        <w:tc>
          <w:tcPr>
            <w:tcW w:w="262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rPr>
              <w:t>Non-managing investors</w:t>
            </w:r>
          </w:p>
        </w:tc>
        <w:tc>
          <w:tcPr>
            <w:tcW w:w="100" w:type="dxa"/>
            <w:vAlign w:val="bottom"/>
          </w:tcPr>
          <w:p>
            <w:pPr>
              <w:spacing w:after="0"/>
              <w:rPr>
                <w:sz w:val="14"/>
                <w:szCs w:val="14"/>
                <w:color w:val="auto"/>
              </w:rPr>
            </w:pPr>
          </w:p>
        </w:tc>
        <w:tc>
          <w:tcPr>
            <w:tcW w:w="252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rPr>
              <w:t>Same as above.</w:t>
            </w: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consummation of our initial business</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combination or (B) subsequent to our initial</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business combination, (x) the date on which</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last sale price of our ordinary shares</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equals or exceeds $11.50 per share (as</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adjusted for share divisions, share dividends,</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reorganizations, recapitalizations and the</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like) for any 20 trading days within any</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30-trading day period commencing at least</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90 days after our initial business</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combination, or (y) the date on which we</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consummate a liquidation, merger, stock</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exchange or other similar transaction after</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our initial business combination which</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results in all of our shareholders having the</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8"/>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 to exchange their ordinary shares for</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99"/>
        </w:trPr>
        <w:tc>
          <w:tcPr>
            <w:tcW w:w="2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securities or other property.</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r>
    </w:tbl>
    <w:p>
      <w:pPr>
        <w:spacing w:after="0" w:line="73" w:lineRule="exact"/>
        <w:rPr>
          <w:sz w:val="20"/>
          <w:szCs w:val="20"/>
          <w:color w:val="auto"/>
        </w:rPr>
      </w:pPr>
    </w:p>
    <w:p>
      <w:pPr>
        <w:sectPr>
          <w:pgSz w:w="11900" w:h="16840" w:orient="portrait"/>
          <w:cols w:equalWidth="0" w:num="2">
            <w:col w:w="1440" w:space="460"/>
            <w:col w:w="8220"/>
          </w:cols>
          <w:pgMar w:left="660" w:top="874" w:right="1120" w:bottom="1440" w:gutter="0" w:footer="0" w:header="0"/>
          <w:type w:val="continuous"/>
        </w:sectPr>
      </w:pPr>
    </w:p>
    <w:tbl>
      <w:tblPr>
        <w:tblLayout w:type="fixed"/>
        <w:tblInd w:w="460" w:type="dxa"/>
        <w:tblCellMar>
          <w:top w:w="0" w:type="dxa"/>
          <w:left w:w="0" w:type="dxa"/>
          <w:bottom w:w="0" w:type="dxa"/>
          <w:right w:w="0" w:type="dxa"/>
        </w:tblCellMar>
      </w:tblP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Any units, share</w:t>
            </w:r>
          </w:p>
        </w:tc>
        <w:tc>
          <w:tcPr>
            <w:tcW w:w="2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180 days from the date of this prospectus</w:t>
            </w: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GigAcquisitions8 Corp. Dr. Avi S. Katz</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We, our sponsor and our officers and</w:t>
            </w:r>
          </w:p>
        </w:tc>
      </w:t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rights, ordinary</w:t>
            </w: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Dr. Raluca Dinu</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directors have agreed that, for a period</w:t>
            </w:r>
          </w:p>
        </w:tc>
      </w:t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shares or any other</w:t>
            </w: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Christine M Marshall Admiral (Ret.)</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of 180 days from the date of this</w:t>
            </w:r>
          </w:p>
        </w:tc>
      </w:t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securities</w:t>
            </w: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David Ben-Bashat</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prospectus, we and they will not,</w:t>
            </w:r>
          </w:p>
        </w:tc>
      </w:t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convertible into, or</w:t>
            </w: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Rear Admiral (Ret.) Omri Dagul</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without the prior written consent of the</w:t>
            </w:r>
          </w:p>
        </w:tc>
      </w:t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exercisable or</w:t>
            </w: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Raanan I. Horowitz</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representative of the underwriters, offer,</w:t>
            </w:r>
          </w:p>
        </w:tc>
      </w:t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exchangeable for,</w:t>
            </w: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Ambassador Adrian Zuckerman</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sell, contract to sell, pledge or otherwise</w:t>
            </w:r>
          </w:p>
        </w:tc>
      </w:t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any units, ordinary</w:t>
            </w: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Luis Machuca</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dispose of, directly or indirectly, any</w:t>
            </w:r>
          </w:p>
        </w:tc>
      </w:t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shares, founder</w:t>
            </w: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Bryan Timm</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units, share rights, shares or any other</w:t>
            </w:r>
          </w:p>
        </w:tc>
      </w:tr>
      <w:tr>
        <w:trPr>
          <w:trHeight w:val="178"/>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auto"/>
              </w:rPr>
              <w:t>shares or rights</w:t>
            </w: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James Greene</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securities convertible into, or</w:t>
            </w:r>
          </w:p>
        </w:tc>
      </w:tr>
      <w:tr>
        <w:trPr>
          <w:trHeight w:val="178"/>
        </w:trPr>
        <w:tc>
          <w:tcPr>
            <w:tcW w:w="13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Lynrock</w:t>
            </w: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exercisable, or exchangeable for, shares,</w:t>
            </w:r>
          </w:p>
        </w:tc>
      </w:tr>
      <w:tr>
        <w:trPr>
          <w:trHeight w:val="199"/>
        </w:trPr>
        <w:tc>
          <w:tcPr>
            <w:tcW w:w="1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subject to certain exceptions.</w:t>
            </w:r>
          </w:p>
        </w:tc>
      </w:tr>
      <w:tr>
        <w:trPr>
          <w:trHeight w:val="275"/>
        </w:trPr>
        <w:tc>
          <w:tcPr>
            <w:tcW w:w="13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 representative in its sole discretion</w:t>
            </w:r>
          </w:p>
        </w:tc>
      </w:tr>
      <w:tr>
        <w:trPr>
          <w:trHeight w:val="199"/>
        </w:trPr>
        <w:tc>
          <w:tcPr>
            <w:tcW w:w="1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may release any of the securities subject</w:t>
            </w:r>
          </w:p>
        </w:tc>
      </w:tr>
      <w:tr>
        <w:trPr>
          <w:trHeight w:val="343"/>
        </w:trPr>
        <w:tc>
          <w:tcPr>
            <w:tcW w:w="1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150</w:t>
            </w:r>
          </w:p>
        </w:tc>
        <w:tc>
          <w:tcPr>
            <w:tcW w:w="2620" w:type="dxa"/>
            <w:vAlign w:val="bottom"/>
          </w:tcPr>
          <w:p>
            <w:pPr>
              <w:spacing w:after="0"/>
              <w:rPr>
                <w:sz w:val="24"/>
                <w:szCs w:val="24"/>
                <w:color w:val="auto"/>
              </w:rPr>
            </w:pPr>
          </w:p>
        </w:tc>
      </w:tr>
    </w:tbl>
    <w:p>
      <w:pPr>
        <w:sectPr>
          <w:pgSz w:w="11900" w:h="16840" w:orient="portrait"/>
          <w:cols w:equalWidth="0" w:num="1">
            <w:col w:w="10120"/>
          </w:cols>
          <w:pgMar w:left="660" w:top="874" w:right="1120" w:bottom="1440" w:gutter="0" w:footer="0" w:header="0"/>
          <w:type w:val="continuous"/>
        </w:sectPr>
      </w:pPr>
    </w:p>
    <w:bookmarkStart w:id="163" w:name="page164"/>
    <w:bookmarkEnd w:id="1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Natural Persons and Entities</w:t>
            </w:r>
          </w:p>
        </w:tc>
        <w:tc>
          <w:tcPr>
            <w:tcW w:w="100" w:type="dxa"/>
            <w:vAlign w:val="bottom"/>
          </w:tcPr>
          <w:p>
            <w:pPr>
              <w:spacing w:after="0"/>
              <w:rPr>
                <w:sz w:val="13"/>
                <w:szCs w:val="13"/>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Exceptions to Transfer</w:t>
            </w:r>
          </w:p>
        </w:tc>
      </w:tr>
      <w:tr>
        <w:trPr>
          <w:trHeight w:val="171"/>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Subject Securities</w:t>
            </w:r>
          </w:p>
        </w:tc>
        <w:tc>
          <w:tcPr>
            <w:tcW w:w="460" w:type="dxa"/>
            <w:vAlign w:val="bottom"/>
          </w:tcPr>
          <w:p>
            <w:pPr>
              <w:spacing w:after="0"/>
              <w:rPr>
                <w:sz w:val="14"/>
                <w:szCs w:val="14"/>
                <w:color w:val="auto"/>
              </w:rPr>
            </w:pPr>
          </w:p>
        </w:tc>
        <w:tc>
          <w:tcPr>
            <w:tcW w:w="28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18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Subject to Restrictions</w:t>
            </w:r>
          </w:p>
        </w:tc>
        <w:tc>
          <w:tcPr>
            <w:tcW w:w="10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Restrictions</w:t>
            </w:r>
          </w:p>
        </w:tc>
      </w:tr>
      <w:tr>
        <w:trPr>
          <w:trHeight w:val="167"/>
        </w:trPr>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to these lock-up agreements at any time</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without notice, other than in the case of</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the officers and directors, which shall be</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with notice. Our sponsor, officers and</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directors are also subject to separate</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transfer restrictions on their founder</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shares and private placement units</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pursuant to the letter agreement</w:t>
            </w:r>
          </w:p>
        </w:tc>
      </w:tr>
      <w:tr>
        <w:trPr>
          <w:trHeight w:val="178"/>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described in the immediately preceding</w:t>
            </w:r>
          </w:p>
        </w:tc>
      </w:tr>
      <w:tr>
        <w:trPr>
          <w:trHeight w:val="199"/>
        </w:trPr>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paragraphs.</w:t>
            </w:r>
          </w:p>
        </w:tc>
      </w:tr>
    </w:tbl>
    <w:p>
      <w:pPr>
        <w:spacing w:after="0" w:line="168"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 -outs or other restrictions, or otherwise amend the terms of any such securities or enter into any other arrangements with respect to any such securities. We may also issue Class A ordinary shares upon conversion of the Class B ordinary shares at a ratio greater than one-to-one at the time of our initial business combination as a result of the anti-dilution provisions as set forth therein.</w:t>
      </w:r>
    </w:p>
    <w:p>
      <w:pPr>
        <w:spacing w:after="0" w:line="160" w:lineRule="exact"/>
        <w:rPr>
          <w:sz w:val="20"/>
          <w:szCs w:val="20"/>
          <w:color w:val="auto"/>
        </w:rPr>
      </w:pPr>
    </w:p>
    <w:p>
      <w:pPr>
        <w:ind w:left="460" w:right="120" w:firstLine="379"/>
        <w:spacing w:after="0" w:line="259" w:lineRule="auto"/>
        <w:rPr>
          <w:sz w:val="20"/>
          <w:szCs w:val="20"/>
          <w:color w:val="auto"/>
        </w:rPr>
      </w:pPr>
      <w:r>
        <w:rPr>
          <w:rFonts w:ascii="Times New Roman" w:cs="Times New Roman" w:eastAsia="Times New Roman" w:hAnsi="Times New Roman"/>
          <w:sz w:val="15"/>
          <w:szCs w:val="15"/>
          <w:color w:val="auto"/>
        </w:rPr>
        <w:t>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w:t>
      </w:r>
    </w:p>
    <w:p>
      <w:pPr>
        <w:spacing w:after="0" w:line="156" w:lineRule="exact"/>
        <w:rPr>
          <w:sz w:val="20"/>
          <w:szCs w:val="20"/>
          <w:color w:val="auto"/>
        </w:rPr>
      </w:pPr>
    </w:p>
    <w:p>
      <w:pPr>
        <w:ind w:left="460" w:right="320" w:firstLine="379"/>
        <w:spacing w:after="0" w:line="252" w:lineRule="auto"/>
        <w:rPr>
          <w:sz w:val="20"/>
          <w:szCs w:val="20"/>
          <w:color w:val="auto"/>
        </w:rPr>
      </w:pPr>
      <w:r>
        <w:rPr>
          <w:rFonts w:ascii="Times New Roman" w:cs="Times New Roman" w:eastAsia="Times New Roman" w:hAnsi="Times New Roman"/>
          <w:sz w:val="15"/>
          <w:szCs w:val="15"/>
          <w:color w:val="auto"/>
        </w:rPr>
        <w:t>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w:t>
      </w:r>
      <w:r>
        <w:rPr>
          <w:rFonts w:ascii="Times New Roman" w:cs="Times New Roman" w:eastAsia="Times New Roman" w:hAnsi="Times New Roman"/>
          <w:sz w:val="15"/>
          <w:szCs w:val="15"/>
          <w:b w:val="1"/>
          <w:bCs w:val="1"/>
          <w:color w:val="auto"/>
        </w:rPr>
        <w:t>See</w:t>
      </w:r>
      <w:r>
        <w:rPr>
          <w:rFonts w:ascii="Times New Roman" w:cs="Times New Roman" w:eastAsia="Times New Roman" w:hAnsi="Times New Roman"/>
          <w:sz w:val="15"/>
          <w:szCs w:val="15"/>
          <w:color w:val="auto"/>
        </w:rPr>
        <w:t>.</w:t>
      </w:r>
    </w:p>
    <w:p>
      <w:pPr>
        <w:spacing w:after="0" w:line="2" w:lineRule="exact"/>
        <w:rPr>
          <w:sz w:val="20"/>
          <w:szCs w:val="20"/>
          <w:color w:val="auto"/>
        </w:rPr>
      </w:pPr>
    </w:p>
    <w:p>
      <w:pPr>
        <w:ind w:left="460" w:right="680"/>
        <w:spacing w:after="0" w:line="262" w:lineRule="auto"/>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Summary — The Offering — Transfer restrictions applicable to founder shares, private investor shares, private placement shares and private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placement rights (and shares into which the rights convert).</w:t>
      </w:r>
      <w:r>
        <w:rPr>
          <w:rFonts w:ascii="Times New Roman" w:cs="Times New Roman" w:eastAsia="Times New Roman" w:hAnsi="Times New Roman"/>
          <w:sz w:val="15"/>
          <w:szCs w:val="15"/>
          <w:b w:val="1"/>
          <w:bCs w:val="1"/>
          <w:color w:val="auto"/>
        </w:rPr>
        <w:t>”</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Our Business Combination Process</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Sources of Target Businesses</w:t>
      </w:r>
    </w:p>
    <w:p>
      <w:pPr>
        <w:spacing w:after="0" w:line="104" w:lineRule="exact"/>
        <w:rPr>
          <w:sz w:val="20"/>
          <w:szCs w:val="20"/>
          <w:color w:val="auto"/>
        </w:rPr>
      </w:pPr>
    </w:p>
    <w:p>
      <w:pPr>
        <w:ind w:left="460" w:right="80" w:firstLine="379"/>
        <w:spacing w:after="0" w:line="265" w:lineRule="auto"/>
        <w:rPr>
          <w:sz w:val="20"/>
          <w:szCs w:val="20"/>
          <w:color w:val="auto"/>
        </w:rPr>
      </w:pPr>
      <w:r>
        <w:rPr>
          <w:rFonts w:ascii="Times New Roman" w:cs="Times New Roman" w:eastAsia="Times New Roman" w:hAnsi="Times New Roman"/>
          <w:sz w:val="15"/>
          <w:szCs w:val="15"/>
          <w:color w:val="auto"/>
        </w:rPr>
        <w:t>We expect to evaluate opportunities that are sourced through the relationship networks of Dr. Katz and our combined management and advisory team, which includes numerous entrepreneurs, management teams, intermediaries and venture capital funds. Dr. Katz and our combined management and advisory team has considerable expertise in the evaluation of technology investments.</w:t>
      </w:r>
    </w:p>
    <w:p>
      <w:pPr>
        <w:spacing w:after="0" w:line="1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151</w:t>
      </w:r>
    </w:p>
    <w:p>
      <w:pPr>
        <w:sectPr>
          <w:pgSz w:w="11900" w:h="16840" w:orient="portrait"/>
          <w:cols w:equalWidth="0" w:num="1">
            <w:col w:w="10160"/>
          </w:cols>
          <w:pgMar w:left="660" w:top="874" w:right="1080" w:bottom="1440" w:gutter="0" w:footer="0" w:header="0"/>
        </w:sectPr>
      </w:pPr>
    </w:p>
    <w:bookmarkStart w:id="164" w:name="page165"/>
    <w:bookmarkEnd w:id="1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firstLine="379"/>
        <w:spacing w:after="0" w:line="248" w:lineRule="auto"/>
        <w:rPr>
          <w:sz w:val="20"/>
          <w:szCs w:val="20"/>
          <w:color w:val="auto"/>
        </w:rPr>
      </w:pPr>
      <w:r>
        <w:rPr>
          <w:rFonts w:ascii="Times New Roman" w:cs="Times New Roman" w:eastAsia="Times New Roman" w:hAnsi="Times New Roman"/>
          <w:sz w:val="15"/>
          <w:szCs w:val="15"/>
          <w:color w:val="auto"/>
        </w:rPr>
        <w:t>While we have not yet identified any acquisition candidates, we believe based on our combined team’s business knowledge and past experience that there are numerous acquisition candidates. We expect that our principal means of identifying potential target businesses will be through the extensive contacts and relationships of our combined management and advisory team. Although our sponsor, executive officers and directors are not required to commit any specific amount of time in identifying or performing due diligence on potential target businesses, our sponsor, executive officers and directors, as augmented by our advisors, believe that the relationships they have developed collectively over their careers and their access to their contacts and resources will generate a number of potential business combination opportunities that will warrant further investigation. We also anticipate that target business candidates may also be brought to our attention from various unaffiliated sources, including investment bankers, including the underwriters,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 Our sponsor, executive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Our sponsor, executive officers and directors must present to us all target business opportunities in the sectors of the A&amp;D services, cybersecurity and secured communications and quantum- based command and control systems, and AI and ML industries that we are focusing on and that have a fair market value of at least 80% of the assets held in the trust account (excluding any taxes payable on the interest earned, if any)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In no event, however, will our sponsor, executive officers, directors or their respective affiliates be paid any finder’s fee, consulting fee or other compensation prior to, or for any services they render in order to effectuate, the consummation of an initial business combination (regardless of the type of transaction that it is) other than the $30,000 monthly administrative services fee, the repayment of any loans, including but not limited to the sponsor note, from our sponsor, officers and directors for working capital purposes and reimbursement of any out-of-pocket expenses.</w:t>
      </w:r>
    </w:p>
    <w:p>
      <w:pPr>
        <w:spacing w:after="0" w:line="355"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color w:val="auto"/>
        </w:rPr>
        <w:t>Our audit committee will review and approve all reimbursements and payments made to our sponsor, executive officers, directors or their respective affiliates, with any interested director abstaining from such review and approval. We have no present intention to enter into a business combination with a target business that is affiliated with any of our sponsor, executive officers, directors or their respective affiliates. However, we are not restricted from entering into any such transactions and may do so if (i) such transaction is approved by a majority of our disinterested independent directors and (ii) we obtain an opinion from an independent investment banking firm, or another independent entity that commonly renders valuation opinions on the type of target business we are seeking to acquire, that the business combination is fair to our unaffiliated shareholders from a financial point of view. In such event, neither the sponsor, nor any executive officer or director, will be entitled to receive or accept a finder’s fee or any other compensation in the event such party originates a business combination.</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Selection of a Target Business and Structuring of a Business Combination</w:t>
      </w:r>
    </w:p>
    <w:p>
      <w:pPr>
        <w:spacing w:after="0" w:line="104" w:lineRule="exact"/>
        <w:rPr>
          <w:sz w:val="20"/>
          <w:szCs w:val="20"/>
          <w:color w:val="auto"/>
        </w:rPr>
      </w:pPr>
    </w:p>
    <w:p>
      <w:pPr>
        <w:ind w:left="460" w:firstLine="379"/>
        <w:spacing w:after="0" w:line="255" w:lineRule="auto"/>
        <w:rPr>
          <w:sz w:val="20"/>
          <w:szCs w:val="20"/>
          <w:color w:val="auto"/>
        </w:rPr>
      </w:pPr>
      <w:r>
        <w:rPr>
          <w:rFonts w:ascii="Times New Roman" w:cs="Times New Roman" w:eastAsia="Times New Roman" w:hAnsi="Times New Roman"/>
          <w:sz w:val="15"/>
          <w:szCs w:val="15"/>
          <w:color w:val="auto"/>
        </w:rPr>
        <w:t>Subject to our executive officers’ and directors’ pre-existing fiduciary duties and the limitations that a target business have a fair market value of at least 80% of the balance in the trust account (excluding any taxes payable on the interest earned, if any)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Except for the general criteria and guidelines set forth above under the caption “</w:t>
      </w:r>
      <w:r>
        <w:rPr>
          <w:rFonts w:ascii="Times New Roman" w:cs="Times New Roman" w:eastAsia="Times New Roman" w:hAnsi="Times New Roman"/>
          <w:sz w:val="15"/>
          <w:szCs w:val="15"/>
          <w:i w:val="1"/>
          <w:iCs w:val="1"/>
          <w:color w:val="auto"/>
        </w:rPr>
        <w:t>Investment Criteria</w:t>
      </w:r>
      <w:r>
        <w:rPr>
          <w:rFonts w:ascii="Times New Roman" w:cs="Times New Roman" w:eastAsia="Times New Roman" w:hAnsi="Times New Roman"/>
          <w:sz w:val="15"/>
          <w:szCs w:val="15"/>
          <w:color w:val="auto"/>
        </w:rPr>
        <w:t>,” we have not established any specific attributes or criteria (financial or otherwise) for prospective</w:t>
      </w:r>
    </w:p>
    <w:p>
      <w:pPr>
        <w:spacing w:after="0" w:line="3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152</w:t>
      </w:r>
    </w:p>
    <w:p>
      <w:pPr>
        <w:sectPr>
          <w:pgSz w:w="11900" w:h="16840" w:orient="portrait"/>
          <w:cols w:equalWidth="0" w:num="1">
            <w:col w:w="10140"/>
          </w:cols>
          <w:pgMar w:left="660" w:top="874" w:right="1100" w:bottom="1440" w:gutter="0" w:footer="0" w:header="0"/>
        </w:sectPr>
      </w:pPr>
    </w:p>
    <w:bookmarkStart w:id="165" w:name="page166"/>
    <w:bookmarkEnd w:id="1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acquisition targets. In evaluating a prospective target business, our management may consider a variety of factors, including one or more of the following:</w:t>
      </w:r>
    </w:p>
    <w:p>
      <w:pPr>
        <w:spacing w:after="0" w:line="124" w:lineRule="exact"/>
        <w:rPr>
          <w:sz w:val="20"/>
          <w:szCs w:val="20"/>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condition and results of operation;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size and growth potential;</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brand recognition and potential;</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and skill of management and availability of additional personnel;</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requirements;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position;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barriers to entry;</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stage of development of the products, processes or services;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existing distribution and potential for expansion;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degree of current or potential market acceptance of the products, processes or services;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proprietary aspects of products and the extent of intellectual property or other protection for products or formulas;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impact of regulation on the business;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environment of the industry;</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effecting the business combination;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industry leadership, sustainability of market share and attractiveness of market industries in which a target business participates;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macro competitive dynamics in the industry within which the company competes;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fit, cooperation and coachability of management team.</w:t>
      </w:r>
    </w:p>
    <w:p>
      <w:pPr>
        <w:spacing w:after="0" w:line="195" w:lineRule="exact"/>
        <w:rPr>
          <w:sz w:val="20"/>
          <w:szCs w:val="20"/>
          <w:color w:val="auto"/>
        </w:rPr>
      </w:pPr>
    </w:p>
    <w:p>
      <w:pPr>
        <w:ind w:left="460" w:right="60" w:firstLine="379"/>
        <w:spacing w:after="0" w:line="254" w:lineRule="auto"/>
        <w:rPr>
          <w:sz w:val="20"/>
          <w:szCs w:val="20"/>
          <w:color w:val="auto"/>
        </w:rPr>
      </w:pPr>
      <w:r>
        <w:rPr>
          <w:rFonts w:ascii="Times New Roman" w:cs="Times New Roman" w:eastAsia="Times New Roman" w:hAnsi="Times New Roman"/>
          <w:sz w:val="15"/>
          <w:szCs w:val="15"/>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60" w:lineRule="exact"/>
        <w:rPr>
          <w:sz w:val="20"/>
          <w:szCs w:val="20"/>
          <w:color w:val="auto"/>
        </w:rPr>
      </w:pPr>
    </w:p>
    <w:p>
      <w:pPr>
        <w:ind w:left="460" w:right="240" w:firstLine="379"/>
        <w:spacing w:after="0" w:line="259" w:lineRule="auto"/>
        <w:rPr>
          <w:sz w:val="20"/>
          <w:szCs w:val="20"/>
          <w:color w:val="auto"/>
        </w:rPr>
      </w:pPr>
      <w:r>
        <w:rPr>
          <w:rFonts w:ascii="Times New Roman" w:cs="Times New Roman" w:eastAsia="Times New Roman" w:hAnsi="Times New Roman"/>
          <w:sz w:val="15"/>
          <w:szCs w:val="15"/>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Fair Market Value of Target Business</w:t>
      </w:r>
    </w:p>
    <w:p>
      <w:pPr>
        <w:spacing w:after="0" w:line="104"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The target business or businesses that we acquire must collectively have a fair market value equal to at least 80% of the balance of the funds in the trust account (excluding any taxes payable on the interest earned, if any) at the time of the execution of a definitive agreement for our initial business combination, although we may acquire a target business whose fair market value significantly exceeds 80% of the trust account balance. Such initial business combination must be approved by a majority of the company’s independent directors.</w:t>
      </w:r>
    </w:p>
    <w:p>
      <w:pPr>
        <w:spacing w:after="0" w:line="1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153</w:t>
      </w:r>
    </w:p>
    <w:p>
      <w:pPr>
        <w:sectPr>
          <w:pgSz w:w="11900" w:h="16840" w:orient="portrait"/>
          <w:cols w:equalWidth="0" w:num="1">
            <w:col w:w="10160"/>
          </w:cols>
          <w:pgMar w:left="660" w:top="874" w:right="1080" w:bottom="1440" w:gutter="0" w:footer="0" w:header="0"/>
        </w:sectPr>
      </w:pPr>
    </w:p>
    <w:bookmarkStart w:id="166" w:name="page167"/>
    <w:bookmarkEnd w:id="1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firstLine="379"/>
        <w:spacing w:after="0" w:line="248" w:lineRule="auto"/>
        <w:rPr>
          <w:sz w:val="20"/>
          <w:szCs w:val="20"/>
          <w:color w:val="auto"/>
        </w:rPr>
      </w:pPr>
      <w:r>
        <w:rPr>
          <w:rFonts w:ascii="Times New Roman" w:cs="Times New Roman" w:eastAsia="Times New Roman" w:hAnsi="Times New Roman"/>
          <w:sz w:val="15"/>
          <w:szCs w:val="15"/>
          <w:color w:val="auto"/>
        </w:rPr>
        <w:t>We currently anticipate structuring a business combination involving 100% of the equity interests or assets of an acquisition target(s). We may, however, structure our initial business combination where we merge directly with the target business or involving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fundraising arrangement and have no current intention of doing so. The fair market value of the target will be determined by our board of directors based upon one or more standards generally accepted by the financial community (such as actual and potential sales, earnings, cash flow, valuation of the specific market segment of the target and/or book value). The proxy solicitation materials or tender offer documents used by us in connection with any proposed transaction will provide public shareholders with our analysis of the fair market value of the target business, as well as the basis for our determinations. If our board of directors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investment banking firm as to the fair market value if our board of directors independently determines that the target business complies with the 80% threshold.</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Lack of business diversification</w:t>
      </w:r>
    </w:p>
    <w:p>
      <w:pPr>
        <w:spacing w:after="0" w:line="104" w:lineRule="exact"/>
        <w:rPr>
          <w:sz w:val="20"/>
          <w:szCs w:val="20"/>
          <w:color w:val="auto"/>
        </w:rPr>
      </w:pPr>
    </w:p>
    <w:p>
      <w:pPr>
        <w:ind w:left="460" w:right="20" w:firstLine="379"/>
        <w:spacing w:after="0" w:line="259" w:lineRule="auto"/>
        <w:rPr>
          <w:sz w:val="20"/>
          <w:szCs w:val="20"/>
          <w:color w:val="auto"/>
        </w:rPr>
      </w:pPr>
      <w:r>
        <w:rPr>
          <w:rFonts w:ascii="Times New Roman" w:cs="Times New Roman" w:eastAsia="Times New Roman" w:hAnsi="Times New Roman"/>
          <w:sz w:val="15"/>
          <w:szCs w:val="15"/>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91" w:lineRule="exact"/>
        <w:rPr>
          <w:sz w:val="20"/>
          <w:szCs w:val="20"/>
          <w:color w:val="auto"/>
        </w:rPr>
      </w:pPr>
    </w:p>
    <w:p>
      <w:pPr>
        <w:ind w:left="1300" w:right="140" w:hanging="371"/>
        <w:spacing w:after="0" w:line="284" w:lineRule="auto"/>
        <w:tabs>
          <w:tab w:leader="none" w:pos="13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2"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us to depend on the marketing and sale of a single product or limited number of products or services.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Limited ability to evaluate the target’s management team</w:t>
      </w:r>
    </w:p>
    <w:p>
      <w:pPr>
        <w:spacing w:after="0" w:line="104" w:lineRule="exact"/>
        <w:rPr>
          <w:sz w:val="20"/>
          <w:szCs w:val="20"/>
          <w:color w:val="auto"/>
        </w:rPr>
      </w:pPr>
    </w:p>
    <w:p>
      <w:pPr>
        <w:ind w:left="460" w:right="360" w:firstLine="379"/>
        <w:spacing w:after="0" w:line="284" w:lineRule="auto"/>
        <w:rPr>
          <w:sz w:val="20"/>
          <w:szCs w:val="20"/>
          <w:color w:val="auto"/>
        </w:rPr>
      </w:pPr>
      <w:r>
        <w:rPr>
          <w:rFonts w:ascii="Times New Roman" w:cs="Times New Roman" w:eastAsia="Times New Roman" w:hAnsi="Times New Roman"/>
          <w:sz w:val="15"/>
          <w:szCs w:val="15"/>
          <w:color w:val="auto"/>
        </w:rPr>
        <w:t>Although we intend to closely scrutinize the management of a prospective target business when evaluating the desirability of effecting our initial business combination with that business, our assessment of a target</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154</w:t>
      </w:r>
    </w:p>
    <w:p>
      <w:pPr>
        <w:sectPr>
          <w:pgSz w:w="11900" w:h="16840" w:orient="portrait"/>
          <w:cols w:equalWidth="0" w:num="1">
            <w:col w:w="10100"/>
          </w:cols>
          <w:pgMar w:left="660" w:top="874" w:right="1140" w:bottom="1440" w:gutter="0" w:footer="0" w:header="0"/>
        </w:sectPr>
      </w:pPr>
    </w:p>
    <w:bookmarkStart w:id="167" w:name="page168"/>
    <w:bookmarkEnd w:id="1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spacing w:after="0" w:line="253" w:lineRule="auto"/>
        <w:rPr>
          <w:sz w:val="20"/>
          <w:szCs w:val="20"/>
          <w:color w:val="auto"/>
        </w:rPr>
      </w:pPr>
      <w:r>
        <w:rPr>
          <w:rFonts w:ascii="Times New Roman" w:cs="Times New Roman" w:eastAsia="Times New Roman" w:hAnsi="Times New Roman"/>
          <w:sz w:val="15"/>
          <w:szCs w:val="15"/>
          <w:color w:val="auto"/>
        </w:rPr>
        <w:t>business’ management may not prove to be correct. Moreover, members of our management team may not have significant experience or knowledge relating to the operations of the particular target business. The future role of members of our management team, if any, in a post-transaction company cannot presently be stated with any certainty. Consequently, members of our management team may not become a part of the post-transaction company’s management team or serve it in advisory positions, and the future management may not have the necessary skills, qualifications or abilities to manage a public company. Further, it is also not certain whether one or more of our directors will remain associated with the post-transaction company in some capacity following our initial business combination. The determination as to whether any of our key personnel will remain with the post-transaction company will be made at the time of our initial business combination.</w:t>
      </w:r>
    </w:p>
    <w:p>
      <w:pPr>
        <w:spacing w:after="0" w:line="160"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Following our initial business combination, we may seek to recruit additional managers to supplement the incumbent management of the target business. However, we may not have the ability to recruit additional managers, or to locate additional managers who will have the requisite skills, knowledge or experience necessary to enhance the incumbent management.</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Shareholders May Not Have the Ability to Approve an Initial Business Combination</w:t>
      </w:r>
    </w:p>
    <w:p>
      <w:pPr>
        <w:spacing w:after="0" w:line="104" w:lineRule="exact"/>
        <w:rPr>
          <w:sz w:val="20"/>
          <w:szCs w:val="20"/>
          <w:color w:val="auto"/>
        </w:rPr>
      </w:pPr>
    </w:p>
    <w:p>
      <w:pPr>
        <w:ind w:left="460" w:right="20" w:firstLine="379"/>
        <w:spacing w:after="0" w:line="253" w:lineRule="auto"/>
        <w:rPr>
          <w:sz w:val="20"/>
          <w:szCs w:val="20"/>
          <w:color w:val="auto"/>
        </w:rPr>
      </w:pPr>
      <w:r>
        <w:rPr>
          <w:rFonts w:ascii="Times New Roman" w:cs="Times New Roman" w:eastAsia="Times New Roman" w:hAnsi="Times New Roman"/>
          <w:sz w:val="15"/>
          <w:szCs w:val="15"/>
          <w:color w:val="auto"/>
        </w:rPr>
        <w:t>In connection with any proposed business combination, 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 We will seek shareholder approval if it is required by applicable law or stock exchange listing requirement, provided, that we may also decide to seek shareholder approval for business or other reasons.</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Under the Nasdaq listing rules, shareholder approval would be required for our initial business combination if, for example:</w:t>
      </w:r>
    </w:p>
    <w:p>
      <w:pPr>
        <w:spacing w:after="0" w:line="230" w:lineRule="exact"/>
        <w:rPr>
          <w:sz w:val="20"/>
          <w:szCs w:val="20"/>
          <w:color w:val="auto"/>
        </w:rPr>
      </w:pPr>
    </w:p>
    <w:p>
      <w:pPr>
        <w:ind w:left="1300" w:right="100" w:hanging="371"/>
        <w:spacing w:after="0" w:line="284" w:lineRule="auto"/>
        <w:tabs>
          <w:tab w:leader="none" w:pos="13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issue (other than in a public offering for cash) ordinary shares that will either (a) be equal to or in excess of 20% of the number of ordinary shares then outstanding or (b) have voting power equal to or in excess of 20% of the voting power then outstanding;</w:t>
      </w:r>
    </w:p>
    <w:p>
      <w:pPr>
        <w:spacing w:after="0" w:line="65" w:lineRule="exact"/>
        <w:rPr>
          <w:rFonts w:ascii="Times New Roman" w:cs="Times New Roman" w:eastAsia="Times New Roman" w:hAnsi="Times New Roman"/>
          <w:sz w:val="15"/>
          <w:szCs w:val="15"/>
          <w:color w:val="auto"/>
        </w:rPr>
      </w:pPr>
    </w:p>
    <w:p>
      <w:pPr>
        <w:ind w:left="1300" w:right="60" w:hanging="371"/>
        <w:spacing w:after="0" w:line="256" w:lineRule="auto"/>
        <w:tabs>
          <w:tab w:leader="none" w:pos="13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our directors, officers or substantial security holders (as defined by the Nasdaq rules) has a 5% or greater interest, directly or indirectly, in the target business or assets to be acquired and if the number of ordinary shares to be issued, or if the number of ordinary shares into which the securities may be convertible or exercisable, exceeds either (a) 1% of the number of ordinary shares or 1% of the voting power outstanding before the issuance in the case of any of our directors and officers or (b) 5% of the number of ordinary shares or 5% of the voting power outstanding before the issuance in the case of any substantial security holders; or</w:t>
      </w:r>
    </w:p>
    <w:p>
      <w:pPr>
        <w:spacing w:after="0" w:line="86"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or potential issuance of ordinary shares will result in our undergoing a change of control.</w:t>
      </w:r>
    </w:p>
    <w:p>
      <w:pPr>
        <w:spacing w:after="0" w:line="195" w:lineRule="exact"/>
        <w:rPr>
          <w:sz w:val="20"/>
          <w:szCs w:val="20"/>
          <w:color w:val="auto"/>
        </w:rPr>
      </w:pPr>
    </w:p>
    <w:p>
      <w:pPr>
        <w:ind w:left="460" w:right="140" w:firstLine="379"/>
        <w:spacing w:after="0" w:line="259" w:lineRule="auto"/>
        <w:rPr>
          <w:sz w:val="20"/>
          <w:szCs w:val="20"/>
          <w:color w:val="auto"/>
        </w:rPr>
      </w:pPr>
      <w:r>
        <w:rPr>
          <w:rFonts w:ascii="Times New Roman" w:cs="Times New Roman" w:eastAsia="Times New Roman" w:hAnsi="Times New Roman"/>
          <w:sz w:val="15"/>
          <w:szCs w:val="15"/>
          <w:color w:val="auto"/>
        </w:rPr>
        <w:t>If we determine to engage in a tender offer, such tender offer will be structured so that each shareholder may tender any or all of his, her or its shares rather than some pro rata portion of his, her or its shares. The decision as to whether we will seek shareholder approval of a proposed business combination or will allow shareholders to sell their shares to us in a tender offer will be made by us, solely in our discretion, and will be based on business and legal reasons, which include a variety of factors, including, but not limited to:</w:t>
      </w:r>
    </w:p>
    <w:p>
      <w:pPr>
        <w:spacing w:after="0" w:line="85" w:lineRule="exact"/>
        <w:rPr>
          <w:sz w:val="20"/>
          <w:szCs w:val="20"/>
          <w:color w:val="auto"/>
        </w:rPr>
      </w:pPr>
    </w:p>
    <w:p>
      <w:pPr>
        <w:ind w:left="1300" w:right="60" w:hanging="371"/>
        <w:spacing w:after="0" w:line="265" w:lineRule="auto"/>
        <w:tabs>
          <w:tab w:leader="none" w:pos="13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the proposed transaction, including in the event we determine shareholder approval would require additional time and there is either not enough time to seek shareholder approval or doing so would place us at a disadvantage in the transaction or result in other additional burdens on us;</w:t>
      </w:r>
    </w:p>
    <w:p>
      <w:pPr>
        <w:spacing w:after="0" w:line="80"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cost of holding a shareholder vote;</w:t>
      </w:r>
    </w:p>
    <w:p>
      <w:pPr>
        <w:spacing w:after="0" w:line="15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155</w:t>
      </w:r>
    </w:p>
    <w:p>
      <w:pPr>
        <w:sectPr>
          <w:pgSz w:w="11900" w:h="16840" w:orient="portrait"/>
          <w:cols w:equalWidth="0" w:num="1">
            <w:col w:w="10160"/>
          </w:cols>
          <w:pgMar w:left="660" w:top="874" w:right="1080" w:bottom="1440" w:gutter="0" w:footer="0" w:header="0"/>
        </w:sectPr>
      </w:pPr>
    </w:p>
    <w:bookmarkStart w:id="168" w:name="page169"/>
    <w:bookmarkEnd w:id="1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hanging="371"/>
        <w:spacing w:after="0"/>
        <w:tabs>
          <w:tab w:leader="none" w:pos="13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our shareholders would fail to approve the initial business combination;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time and budget constraints; and</w:t>
      </w:r>
    </w:p>
    <w:p>
      <w:pPr>
        <w:spacing w:after="0" w:line="123" w:lineRule="exact"/>
        <w:rPr>
          <w:rFonts w:ascii="Times New Roman" w:cs="Times New Roman" w:eastAsia="Times New Roman" w:hAnsi="Times New Roman"/>
          <w:sz w:val="15"/>
          <w:szCs w:val="15"/>
          <w:color w:val="auto"/>
        </w:rPr>
      </w:pPr>
    </w:p>
    <w:p>
      <w:pPr>
        <w:ind w:left="1300" w:right="580" w:hanging="371"/>
        <w:spacing w:after="0" w:line="284" w:lineRule="auto"/>
        <w:tabs>
          <w:tab w:leader="none" w:pos="13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additional legal complexities of an initial business combination that would be time-consuming and burdensome to present to shareholders.</w:t>
      </w:r>
    </w:p>
    <w:p>
      <w:pPr>
        <w:spacing w:after="0" w:line="137"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Unlike other blank check companies which require shareholder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shareholder vote and allow our shareholders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158" w:lineRule="exact"/>
        <w:rPr>
          <w:sz w:val="20"/>
          <w:szCs w:val="20"/>
          <w:color w:val="auto"/>
        </w:rPr>
      </w:pPr>
    </w:p>
    <w:p>
      <w:pPr>
        <w:ind w:left="460" w:right="80" w:firstLine="379"/>
        <w:spacing w:after="0" w:line="251" w:lineRule="auto"/>
        <w:rPr>
          <w:sz w:val="20"/>
          <w:szCs w:val="20"/>
          <w:color w:val="auto"/>
        </w:rPr>
      </w:pPr>
      <w:r>
        <w:rPr>
          <w:rFonts w:ascii="Times New Roman" w:cs="Times New Roman" w:eastAsia="Times New Roman" w:hAnsi="Times New Roman"/>
          <w:sz w:val="15"/>
          <w:szCs w:val="15"/>
          <w:color w:val="auto"/>
        </w:rPr>
        <w:t>Our sponsor, directors, Lynrock and non-managing investors will agree to vote their founder shares, private investor shares and private placement shares in favor of any proposed business combination. In addition, the sponsor, executive officers and directors will agree (1) not to redeem any ordinary shares in connection with a shareholder vote to approve a proposed initial business combination or in connection with a shareholder vote to approve an amendment to our memorandum and articles of association, (A) to modify the substance or timing of our obligation to redeem 100% of our outstanding public shares if we do not timely complete a business combination or (B) with respect to any other provision relating to shareholders’ rights or pre -business combination activity and (2) not sell any ordinary shares in any tender in connection with a proposed initial business combination. As a result, we would need only approximately 11,419,506 public shares, or approximately 51.91% of the 22,000,000 public shares sold in this offering to be voted in favor of a transaction in order to have our initial business combination approved (assuming (i) the over-allotment option is not exercised and all shares were present and entitled to vote at the meeting, (ii) 1,023,943 founder shares and 386,681 private investor shares have been forfeited and (iii) there are 337,675 private placement shares included in the private placement units outstanding).</w:t>
      </w:r>
    </w:p>
    <w:p>
      <w:pPr>
        <w:spacing w:after="0" w:line="162" w:lineRule="exact"/>
        <w:rPr>
          <w:sz w:val="20"/>
          <w:szCs w:val="20"/>
          <w:color w:val="auto"/>
        </w:rPr>
      </w:pPr>
    </w:p>
    <w:p>
      <w:pPr>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None of our sponsor, executive officers, directors, or their affiliates has indicated any intention to purchase public units or public shares in this offering or from persons on the open market or in private transactions. However, our sponsor, executive officers and directors will agree to vote any public shares they may hold in favor of our initial business combination.</w:t>
      </w:r>
    </w:p>
    <w:p>
      <w:pPr>
        <w:spacing w:after="0" w:line="151" w:lineRule="exact"/>
        <w:rPr>
          <w:sz w:val="20"/>
          <w:szCs w:val="20"/>
          <w:color w:val="auto"/>
        </w:rPr>
      </w:pPr>
    </w:p>
    <w:p>
      <w:pPr>
        <w:ind w:left="460" w:right="60" w:firstLine="379"/>
        <w:spacing w:after="0" w:line="256" w:lineRule="auto"/>
        <w:rPr>
          <w:sz w:val="20"/>
          <w:szCs w:val="20"/>
          <w:color w:val="auto"/>
        </w:rPr>
      </w:pPr>
      <w:r>
        <w:rPr>
          <w:rFonts w:ascii="Times New Roman" w:cs="Times New Roman" w:eastAsia="Times New Roman" w:hAnsi="Times New Roman"/>
          <w:sz w:val="15"/>
          <w:szCs w:val="15"/>
          <w:color w:val="auto"/>
        </w:rPr>
        <w:t>However, if we hold a meeting to approve a proposed business combination and a significant number of shareholders vote, or indicate an intention to vote, against such proposed business combination, our sponsor, executive officers, directors, or their affiliates could make such purchases on the open market or in private transactions in order to influence the vote. Notwithstanding the foregoing, our sponsor, executive officers, directors, and their affiliates will not make purchases of public shares if the purchases would violate Section 9(a)(2) or Rule 10b-5 of the Exchange Act, which are rules designed to stop potential manipulation of a company’s stock.</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Redemption Rights</w:t>
      </w:r>
    </w:p>
    <w:p>
      <w:pPr>
        <w:spacing w:after="0" w:line="104"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At any meeting called to approve an initial business combination, public shareholders (but not our sponsor, executive officers and directors) may seek to redeem their public shares, regardless of whether they vote for or against the proposed business combination, by converting such shares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net of taxes). Alternatively, we may provide our public shareholders (but not our sponsor, executive officers and directors) with the opportunity to sell their public shares to us through a tender offer (and thereby avoid the need for a shareholder vote) for an amount equal to their pro rata share of the</w:t>
      </w:r>
    </w:p>
    <w:p>
      <w:pPr>
        <w:spacing w:after="0" w:line="1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156</w:t>
      </w:r>
    </w:p>
    <w:p>
      <w:pPr>
        <w:sectPr>
          <w:pgSz w:w="11900" w:h="16840" w:orient="portrait"/>
          <w:cols w:equalWidth="0" w:num="1">
            <w:col w:w="10120"/>
          </w:cols>
          <w:pgMar w:left="660" w:top="874" w:right="1120" w:bottom="1440" w:gutter="0" w:footer="0" w:header="0"/>
        </w:sectPr>
      </w:pPr>
    </w:p>
    <w:bookmarkStart w:id="169" w:name="page170"/>
    <w:bookmarkEnd w:id="1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50" w:lineRule="auto"/>
        <w:rPr>
          <w:sz w:val="20"/>
          <w:szCs w:val="20"/>
          <w:color w:val="auto"/>
        </w:rPr>
      </w:pPr>
      <w:r>
        <w:rPr>
          <w:rFonts w:ascii="Times New Roman" w:cs="Times New Roman" w:eastAsia="Times New Roman" w:hAnsi="Times New Roman"/>
          <w:sz w:val="15"/>
          <w:szCs w:val="15"/>
          <w:color w:val="auto"/>
        </w:rPr>
        <w:t>aggregate amount then on deposit in the trust account, less any taxes then due but not yet paid. Our sponsor, executive officers and directors will enter into a letter agreement with us, pursuant to which they will agree to waive their redemption rights with respect to all ordinary shares in connection with the completion of our initial business combination.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 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as further discussed in this prospectus.</w:t>
      </w:r>
    </w:p>
    <w:p>
      <w:pPr>
        <w:spacing w:after="0" w:line="167"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We may also require public shareholders seeking redemption, whether they are a record holder or hold their shares in “street name,” to either (i) 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56" w:lineRule="exact"/>
        <w:rPr>
          <w:sz w:val="20"/>
          <w:szCs w:val="20"/>
          <w:color w:val="auto"/>
        </w:rPr>
      </w:pPr>
    </w:p>
    <w:p>
      <w:pPr>
        <w:ind w:left="460" w:right="140" w:firstLine="379"/>
        <w:spacing w:after="0" w:line="253" w:lineRule="auto"/>
        <w:rPr>
          <w:sz w:val="20"/>
          <w:szCs w:val="20"/>
          <w:color w:val="auto"/>
        </w:rPr>
      </w:pPr>
      <w:r>
        <w:rPr>
          <w:rFonts w:ascii="Times New Roman" w:cs="Times New Roman" w:eastAsia="Times New Roman" w:hAnsi="Times New Roman"/>
          <w:sz w:val="15"/>
          <w:szCs w:val="15"/>
          <w:color w:val="auto"/>
        </w:rPr>
        <w:t>There is a nominal cost associated with the above- referenced delivery process and the act of certificating the shares or delivering them through the DWAC System. The transfer agent will typically charge the tendering broker $80.00 and it would be up to the broker whether or not to pass this cost on to the holder. This fee would be incurred regardless of whether or not we require holders seeking to exercise redemption rights to do so prior to the time that we know that the proposed business combination will be consummated. The need to deliver shares is a requirement of exercising redemption rights regardless of the timing of when such delivery must be effectuated. Thus, in the event we require shareholders seeking to exercise redemption rights to deliver their shares prior to the consummation of the proposed business combination and the proposed business combination is not consummated, this may result in an increased cost to shareholders.</w:t>
      </w:r>
    </w:p>
    <w:p>
      <w:pPr>
        <w:spacing w:after="0" w:line="160" w:lineRule="exact"/>
        <w:rPr>
          <w:sz w:val="20"/>
          <w:szCs w:val="20"/>
          <w:color w:val="auto"/>
        </w:rPr>
      </w:pPr>
    </w:p>
    <w:p>
      <w:pPr>
        <w:ind w:left="460" w:right="40" w:firstLine="379"/>
        <w:spacing w:after="0" w:line="250" w:lineRule="auto"/>
        <w:rPr>
          <w:sz w:val="20"/>
          <w:szCs w:val="20"/>
          <w:color w:val="auto"/>
        </w:rPr>
      </w:pPr>
      <w:r>
        <w:rPr>
          <w:rFonts w:ascii="Times New Roman" w:cs="Times New Roman" w:eastAsia="Times New Roman" w:hAnsi="Times New Roman"/>
          <w:sz w:val="15"/>
          <w:szCs w:val="15"/>
          <w:color w:val="auto"/>
        </w:rPr>
        <w:t xml:space="preserve">Any proxy solicitation materials we furnish to shareholders in connection with a vote for any proposed business combination will indicate whether we are requiring shareholders to satisfy such certification and delivery requirements. Accordingly, a shareholder would have from the time the shareholder received our proxy statement up until the time designated in the proxy statement to deliver his, her or its shares if he, she or it wishes to seek to exercise his, her or its redemption rights. This time period varies depending on the specific facts of each transaction. However, as the delivery process can be accomplished by the shareholder, whether or not he, she or it is a record holder or his, her or its shares are held in “street name,” in a matter of hours by simply contacting the transfer agent or his, her or its broker and requesting delivery of his her or its shares through the DWAC System, we believe this time period is sufficient for an average investor. However, we cannot assure you of this fact. </w:t>
      </w: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Risk Factors—Risks Relating to our Search for, and</w:t>
      </w:r>
    </w:p>
    <w:p>
      <w:pPr>
        <w:spacing w:after="0" w:line="2" w:lineRule="exact"/>
        <w:rPr>
          <w:sz w:val="20"/>
          <w:szCs w:val="20"/>
          <w:color w:val="auto"/>
        </w:rPr>
      </w:pPr>
    </w:p>
    <w:p>
      <w:pPr>
        <w:ind w:left="460" w:right="20"/>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Consummation of or Inability to Consummate, a Business Combination—We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r>
        <w:rPr>
          <w:rFonts w:ascii="Times New Roman" w:cs="Times New Roman" w:eastAsia="Times New Roman" w:hAnsi="Times New Roman"/>
          <w:sz w:val="15"/>
          <w:szCs w:val="15"/>
          <w:color w:val="auto"/>
        </w:rPr>
        <w:t>” for further information on the risks of failing to comply with these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requirements.</w:t>
      </w:r>
    </w:p>
    <w:p>
      <w:pPr>
        <w:spacing w:after="0" w:line="339"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The foregoing is different from the procedures historically used by some blank check companies. Traditionally, in order to perfect redemption rights in connection with a blank check company’s business combination, the company would distribute proxy materials for the shareholders’ vote on an initial business combination, and a holder could simply vote against a proposed business combination and check a box on the proxy card indicating such holder was seeking to exercise his, her or its redemption rights. After the business</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157</w:t>
      </w:r>
    </w:p>
    <w:p>
      <w:pPr>
        <w:sectPr>
          <w:pgSz w:w="11900" w:h="16840" w:orient="portrait"/>
          <w:cols w:equalWidth="0" w:num="1">
            <w:col w:w="10120"/>
          </w:cols>
          <w:pgMar w:left="660" w:top="874" w:right="1120" w:bottom="1440" w:gutter="0" w:footer="0" w:header="0"/>
        </w:sectPr>
      </w:pPr>
    </w:p>
    <w:bookmarkStart w:id="170" w:name="page171"/>
    <w:bookmarkEnd w:id="1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5"/>
          <w:szCs w:val="15"/>
          <w:color w:val="auto"/>
        </w:rPr>
        <w:t>combination was approved, the company would contact such shareholder to arrange for him, her or it to deliver his, her or its certificate to verify ownership. As a result, the shareholder then had an “option window” after the consummation of the business combination during which he, she or it could monitor the price of the company’s stock in the market. If the price rose above the conversion price, he could sell his, her or its shares on the open market before actually delivering his, her or its shares to the company for cancellation. As a result, the redemption rights, to which shareholders were aware they needed to commit before the shareholder meeting, would become a “continuing” right surviving past the consummation of the business combination until the holder delivered his, her or its certificate or shares. The requirement for physical or electronic delivery prior to the meeting ensures that a holder’s election to convert his, her or its shares is irrevocable once the business combination is approved.</w:t>
      </w:r>
    </w:p>
    <w:p>
      <w:pPr>
        <w:spacing w:after="0" w:line="160" w:lineRule="exact"/>
        <w:rPr>
          <w:sz w:val="20"/>
          <w:szCs w:val="20"/>
          <w:color w:val="auto"/>
        </w:rPr>
      </w:pPr>
    </w:p>
    <w:p>
      <w:pPr>
        <w:ind w:left="460" w:right="20" w:firstLine="379"/>
        <w:spacing w:after="0" w:line="259" w:lineRule="auto"/>
        <w:rPr>
          <w:sz w:val="20"/>
          <w:szCs w:val="20"/>
          <w:color w:val="auto"/>
        </w:rPr>
      </w:pPr>
      <w:r>
        <w:rPr>
          <w:rFonts w:ascii="Times New Roman" w:cs="Times New Roman" w:eastAsia="Times New Roman" w:hAnsi="Times New Roman"/>
          <w:sz w:val="15"/>
          <w:szCs w:val="15"/>
          <w:color w:val="auto"/>
        </w:rPr>
        <w:t>Any request to redeem such shares once made, may be withdrawn at any time up to the vote on the proposed business combination. Furthermore, if a holder of a public share delivered his, her or its certificate in connection with an election of such shares’ redemption and subsequently decides prior to the vote on the proposed business combination not to elect to exercise such rights, he, she or it may simply request that the transfer agent return the certificate or shares (physically or electronically).</w:t>
      </w:r>
    </w:p>
    <w:p>
      <w:pPr>
        <w:spacing w:after="0" w:line="156" w:lineRule="exact"/>
        <w:rPr>
          <w:sz w:val="20"/>
          <w:szCs w:val="20"/>
          <w:color w:val="auto"/>
        </w:rPr>
      </w:pPr>
    </w:p>
    <w:p>
      <w:pPr>
        <w:ind w:left="460" w:right="80" w:firstLine="379"/>
        <w:spacing w:after="0" w:line="252" w:lineRule="auto"/>
        <w:rPr>
          <w:sz w:val="20"/>
          <w:szCs w:val="20"/>
          <w:color w:val="auto"/>
        </w:rPr>
      </w:pPr>
      <w:r>
        <w:rPr>
          <w:rFonts w:ascii="Times New Roman" w:cs="Times New Roman" w:eastAsia="Times New Roman" w:hAnsi="Times New Roman"/>
          <w:sz w:val="15"/>
          <w:szCs w:val="15"/>
          <w:color w:val="auto"/>
        </w:rPr>
        <w:t>If the initial business combination is not approved or completed for any reason, then our public shareholders who elected to exercise their redemption rights would not be entitled to redeem their shares for the applicable pro rata share of the trust account (net of permitted withdrawals) as of two (2) business days prior to the consummation of the initial business combination. In such case, we will promptly return any certificates or shares delivered by public holders. Furthermore, if the initial business combination is not approved or completed for any reason, then our public shareholders who elected to exercise their redemption rights will not be entitled to convert their shares into a full pro rata portion of the trust account (net of permitted withdrawals and less $100,000 for dissolution expenses), as applicable. We will thereafter promptly return any shares delivered by public shareholders. In such case, public shareholders may only share in the assets of the trust account upon our liquidation. This may result in public shareholders receiving less than they would have received if the business combination was completed and they had exercised redemption rights in connection therewith due to potential claims of creditors.</w:t>
      </w: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Liquidation if No Business Combination</w:t>
      </w:r>
    </w:p>
    <w:p>
      <w:pPr>
        <w:spacing w:after="0" w:line="104"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provides that we will have only 24 months from the closing of this offering to complete an initial business combination. If we have not completed an initial business combination by such date, we will (i) cease all operations except for the purpose of winding up, (ii) as promptly as reasonably possible but not more than ten (10) business days thereafter, redeem 100% of the outstanding public shares, at a per-share price, payable in cash, equal to the aggregate amount then on deposit in the trust account, (net of permitted withdrawals and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w:t>
      </w:r>
    </w:p>
    <w:p>
      <w:pPr>
        <w:spacing w:after="0" w:line="4" w:lineRule="exact"/>
        <w:rPr>
          <w:sz w:val="20"/>
          <w:szCs w:val="20"/>
          <w:color w:val="auto"/>
        </w:rPr>
      </w:pPr>
    </w:p>
    <w:p>
      <w:pPr>
        <w:ind w:left="460" w:right="40" w:hanging="5"/>
        <w:spacing w:after="0" w:line="254" w:lineRule="auto"/>
        <w:tabs>
          <w:tab w:leader="none" w:pos="729"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reasonably possible following such redemption, subject to the approval of our remaining shareholders and our board of directors, dissolve and liquidate, subject (in the case of (ii) and (iii) above) to our obligations under the Cayman Islands laws to provide for claims of creditors and the requirements of other applicable law.</w:t>
      </w:r>
    </w:p>
    <w:p>
      <w:pPr>
        <w:spacing w:after="0" w:line="159" w:lineRule="exact"/>
        <w:rPr>
          <w:sz w:val="20"/>
          <w:szCs w:val="20"/>
          <w:color w:val="auto"/>
        </w:rPr>
      </w:pPr>
    </w:p>
    <w:p>
      <w:pPr>
        <w:ind w:left="460" w:right="100" w:firstLine="379"/>
        <w:spacing w:after="0" w:line="256" w:lineRule="auto"/>
        <w:rPr>
          <w:sz w:val="20"/>
          <w:szCs w:val="20"/>
          <w:color w:val="auto"/>
        </w:rPr>
      </w:pPr>
      <w:r>
        <w:rPr>
          <w:rFonts w:ascii="Times New Roman" w:cs="Times New Roman" w:eastAsia="Times New Roman" w:hAnsi="Times New Roman"/>
          <w:sz w:val="15"/>
          <w:szCs w:val="15"/>
          <w:color w:val="auto"/>
        </w:rPr>
        <w:t>Our sponsor, executive officers and directors have agreed (pursuant to a written letter agreement with us filed as exhibits to the registration statement of which this prospectus forms a part) that they will not propose any amendment to our amended and restated memorandum and articles of association that would stop our public shareholders from converting or selling their public shares to us in connection with a business combination or affect the substance or timing of our obligation to redeem 100% of our public shares if we do not complete a business combination within 24 months from the closing of this offering unless we provide our public shareholders with the opportunity to redeem their public shares upon such approval at a per-share price, payable</w:t>
      </w:r>
    </w:p>
    <w:p>
      <w:pPr>
        <w:spacing w:after="0" w:line="1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158</w:t>
      </w:r>
    </w:p>
    <w:p>
      <w:pPr>
        <w:sectPr>
          <w:pgSz w:w="11900" w:h="16840" w:orient="portrait"/>
          <w:cols w:equalWidth="0" w:num="1">
            <w:col w:w="10120"/>
          </w:cols>
          <w:pgMar w:left="660" w:top="874" w:right="1120" w:bottom="1440" w:gutter="0" w:footer="0" w:header="0"/>
        </w:sectPr>
      </w:pPr>
    </w:p>
    <w:bookmarkStart w:id="171" w:name="page172"/>
    <w:bookmarkEnd w:id="1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120"/>
        <w:spacing w:after="0" w:line="265" w:lineRule="auto"/>
        <w:rPr>
          <w:sz w:val="20"/>
          <w:szCs w:val="20"/>
          <w:color w:val="auto"/>
        </w:rPr>
      </w:pPr>
      <w:r>
        <w:rPr>
          <w:rFonts w:ascii="Times New Roman" w:cs="Times New Roman" w:eastAsia="Times New Roman" w:hAnsi="Times New Roman"/>
          <w:sz w:val="15"/>
          <w:szCs w:val="15"/>
          <w:color w:val="auto"/>
        </w:rPr>
        <w:t>in cash, equal to the aggregate amount then on deposit in the trust account, net of permitted withdrawals, divided by the number of then outstanding public shares. This redemption right shall apply in the event of the approval of any such amendment, whether proposed by our sponsor, any executive officer, director or director nominee, or any other person.</w:t>
      </w:r>
    </w:p>
    <w:p>
      <w:pPr>
        <w:spacing w:after="0" w:line="151"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w:t>
      </w:r>
    </w:p>
    <w:p>
      <w:pPr>
        <w:spacing w:after="0" w:line="1" w:lineRule="exact"/>
        <w:rPr>
          <w:sz w:val="20"/>
          <w:szCs w:val="20"/>
          <w:color w:val="auto"/>
        </w:rPr>
      </w:pPr>
    </w:p>
    <w:p>
      <w:pPr>
        <w:ind w:left="460" w:right="20" w:hanging="5"/>
        <w:spacing w:after="0" w:line="250" w:lineRule="auto"/>
        <w:tabs>
          <w:tab w:leader="none" w:pos="729"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as further discussed in this prospectus.</w:t>
      </w:r>
    </w:p>
    <w:p>
      <w:pPr>
        <w:spacing w:after="0" w:line="161"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color w:val="auto"/>
        </w:rPr>
        <w:t>We are required to use our reasonable best efforts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(net of permitted withdrawals and less up to $ 100,000 for dissolution expenses) to our public shareholders.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Our underwriters and auditor are the only third parties we are currently aware of that may not execute a waiver. Nor is there any guarantee that, even if they execute such agreements with us, they will not seek recourse against the trust account.</w:t>
      </w:r>
    </w:p>
    <w:p>
      <w:pPr>
        <w:spacing w:after="0" w:line="163"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We anticipate notifying the trustee of the trust account to begin liquidating such assets promptly after such date and anticipate it will take no more than ten (10) business days to effectuate such distribution. Our insiders and non-managing investors have waived their rights to participate in any liquidation distribution with respect to the founder shares, private investor shares and private placement shares. We will pay the costs of any subsequent liquidation from our remaining assets outside of the trust account and the interest earned on the funds held in the trust account that we are permitted to withdraw to pay such expenses.</w:t>
      </w:r>
    </w:p>
    <w:p>
      <w:pPr>
        <w:spacing w:after="0" w:line="158"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 share redemption price would be $ 10.00. The proceeds deposited in the trust account could, however, become subject to claims of our creditors that are in preference to the claims of public shareholders.</w:t>
      </w:r>
    </w:p>
    <w:p>
      <w:pPr>
        <w:spacing w:after="0" w:line="151" w:lineRule="exact"/>
        <w:rPr>
          <w:sz w:val="20"/>
          <w:szCs w:val="20"/>
          <w:color w:val="auto"/>
        </w:rPr>
      </w:pPr>
    </w:p>
    <w:p>
      <w:pPr>
        <w:ind w:left="460" w:right="200" w:firstLine="379"/>
        <w:spacing w:after="0" w:line="284" w:lineRule="auto"/>
        <w:rPr>
          <w:sz w:val="20"/>
          <w:szCs w:val="20"/>
          <w:color w:val="auto"/>
        </w:rPr>
      </w:pPr>
      <w:r>
        <w:rPr>
          <w:rFonts w:ascii="Times New Roman" w:cs="Times New Roman" w:eastAsia="Times New Roman" w:hAnsi="Times New Roman"/>
          <w:sz w:val="15"/>
          <w:szCs w:val="15"/>
          <w:color w:val="auto"/>
        </w:rPr>
        <w:t>Our public shareholders shall be entitled to receive funds from the trust account only in the event of our failure to complete a business combination within the required time period or if the shareholders seek to have us</w:t>
      </w:r>
    </w:p>
    <w:p>
      <w:pPr>
        <w:spacing w:after="0" w:line="1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159</w:t>
      </w:r>
    </w:p>
    <w:p>
      <w:pPr>
        <w:sectPr>
          <w:pgSz w:w="11900" w:h="16840" w:orient="portrait"/>
          <w:cols w:equalWidth="0" w:num="1">
            <w:col w:w="10100"/>
          </w:cols>
          <w:pgMar w:left="660" w:top="874" w:right="1140" w:bottom="1440" w:gutter="0" w:footer="0" w:header="0"/>
        </w:sectPr>
      </w:pPr>
    </w:p>
    <w:bookmarkStart w:id="172" w:name="page173"/>
    <w:bookmarkEnd w:id="1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spacing w:after="0" w:line="265" w:lineRule="auto"/>
        <w:rPr>
          <w:sz w:val="20"/>
          <w:szCs w:val="20"/>
          <w:color w:val="auto"/>
        </w:rPr>
      </w:pPr>
      <w:r>
        <w:rPr>
          <w:rFonts w:ascii="Times New Roman" w:cs="Times New Roman" w:eastAsia="Times New Roman" w:hAnsi="Times New Roman"/>
          <w:sz w:val="15"/>
          <w:szCs w:val="15"/>
          <w:color w:val="auto"/>
        </w:rPr>
        <w:t>redeem or purchase their respective shares upon a business combination which is actually completed by us or upon certain amendments to our amended and restated memorandum and articles of association as described elsewhere herein. In no other circumstances shall a shareholder have any right or interest of any kind to or in the trust account.</w:t>
      </w:r>
    </w:p>
    <w:p>
      <w:pPr>
        <w:spacing w:after="0" w:line="151"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Our insiders and non -managing investors will not participate in any redemption distribution from our trust account with respect to their founder shares, private investor shares and private placement shares. Additionally, any loans made by our officers, directors, sponsors or their affiliates for working capital needs will be forgiven and not repaid if we are unable to complete an initial business combination.</w:t>
      </w:r>
    </w:p>
    <w:p>
      <w:pPr>
        <w:spacing w:after="0" w:line="151"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make any assurance of the amount we will be able to return to our public shareholders.</w:t>
      </w:r>
    </w:p>
    <w:p>
      <w:pPr>
        <w:spacing w:after="0" w:line="156" w:lineRule="exact"/>
        <w:rPr>
          <w:sz w:val="20"/>
          <w:szCs w:val="20"/>
          <w:color w:val="auto"/>
        </w:rPr>
      </w:pPr>
    </w:p>
    <w:p>
      <w:pPr>
        <w:ind w:left="460" w:right="80" w:firstLine="379"/>
        <w:spacing w:after="0" w:line="252" w:lineRule="auto"/>
        <w:rPr>
          <w:sz w:val="20"/>
          <w:szCs w:val="20"/>
          <w:color w:val="auto"/>
        </w:rPr>
      </w:pPr>
      <w:r>
        <w:rPr>
          <w:rFonts w:ascii="Times New Roman" w:cs="Times New Roman" w:eastAsia="Times New Roman" w:hAnsi="Times New Roman"/>
          <w:sz w:val="15"/>
          <w:szCs w:val="15"/>
          <w:color w:val="auto"/>
        </w:rPr>
        <w:t>If we are forced to file a bankruptcy case or an involuntary bankruptcy case is filed against us which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Furthermore, because we intend to distribute the proceeds held in the trust account to our public shareholders promptly after 24 months from the closing of this offering, this may be viewed or interpreted as giving preference to our public shareholders over any potential creditors with respect to access to or distributions from our assets. Furthermore, our board of directors may be viewed as having breached their fiduciary duties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Amended and Restated Memorandum and Articles of Association</w:t>
      </w:r>
    </w:p>
    <w:p>
      <w:pPr>
        <w:spacing w:after="0" w:line="104"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will contain certain requirements and restrictions relating to this offering that will apply to us until the consummation of our initial business combination. These provisions cannot be amended without the approval of a majority of our shareholders. If we seek to amend any provisions of our amended and restated memorandum and articles of association that would stop our public shareholders from converting or selling their shares to us in connection with a business combination or affect the substance or timing of our obligation to redeem 100% of our public shares if we do not complete a business combination within 24 months from the closing of this offering, we will provide dissenting public shareholders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insiders and non-managing investors have agreed to waive any redemption rights with respect to their founder shares, private investor shares and private placement shares held by them, and the sponsor has agreed to waive its redemption rights with respect to any public shares it may hold, in each case in connection with any vote to amend our amended and restated memorandum and articles of association. Specifically, our amended and restated memorandum and articles of association provides, among other things, that:</w:t>
      </w:r>
    </w:p>
    <w:p>
      <w:pPr>
        <w:spacing w:after="0" w:line="96" w:lineRule="exact"/>
        <w:rPr>
          <w:sz w:val="20"/>
          <w:szCs w:val="20"/>
          <w:color w:val="auto"/>
        </w:rPr>
      </w:pPr>
    </w:p>
    <w:p>
      <w:pPr>
        <w:ind w:left="1300" w:right="100" w:hanging="371"/>
        <w:spacing w:after="0" w:line="255" w:lineRule="auto"/>
        <w:tabs>
          <w:tab w:leader="none" w:pos="13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shall either (1) seek shareholder approval of our initial business combination at a meeting called for such purpose at which shareholders may seek to redeem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w:t>
      </w:r>
    </w:p>
    <w:p>
      <w:pPr>
        <w:spacing w:after="0" w:line="30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160</w:t>
      </w:r>
    </w:p>
    <w:p>
      <w:pPr>
        <w:sectPr>
          <w:pgSz w:w="11900" w:h="16840" w:orient="portrait"/>
          <w:cols w:equalWidth="0" w:num="1">
            <w:col w:w="10120"/>
          </w:cols>
          <w:pgMar w:left="660" w:top="874" w:right="1120" w:bottom="1440" w:gutter="0" w:footer="0" w:header="0"/>
        </w:sectPr>
      </w:pPr>
    </w:p>
    <w:bookmarkStart w:id="173" w:name="page174"/>
    <w:bookmarkEnd w:id="1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right="460" w:hanging="371"/>
        <w:spacing w:after="0" w:line="284" w:lineRule="auto"/>
        <w:tabs>
          <w:tab w:leader="none" w:pos="13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our initial business combination is not consummated within 24 months from the closing of this offering then we will redeem all of the outstanding public shares and thereafter liquidate and dissolve our company;</w:t>
      </w:r>
    </w:p>
    <w:p>
      <w:pPr>
        <w:spacing w:after="0" w:line="65" w:lineRule="exact"/>
        <w:rPr>
          <w:rFonts w:ascii="Times New Roman" w:cs="Times New Roman" w:eastAsia="Times New Roman" w:hAnsi="Times New Roman"/>
          <w:sz w:val="15"/>
          <w:szCs w:val="15"/>
          <w:color w:val="auto"/>
        </w:rPr>
      </w:pPr>
    </w:p>
    <w:p>
      <w:pPr>
        <w:ind w:left="1300" w:right="200" w:hanging="371"/>
        <w:spacing w:after="0" w:line="284" w:lineRule="auto"/>
        <w:tabs>
          <w:tab w:leader="none" w:pos="13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consummation of this offering, $220,000,000, or $253,000,000 if the over-allotment option is exercised in full, shall be placed into the trust account; and</w:t>
      </w:r>
    </w:p>
    <w:p>
      <w:pPr>
        <w:spacing w:after="0" w:line="65" w:lineRule="exact"/>
        <w:rPr>
          <w:rFonts w:ascii="Times New Roman" w:cs="Times New Roman" w:eastAsia="Times New Roman" w:hAnsi="Times New Roman"/>
          <w:sz w:val="15"/>
          <w:szCs w:val="15"/>
          <w:color w:val="auto"/>
        </w:rPr>
      </w:pPr>
    </w:p>
    <w:p>
      <w:pPr>
        <w:ind w:left="1300" w:right="40" w:hanging="371"/>
        <w:spacing w:after="0" w:line="284" w:lineRule="auto"/>
        <w:tabs>
          <w:tab w:leader="none" w:pos="13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our initial business combination, we may not issue additional shares that participate in any manner in the proceeds of the trust account, or that votes as a class with the public shares sold in this offering on any matter.</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Competition</w:t>
      </w:r>
    </w:p>
    <w:p>
      <w:pPr>
        <w:spacing w:after="0" w:line="104"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Although we believe there may be numerous potential target businesses that we could acquire with the net proceeds of this offering, our ability to compete in acquiring certain sizable target businesses may be limited by our available financial resources.</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following also may not be viewed favorably by certain target businesses:</w:t>
      </w:r>
    </w:p>
    <w:p>
      <w:pPr>
        <w:spacing w:after="0" w:line="124" w:lineRule="exact"/>
        <w:rPr>
          <w:sz w:val="20"/>
          <w:szCs w:val="20"/>
          <w:color w:val="auto"/>
        </w:rPr>
      </w:pPr>
    </w:p>
    <w:p>
      <w:pPr>
        <w:ind w:left="1300" w:right="180" w:hanging="371"/>
        <w:spacing w:after="0" w:line="284" w:lineRule="auto"/>
        <w:tabs>
          <w:tab w:leader="none" w:pos="13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obligation to seek shareholder approval of a business combination or engage in a tender offer may delay the completion of a transaction; and</w:t>
      </w:r>
    </w:p>
    <w:p>
      <w:pPr>
        <w:spacing w:after="0" w:line="65" w:lineRule="exact"/>
        <w:rPr>
          <w:rFonts w:ascii="Times New Roman" w:cs="Times New Roman" w:eastAsia="Times New Roman" w:hAnsi="Times New Roman"/>
          <w:sz w:val="15"/>
          <w:szCs w:val="15"/>
          <w:color w:val="auto"/>
        </w:rPr>
      </w:pPr>
    </w:p>
    <w:p>
      <w:pPr>
        <w:ind w:left="1300" w:right="420" w:hanging="371"/>
        <w:spacing w:after="0" w:line="284" w:lineRule="auto"/>
        <w:tabs>
          <w:tab w:leader="none" w:pos="13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obligation to redeem Class A ordinary shares held by our public shareholders may reduce the resources available to us for a business combination.</w:t>
      </w:r>
    </w:p>
    <w:p>
      <w:pPr>
        <w:spacing w:after="0" w:line="137" w:lineRule="exact"/>
        <w:rPr>
          <w:sz w:val="20"/>
          <w:szCs w:val="20"/>
          <w:color w:val="auto"/>
        </w:rPr>
      </w:pPr>
    </w:p>
    <w:p>
      <w:pPr>
        <w:ind w:left="460" w:right="480" w:firstLine="379"/>
        <w:spacing w:after="0" w:line="265" w:lineRule="auto"/>
        <w:rPr>
          <w:sz w:val="20"/>
          <w:szCs w:val="20"/>
          <w:color w:val="auto"/>
        </w:rPr>
      </w:pPr>
      <w:r>
        <w:rPr>
          <w:rFonts w:ascii="Times New Roman" w:cs="Times New Roman" w:eastAsia="Times New Roman" w:hAnsi="Times New Roman"/>
          <w:sz w:val="15"/>
          <w:szCs w:val="15"/>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 held entities having a similar business objective as ours in acquiring a target business with significant growth potential on favorable terms.</w:t>
      </w:r>
    </w:p>
    <w:p>
      <w:pPr>
        <w:spacing w:after="0" w:line="151" w:lineRule="exact"/>
        <w:rPr>
          <w:sz w:val="20"/>
          <w:szCs w:val="20"/>
          <w:color w:val="auto"/>
        </w:rPr>
      </w:pPr>
    </w:p>
    <w:p>
      <w:pPr>
        <w:ind w:left="460" w:right="320" w:firstLine="379"/>
        <w:spacing w:after="0" w:line="284" w:lineRule="auto"/>
        <w:rPr>
          <w:sz w:val="20"/>
          <w:szCs w:val="20"/>
          <w:color w:val="auto"/>
        </w:rPr>
      </w:pPr>
      <w:r>
        <w:rPr>
          <w:rFonts w:ascii="Times New Roman" w:cs="Times New Roman" w:eastAsia="Times New Roman" w:hAnsi="Times New Roman"/>
          <w:sz w:val="15"/>
          <w:szCs w:val="15"/>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Facilities</w:t>
      </w:r>
    </w:p>
    <w:p>
      <w:pPr>
        <w:spacing w:after="0" w:line="104"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We currently maintain our principal executive offices at 1731 Embarcadero Rd., Suite 200, Palo Alto, CA 94303. The cost for this space is included in the $30,000 monthly fee GigManagement, LLC will charge us for general and administrative services commencing on the date of this prospectus pursuant to an Administrative Services Agreement between us and GigManagement, LLC until the consummation of an initial business combination. We believe, based on rents and fees for similar services in the San Francisco Bay Area, that the fee charged by our sponsor is at least as favorable as we could have obtained from an unaffiliated person. We consider our current office space, combined with the other office space otherwise available to our executive officers, adequate for our current operations.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Employees</w:t>
      </w:r>
    </w:p>
    <w:p>
      <w:pPr>
        <w:spacing w:after="0" w:line="104" w:lineRule="exact"/>
        <w:rPr>
          <w:sz w:val="20"/>
          <w:szCs w:val="20"/>
          <w:color w:val="auto"/>
        </w:rPr>
      </w:pPr>
    </w:p>
    <w:p>
      <w:pPr>
        <w:ind w:left="460" w:firstLine="379"/>
        <w:spacing w:after="0" w:line="284" w:lineRule="auto"/>
        <w:rPr>
          <w:sz w:val="20"/>
          <w:szCs w:val="20"/>
          <w:color w:val="auto"/>
        </w:rPr>
      </w:pPr>
      <w:r>
        <w:rPr>
          <w:rFonts w:ascii="Times New Roman" w:cs="Times New Roman" w:eastAsia="Times New Roman" w:hAnsi="Times New Roman"/>
          <w:sz w:val="15"/>
          <w:szCs w:val="15"/>
          <w:color w:val="auto"/>
        </w:rPr>
        <w:t>We have two executive officers. The amount of time they will devote in any time period will vary based on whether a target business has been selected for the business combination and the stage of the business</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161</w:t>
      </w:r>
    </w:p>
    <w:p>
      <w:pPr>
        <w:sectPr>
          <w:pgSz w:w="11900" w:h="16840" w:orient="portrait"/>
          <w:cols w:equalWidth="0" w:num="1">
            <w:col w:w="10140"/>
          </w:cols>
          <w:pgMar w:left="660" w:top="874" w:right="1100" w:bottom="1440" w:gutter="0" w:footer="0" w:header="0"/>
        </w:sectPr>
      </w:pPr>
    </w:p>
    <w:bookmarkStart w:id="174" w:name="page175"/>
    <w:bookmarkEnd w:id="1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9" w:lineRule="auto"/>
        <w:rPr>
          <w:sz w:val="20"/>
          <w:szCs w:val="20"/>
          <w:color w:val="auto"/>
        </w:rPr>
      </w:pPr>
      <w:r>
        <w:rPr>
          <w:rFonts w:ascii="Times New Roman" w:cs="Times New Roman" w:eastAsia="Times New Roman" w:hAnsi="Times New Roman"/>
          <w:sz w:val="15"/>
          <w:szCs w:val="15"/>
          <w:color w:val="auto"/>
        </w:rPr>
        <w:t>combination process the company is in. Accordingly, once a suitable target business to acquire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full-time employees prior to the consummation of a business combination.</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Periodic Reporting and Audited Financial Statements</w:t>
      </w:r>
    </w:p>
    <w:p>
      <w:pPr>
        <w:spacing w:after="0" w:line="104"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We have registered our public units, public shares and public rights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51" w:lineRule="exact"/>
        <w:rPr>
          <w:sz w:val="20"/>
          <w:szCs w:val="20"/>
          <w:color w:val="auto"/>
        </w:rPr>
      </w:pPr>
    </w:p>
    <w:p>
      <w:pPr>
        <w:jc w:val="both"/>
        <w:ind w:left="460" w:right="120" w:firstLine="379"/>
        <w:spacing w:after="0" w:line="259" w:lineRule="auto"/>
        <w:rPr>
          <w:sz w:val="20"/>
          <w:szCs w:val="20"/>
          <w:color w:val="auto"/>
        </w:rPr>
      </w:pPr>
      <w:r>
        <w:rPr>
          <w:rFonts w:ascii="Times New Roman" w:cs="Times New Roman" w:eastAsia="Times New Roman" w:hAnsi="Times New Roman"/>
          <w:sz w:val="15"/>
          <w:szCs w:val="15"/>
          <w:color w:val="auto"/>
        </w:rPr>
        <w:t>We will provide shareholders with audited financial statements of the prospective target business as part of any proxy solicitation materials or tender offer documents sent to shareholders to assist them in assessing the target business. These financial statements will need to be prepared in accordance with or reconciled to GAAP or IFRS.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56" w:lineRule="exact"/>
        <w:rPr>
          <w:sz w:val="20"/>
          <w:szCs w:val="20"/>
          <w:color w:val="auto"/>
        </w:rPr>
      </w:pPr>
    </w:p>
    <w:p>
      <w:pPr>
        <w:ind w:left="460" w:right="140" w:firstLine="379"/>
        <w:spacing w:after="0" w:line="259" w:lineRule="auto"/>
        <w:rPr>
          <w:sz w:val="20"/>
          <w:szCs w:val="20"/>
          <w:color w:val="auto"/>
        </w:rPr>
      </w:pPr>
      <w:r>
        <w:rPr>
          <w:rFonts w:ascii="Times New Roman" w:cs="Times New Roman" w:eastAsia="Times New Roman" w:hAnsi="Times New Roman"/>
          <w:sz w:val="15"/>
          <w:szCs w:val="15"/>
          <w:color w:val="auto"/>
        </w:rPr>
        <w:t>We may be required to have our internal control procedures audited for the fiscal year ending December 31, 2026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Legal Proceedings</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There is no material litigation, arbitration or governmental proceeding currently pending against us or any members of our management team.</w:t>
      </w:r>
    </w:p>
    <w:p>
      <w:pPr>
        <w:spacing w:after="0" w:line="191" w:lineRule="exact"/>
        <w:rPr>
          <w:sz w:val="20"/>
          <w:szCs w:val="20"/>
          <w:color w:val="auto"/>
        </w:rPr>
      </w:pPr>
    </w:p>
    <w:p>
      <w:pPr>
        <w:ind w:left="460" w:right="80" w:firstLine="379"/>
        <w:spacing w:after="0" w:line="289" w:lineRule="auto"/>
        <w:rPr>
          <w:sz w:val="20"/>
          <w:szCs w:val="20"/>
          <w:color w:val="auto"/>
        </w:rPr>
      </w:pPr>
      <w:r>
        <w:rPr>
          <w:rFonts w:ascii="Times New Roman" w:cs="Times New Roman" w:eastAsia="Times New Roman" w:hAnsi="Times New Roman"/>
          <w:sz w:val="15"/>
          <w:szCs w:val="15"/>
          <w:b w:val="1"/>
          <w:bCs w:val="1"/>
          <w:color w:val="auto"/>
        </w:rPr>
        <w:t>Comparison of Redemption or Purchase Prices in Connection with Our Initial Business Combination and if We Fail to Complete Our Initial Business Combination.</w:t>
      </w:r>
    </w:p>
    <w:p>
      <w:pPr>
        <w:spacing w:after="0" w:line="133" w:lineRule="exact"/>
        <w:rPr>
          <w:sz w:val="20"/>
          <w:szCs w:val="20"/>
          <w:color w:val="auto"/>
        </w:rPr>
      </w:pPr>
    </w:p>
    <w:p>
      <w:pPr>
        <w:ind w:left="460" w:right="140" w:firstLine="379"/>
        <w:spacing w:after="0" w:line="284" w:lineRule="auto"/>
        <w:rPr>
          <w:sz w:val="20"/>
          <w:szCs w:val="20"/>
          <w:color w:val="auto"/>
        </w:rPr>
      </w:pPr>
      <w:r>
        <w:rPr>
          <w:rFonts w:ascii="Times New Roman" w:cs="Times New Roman" w:eastAsia="Times New Roman" w:hAnsi="Times New Roman"/>
          <w:sz w:val="15"/>
          <w:szCs w:val="15"/>
          <w:color w:val="auto"/>
        </w:rPr>
        <w:t>The following table compares the redemptions and other permitted purchases of public shares that may take place in connection with the completion of our initial business combination and if we are unable to complete our initial business combination within the completion window.</w:t>
      </w:r>
    </w:p>
    <w:p>
      <w:pPr>
        <w:sectPr>
          <w:pgSz w:w="11900" w:h="16840" w:orient="portrait"/>
          <w:cols w:equalWidth="0" w:num="1">
            <w:col w:w="10120"/>
          </w:cols>
          <w:pgMar w:left="660" w:top="874" w:right="1120" w:bottom="1440" w:gutter="0" w:footer="0" w:header="0"/>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Redemptions in Connection</w:t>
            </w:r>
          </w:p>
        </w:tc>
        <w:tc>
          <w:tcPr>
            <w:tcW w:w="0" w:type="dxa"/>
            <w:vAlign w:val="bottom"/>
          </w:tcPr>
          <w:p>
            <w:pPr>
              <w:spacing w:after="0"/>
              <w:rPr>
                <w:sz w:val="1"/>
                <w:szCs w:val="1"/>
                <w:color w:val="auto"/>
              </w:rPr>
            </w:pPr>
          </w:p>
        </w:tc>
      </w:tr>
      <w:tr>
        <w:trPr>
          <w:trHeight w:val="154"/>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with our Initial Business</w:t>
            </w:r>
          </w:p>
        </w:tc>
        <w:tc>
          <w:tcPr>
            <w:tcW w:w="0" w:type="dxa"/>
            <w:vAlign w:val="bottom"/>
          </w:tcPr>
          <w:p>
            <w:pPr>
              <w:spacing w:after="0"/>
              <w:rPr>
                <w:sz w:val="1"/>
                <w:szCs w:val="1"/>
                <w:color w:val="auto"/>
              </w:rPr>
            </w:pPr>
          </w:p>
        </w:tc>
      </w:tr>
      <w:tr>
        <w:trPr>
          <w:trHeight w:val="175"/>
        </w:trPr>
        <w:tc>
          <w:tcPr>
            <w:tcW w:w="23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Calculation of redemption price</w:t>
            </w:r>
          </w:p>
        </w:tc>
        <w:tc>
          <w:tcPr>
            <w:tcW w:w="20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Combination</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Redemptions at the time of our initial</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business combination may be made</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pursuant to a tender offer or in</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connection with a shareholder vote. The</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redemption price will be the same</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whether we conduct redemptions</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pursuant to a tender offer or in</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connection with a shareholder vote. In</w:t>
            </w:r>
          </w:p>
        </w:tc>
        <w:tc>
          <w:tcPr>
            <w:tcW w:w="0" w:type="dxa"/>
            <w:vAlign w:val="bottom"/>
          </w:tcPr>
          <w:p>
            <w:pPr>
              <w:spacing w:after="0"/>
              <w:rPr>
                <w:sz w:val="1"/>
                <w:szCs w:val="1"/>
                <w:color w:val="auto"/>
              </w:rPr>
            </w:pPr>
          </w:p>
        </w:tc>
      </w:tr>
      <w:tr>
        <w:trPr>
          <w:trHeight w:val="199"/>
        </w:trPr>
        <w:tc>
          <w:tcPr>
            <w:tcW w:w="2300" w:type="dxa"/>
            <w:vAlign w:val="bottom"/>
          </w:tcPr>
          <w:p>
            <w:pPr>
              <w:spacing w:after="0"/>
              <w:rPr>
                <w:sz w:val="17"/>
                <w:szCs w:val="17"/>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either case, our public</w:t>
            </w:r>
          </w:p>
        </w:tc>
        <w:tc>
          <w:tcPr>
            <w:tcW w:w="0" w:type="dxa"/>
            <w:vAlign w:val="bottom"/>
          </w:tcPr>
          <w:p>
            <w:pPr>
              <w:spacing w:after="0"/>
              <w:rPr>
                <w:sz w:val="1"/>
                <w:szCs w:val="1"/>
                <w:color w:val="auto"/>
              </w:rPr>
            </w:pPr>
          </w:p>
        </w:tc>
      </w:tr>
      <w:tr>
        <w:trPr>
          <w:trHeight w:val="332"/>
        </w:trPr>
        <w:tc>
          <w:tcPr>
            <w:tcW w:w="2300" w:type="dxa"/>
            <w:vAlign w:val="bottom"/>
          </w:tcPr>
          <w:p>
            <w:pPr>
              <w:spacing w:after="0"/>
              <w:rPr>
                <w:sz w:val="24"/>
                <w:szCs w:val="24"/>
                <w:color w:val="auto"/>
              </w:rPr>
            </w:pPr>
          </w:p>
        </w:tc>
        <w:tc>
          <w:tcPr>
            <w:tcW w:w="2700" w:type="dxa"/>
            <w:vAlign w:val="bottom"/>
            <w:gridSpan w:val="2"/>
          </w:tcPr>
          <w:p>
            <w:pPr>
              <w:ind w:left="2400"/>
              <w:spacing w:after="0"/>
              <w:rPr>
                <w:sz w:val="20"/>
                <w:szCs w:val="20"/>
                <w:color w:val="auto"/>
              </w:rPr>
            </w:pPr>
            <w:r>
              <w:rPr>
                <w:rFonts w:ascii="Times New Roman" w:cs="Times New Roman" w:eastAsia="Times New Roman" w:hAnsi="Times New Roman"/>
                <w:sz w:val="15"/>
                <w:szCs w:val="15"/>
                <w:color w:val="auto"/>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left="-19" w:right="160"/>
        <w:spacing w:after="0" w:line="261" w:lineRule="auto"/>
        <w:rPr>
          <w:sz w:val="20"/>
          <w:szCs w:val="20"/>
          <w:color w:val="auto"/>
        </w:rPr>
      </w:pPr>
      <w:r>
        <w:rPr>
          <w:rFonts w:ascii="Times New Roman" w:cs="Times New Roman" w:eastAsia="Times New Roman" w:hAnsi="Times New Roman"/>
          <w:sz w:val="13"/>
          <w:szCs w:val="13"/>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28587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5"/>
          <w:szCs w:val="15"/>
          <w:color w:val="auto"/>
        </w:rPr>
        <w:t>If we seek shareholder approval of our initial business combination, our initial shareholders or their affiliates may purchase public shares or public rights in privately negotiated transactions or on the open market either prior to or following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Redemptions if we fail to</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Complete an Initial Business</w:t>
      </w:r>
    </w:p>
    <w:p>
      <w:pPr>
        <w:spacing w:after="0" w:line="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146685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66850" cy="7620"/>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5"/>
          <w:szCs w:val="15"/>
          <w:color w:val="auto"/>
        </w:rPr>
        <w:t>If we are unable to complete our initial business combination within the completion window, we will redeem all public shares at a per-share price, payable in cash, equal to the aggregate amount, then on deposit in the trust account (which is initially anticipated to be $10.00</w:t>
      </w:r>
    </w:p>
    <w:p>
      <w:pPr>
        <w:sectPr>
          <w:pgSz w:w="11900" w:h="16840" w:orient="portrait"/>
          <w:cols w:equalWidth="0" w:num="3">
            <w:col w:w="5460" w:space="200"/>
            <w:col w:w="2000" w:space="160"/>
            <w:col w:w="2300"/>
          </w:cols>
          <w:pgMar w:left="660" w:top="874" w:right="1120" w:bottom="1440" w:gutter="0" w:footer="0" w:header="0"/>
          <w:type w:val="continuous"/>
        </w:sectPr>
      </w:pPr>
    </w:p>
    <w:bookmarkStart w:id="175" w:name="page176"/>
    <w:bookmarkEnd w:id="1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Redemptions in Connection</w:t>
            </w:r>
          </w:p>
        </w:tc>
      </w:tr>
      <w:tr>
        <w:trPr>
          <w:trHeight w:val="154"/>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with our Initial Business</w:t>
            </w:r>
          </w:p>
        </w:tc>
      </w:tr>
      <w:tr>
        <w:trPr>
          <w:trHeight w:val="175"/>
        </w:trPr>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Combination</w:t>
            </w:r>
          </w:p>
        </w:tc>
      </w:tr>
      <w:tr>
        <w:trPr>
          <w:trHeight w:val="163"/>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shareholders may redeem their public</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shares for cash equal to the aggregate</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amount then on deposit in the trust</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 calculated as of two business</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days prior to the consummation of the</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initial business combination (which is</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initially anticipated to be $10.00 per</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share), including interest (which interest</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shall be net of permitted withdrawals),</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divided by the number of then issued</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and outstanding public shares, subject to</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any limitations (including but not</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limited to cash requirements) agreed to</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 connection with the negotiation of</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terms of a proposed business</w:t>
            </w:r>
          </w:p>
        </w:tc>
      </w:tr>
      <w:tr>
        <w:trPr>
          <w:trHeight w:val="199"/>
        </w:trPr>
        <w:tc>
          <w:tcPr>
            <w:tcW w:w="2360" w:type="dxa"/>
            <w:vAlign w:val="bottom"/>
          </w:tcPr>
          <w:p>
            <w:pPr>
              <w:spacing w:after="0"/>
              <w:rPr>
                <w:sz w:val="17"/>
                <w:szCs w:val="17"/>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combination.</w:t>
            </w:r>
          </w:p>
        </w:tc>
      </w:tr>
      <w:tr>
        <w:trPr>
          <w:trHeight w:val="251"/>
        </w:trPr>
        <w:tc>
          <w:tcPr>
            <w:tcW w:w="2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Impact to remaining shareholders</w:t>
            </w: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The redemptions in connection with our</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initial business combination will reduce</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the book value per share for our</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remaining shareholders, who will bear</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the burden of interest withdrawn in</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order to pay our taxes (to the extent not</w:t>
            </w:r>
          </w:p>
        </w:tc>
      </w:tr>
      <w:tr>
        <w:trPr>
          <w:trHeight w:val="178"/>
        </w:trPr>
        <w:tc>
          <w:tcPr>
            <w:tcW w:w="2360" w:type="dxa"/>
            <w:vAlign w:val="bottom"/>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paid from amounts accrued as interest</w:t>
            </w:r>
          </w:p>
        </w:tc>
      </w:tr>
      <w:tr>
        <w:trPr>
          <w:trHeight w:val="199"/>
        </w:trPr>
        <w:tc>
          <w:tcPr>
            <w:tcW w:w="2360" w:type="dxa"/>
            <w:vAlign w:val="bottom"/>
          </w:tcPr>
          <w:p>
            <w:pPr>
              <w:spacing w:after="0"/>
              <w:rPr>
                <w:sz w:val="17"/>
                <w:szCs w:val="17"/>
                <w:color w:val="auto"/>
              </w:rPr>
            </w:pPr>
          </w:p>
        </w:tc>
        <w:tc>
          <w:tcPr>
            <w:tcW w:w="2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on the funds held in the trust account).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ind w:left="-39" w:right="140"/>
        <w:spacing w:after="0" w:line="261" w:lineRule="auto"/>
        <w:rPr>
          <w:sz w:val="20"/>
          <w:szCs w:val="20"/>
          <w:color w:val="auto"/>
        </w:rPr>
      </w:pPr>
      <w:r>
        <w:rPr>
          <w:rFonts w:ascii="Times New Roman" w:cs="Times New Roman" w:eastAsia="Times New Roman" w:hAnsi="Times New Roman"/>
          <w:sz w:val="13"/>
          <w:szCs w:val="13"/>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28587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ind w:right="480"/>
        <w:spacing w:after="0" w:line="284" w:lineRule="auto"/>
        <w:rPr>
          <w:sz w:val="20"/>
          <w:szCs w:val="20"/>
          <w:color w:val="auto"/>
        </w:rPr>
      </w:pPr>
      <w:r>
        <w:rPr>
          <w:rFonts w:ascii="Times New Roman" w:cs="Times New Roman" w:eastAsia="Times New Roman" w:hAnsi="Times New Roman"/>
          <w:sz w:val="15"/>
          <w:szCs w:val="15"/>
          <w:color w:val="auto"/>
        </w:rPr>
        <w:t>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Redemptions if we fail to</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Complete an Initial Business</w:t>
      </w:r>
    </w:p>
    <w:p>
      <w:pPr>
        <w:spacing w:after="0" w:line="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146685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66850" cy="7620"/>
                    </a:xfrm>
                    <a:prstGeom prst="rect">
                      <a:avLst/>
                    </a:prstGeom>
                    <a:noFill/>
                  </pic:spPr>
                </pic:pic>
              </a:graphicData>
            </a:graphic>
          </wp:anchor>
        </w:drawing>
      </w:r>
    </w:p>
    <w:p>
      <w:pPr>
        <w:spacing w:after="0" w:line="254" w:lineRule="auto"/>
        <w:rPr>
          <w:sz w:val="20"/>
          <w:szCs w:val="20"/>
          <w:color w:val="auto"/>
        </w:rPr>
      </w:pPr>
      <w:r>
        <w:rPr>
          <w:rFonts w:ascii="Times New Roman" w:cs="Times New Roman" w:eastAsia="Times New Roman" w:hAnsi="Times New Roman"/>
          <w:sz w:val="15"/>
          <w:szCs w:val="15"/>
          <w:color w:val="auto"/>
        </w:rPr>
        <w:t>per share), including interest (which interest shall be net of permitted withdrawals and up to $100,000 of interest to pay liquidation expenses) divided by the number of then issued and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pacing w:after="0" w:line="370" w:lineRule="exact"/>
        <w:rPr>
          <w:sz w:val="20"/>
          <w:szCs w:val="20"/>
          <w:color w:val="auto"/>
        </w:rPr>
      </w:pPr>
    </w:p>
    <w:p>
      <w:pPr>
        <w:sectPr>
          <w:pgSz w:w="11900" w:h="16840" w:orient="portrait"/>
          <w:cols w:equalWidth="0" w:num="3">
            <w:col w:w="5460" w:space="200"/>
            <w:col w:w="1980" w:space="180"/>
            <w:col w:w="2280"/>
          </w:cols>
          <w:pgMar w:left="660" w:top="874" w:right="1140" w:bottom="1440" w:gutter="0" w:footer="0" w:header="0"/>
        </w:sectPr>
      </w:pP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Comparison of This Offering to Those of Blank Check Companies Subject to Rule 419</w:t>
      </w:r>
    </w:p>
    <w:p>
      <w:pPr>
        <w:spacing w:after="0" w:line="104" w:lineRule="exact"/>
        <w:rPr>
          <w:sz w:val="20"/>
          <w:szCs w:val="20"/>
          <w:color w:val="auto"/>
        </w:rPr>
      </w:pPr>
    </w:p>
    <w:p>
      <w:pPr>
        <w:ind w:left="460" w:right="180" w:firstLine="379"/>
        <w:spacing w:after="0" w:line="259" w:lineRule="auto"/>
        <w:rPr>
          <w:sz w:val="20"/>
          <w:szCs w:val="20"/>
          <w:color w:val="auto"/>
        </w:rPr>
      </w:pPr>
      <w:r>
        <w:rPr>
          <w:rFonts w:ascii="Times New Roman" w:cs="Times New Roman" w:eastAsia="Times New Roman" w:hAnsi="Times New Roman"/>
          <w:sz w:val="15"/>
          <w:szCs w:val="15"/>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40" w:orient="portrait"/>
          <w:cols w:equalWidth="0" w:num="1">
            <w:col w:w="10100"/>
          </w:cols>
          <w:pgMar w:left="660" w:top="874" w:right="1140" w:bottom="1440" w:gutter="0" w:footer="0" w:header="0"/>
          <w:type w:val="continuous"/>
        </w:sectPr>
      </w:pP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7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Escrow of offering proceeds</w:t>
            </w:r>
          </w:p>
        </w:tc>
        <w:tc>
          <w:tcPr>
            <w:tcW w:w="880" w:type="dxa"/>
            <w:vAlign w:val="bottom"/>
          </w:tcPr>
          <w:p>
            <w:pPr>
              <w:spacing w:after="0"/>
              <w:rPr>
                <w:sz w:val="15"/>
                <w:szCs w:val="15"/>
                <w:color w:val="auto"/>
              </w:rPr>
            </w:pPr>
          </w:p>
        </w:tc>
        <w:tc>
          <w:tcPr>
            <w:tcW w:w="3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Terms of Our Offering</w:t>
            </w:r>
          </w:p>
        </w:tc>
        <w:tc>
          <w:tcPr>
            <w:tcW w:w="0" w:type="dxa"/>
            <w:vAlign w:val="bottom"/>
          </w:tcPr>
          <w:p>
            <w:pPr>
              <w:spacing w:after="0"/>
              <w:rPr>
                <w:sz w:val="1"/>
                <w:szCs w:val="1"/>
                <w:color w:val="auto"/>
              </w:rPr>
            </w:pPr>
          </w:p>
        </w:tc>
      </w:tr>
      <w:tr>
        <w:trPr>
          <w:trHeight w:val="163"/>
        </w:trPr>
        <w:tc>
          <w:tcPr>
            <w:tcW w:w="27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1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$220,000,000 of the net proceeds of this offering</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39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and the sale of the private placement units will be</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39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deposited into a trust account located in the</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39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United States with Continental Stock Transfer &amp;</w:t>
            </w: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39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Trust Company acting as trustee.</w:t>
            </w:r>
          </w:p>
        </w:tc>
        <w:tc>
          <w:tcPr>
            <w:tcW w:w="0" w:type="dxa"/>
            <w:vAlign w:val="bottom"/>
          </w:tcPr>
          <w:p>
            <w:pPr>
              <w:spacing w:after="0"/>
              <w:rPr>
                <w:sz w:val="1"/>
                <w:szCs w:val="1"/>
                <w:color w:val="auto"/>
              </w:rPr>
            </w:pPr>
          </w:p>
        </w:tc>
      </w:tr>
      <w:tr>
        <w:trPr>
          <w:trHeight w:val="687"/>
        </w:trPr>
        <w:tc>
          <w:tcPr>
            <w:tcW w:w="2700" w:type="dxa"/>
            <w:vAlign w:val="bottom"/>
          </w:tcPr>
          <w:p>
            <w:pPr>
              <w:spacing w:after="0"/>
              <w:rPr>
                <w:sz w:val="24"/>
                <w:szCs w:val="24"/>
                <w:color w:val="auto"/>
              </w:rPr>
            </w:pPr>
          </w:p>
        </w:tc>
        <w:tc>
          <w:tcPr>
            <w:tcW w:w="3980" w:type="dxa"/>
            <w:vAlign w:val="bottom"/>
            <w:gridSpan w:val="2"/>
          </w:tcPr>
          <w:p>
            <w:pPr>
              <w:jc w:val="right"/>
              <w:ind w:right="1669"/>
              <w:spacing w:after="0"/>
              <w:rPr>
                <w:sz w:val="20"/>
                <w:szCs w:val="20"/>
                <w:color w:val="auto"/>
              </w:rPr>
            </w:pPr>
            <w:r>
              <w:rPr>
                <w:rFonts w:ascii="Times New Roman" w:cs="Times New Roman" w:eastAsia="Times New Roman" w:hAnsi="Times New Roman"/>
                <w:sz w:val="15"/>
                <w:szCs w:val="15"/>
                <w:color w:val="auto"/>
              </w:rPr>
              <w:t>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77482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74825" cy="7620"/>
                    </a:xfrm>
                    <a:prstGeom prst="rect">
                      <a:avLst/>
                    </a:prstGeom>
                    <a:noFill/>
                  </pic:spPr>
                </pic:pic>
              </a:graphicData>
            </a:graphic>
          </wp:anchor>
        </w:drawing>
      </w:r>
    </w:p>
    <w:p>
      <w:pPr>
        <w:spacing w:after="0" w:line="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5"/>
          <w:szCs w:val="15"/>
          <w:color w:val="auto"/>
        </w:rPr>
        <w:t>Approximately $197,086,500 of the offering proceeds, representing the gross proceeds of this offering, would be required to be deposited into either an escrow account with an insured depositary institution or in a separate bank account established by a broker-dealer in</w:t>
      </w:r>
    </w:p>
    <w:p>
      <w:pPr>
        <w:sectPr>
          <w:pgSz w:w="11900" w:h="16840" w:orient="portrait"/>
          <w:cols w:equalWidth="0" w:num="2">
            <w:col w:w="7140" w:space="180"/>
            <w:col w:w="2780"/>
          </w:cols>
          <w:pgMar w:left="660" w:top="874" w:right="1140" w:bottom="1440" w:gutter="0" w:footer="0" w:header="0"/>
          <w:type w:val="continuous"/>
        </w:sectPr>
      </w:pPr>
    </w:p>
    <w:bookmarkStart w:id="176" w:name="page177"/>
    <w:bookmarkEnd w:id="176"/>
    <w:p>
      <w:pPr>
        <w:spacing w:after="0"/>
        <w:rPr>
          <w:rFonts w:ascii="Times New Roman" w:cs="Times New Roman" w:eastAsia="Times New Roman" w:hAnsi="Times New Roman"/>
          <w:sz w:val="15"/>
          <w:szCs w:val="15"/>
          <w:b w:val="1"/>
          <w:bCs w:val="1"/>
          <w:u w:val="single" w:color="auto"/>
          <w:color w:val="0000EE"/>
        </w:rPr>
      </w:pP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0"/>
        <w:spacing w:after="0" w:line="289" w:lineRule="auto"/>
        <w:rPr>
          <w:sz w:val="20"/>
          <w:szCs w:val="20"/>
          <w:color w:val="auto"/>
        </w:rPr>
      </w:pPr>
      <w:r>
        <w:rPr>
          <w:rFonts w:ascii="Times New Roman" w:cs="Times New Roman" w:eastAsia="Times New Roman" w:hAnsi="Times New Roman"/>
          <w:sz w:val="15"/>
          <w:szCs w:val="15"/>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-567055</wp:posOffset>
            </wp:positionV>
            <wp:extent cx="6749415" cy="501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49415" cy="501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wp:posOffset>
            </wp:positionV>
            <wp:extent cx="196278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9627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$220,000,000 of the net proceeds of this offering and the sale of the private placement units, held in trust will be invested in United States “government securities” within the meaning of Section 2(a)(16) of the Investment Company Act with a maturity of 185 days or less or in money market funds meeting certain conditions under Rule 2a-7 promulgated under the Investment Company Act which invest only in direct U.S. government treasury obligations.</w:t>
      </w:r>
    </w:p>
    <w:p>
      <w:pPr>
        <w:spacing w:after="0" w:line="6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5"/>
          <w:szCs w:val="15"/>
          <w:color w:val="auto"/>
        </w:rPr>
        <w:t>Interest on proceeds from the trust account to be paid to shareholders is reduced by permitted withdrawals and up to $100,000 payable for dissolution expenses.</w:t>
      </w:r>
    </w:p>
    <w:p>
      <w:pPr>
        <w:spacing w:after="0" w:line="2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5"/>
          <w:szCs w:val="15"/>
          <w:color w:val="auto"/>
        </w:rPr>
        <w:t>Our initial business combination must be with one or more target businesses or assets having an aggregate fair market value of at least 80% of the value of the trust account (less permitted withdrawals) at the time of the agreement to enter into such initial business combination.</w:t>
      </w:r>
    </w:p>
    <w:p>
      <w:pPr>
        <w:spacing w:after="0" w:line="6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5"/>
          <w:szCs w:val="15"/>
          <w:color w:val="auto"/>
        </w:rPr>
        <w:t>The public units may commence trading on or promptly after the date of this prospectus. The public shares and public rights may begin trading separately on the 52nd day after the date of this prospectus unless our underwriters inform us of their decision to allow earlier separate trading, provided we have filed with the SEC a Current Report on Form 8-K, which includes an audited balance sheet reflecting our receipt of the proceeds of this offering, such Form 8-K to be amended or supplemented with updated</w:t>
      </w:r>
    </w:p>
    <w:p>
      <w:pPr>
        <w:spacing w:after="0" w:line="1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164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77482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74825" cy="7620"/>
                    </a:xfrm>
                    <a:prstGeom prst="rect">
                      <a:avLst/>
                    </a:prstGeom>
                    <a:noFill/>
                  </pic:spPr>
                </pic:pic>
              </a:graphicData>
            </a:graphic>
          </wp:anchor>
        </w:drawing>
      </w:r>
    </w:p>
    <w:p>
      <w:pPr>
        <w:spacing w:after="0" w:line="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which the broker-dealer acts as trustee for persons having the beneficial interests in the account.</w:t>
      </w:r>
    </w:p>
    <w:p>
      <w:pPr>
        <w:spacing w:after="0" w:line="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5"/>
          <w:szCs w:val="15"/>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Interest on funds in escrow account would be held for the sole benefit of investors, unless and only after the funds held in escrow were released to us in connection with our consummation of a business combination.</w:t>
      </w:r>
    </w:p>
    <w:p>
      <w:pPr>
        <w:spacing w:after="0" w:line="6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5"/>
          <w:szCs w:val="15"/>
          <w:color w:val="auto"/>
        </w:rPr>
        <w:t>The fair value or net assets of a target business must represent at least 80% of the maximum offering proceeds.</w:t>
      </w:r>
    </w:p>
    <w:p>
      <w:pPr>
        <w:spacing w:after="0" w:line="200" w:lineRule="exact"/>
        <w:rPr>
          <w:sz w:val="20"/>
          <w:szCs w:val="20"/>
          <w:color w:val="auto"/>
        </w:rPr>
      </w:pPr>
    </w:p>
    <w:p>
      <w:pPr>
        <w:spacing w:after="0" w:line="3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5"/>
          <w:szCs w:val="15"/>
          <w:color w:val="auto"/>
        </w:rPr>
        <w:t>No trading of the public units or the underlying public shares and rights would be permitted until the completion of a business combination. During this period, the securities would be held in the escrow or trust account.</w:t>
      </w:r>
    </w:p>
    <w:p>
      <w:pPr>
        <w:sectPr>
          <w:pgSz w:w="11900" w:h="16840" w:orient="portrait"/>
          <w:cols w:equalWidth="0" w:num="3">
            <w:col w:w="3460" w:space="580"/>
            <w:col w:w="3100" w:space="180"/>
            <w:col w:w="2800"/>
          </w:cols>
          <w:pgMar w:left="660" w:top="874" w:right="1120" w:bottom="1440" w:gutter="0" w:footer="0" w:header="0"/>
        </w:sectPr>
      </w:pPr>
    </w:p>
    <w:bookmarkStart w:id="177" w:name="page178"/>
    <w:bookmarkEnd w:id="1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3"/>
                <w:szCs w:val="13"/>
                <w:b w:val="1"/>
                <w:bCs w:val="1"/>
                <w:color w:val="auto"/>
              </w:rPr>
              <w:t>Terms of Our Offering</w:t>
            </w:r>
          </w:p>
        </w:tc>
      </w:tr>
      <w:tr>
        <w:trPr>
          <w:trHeight w:val="163"/>
        </w:trPr>
        <w:tc>
          <w:tcPr>
            <w:tcW w:w="2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0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rPr>
              <w:t>financial information in the event the over-</w:t>
            </w:r>
          </w:p>
        </w:tc>
        <w:tc>
          <w:tcPr>
            <w:tcW w:w="20" w:type="dxa"/>
            <w:vAlign w:val="bottom"/>
          </w:tcPr>
          <w:p>
            <w:pPr>
              <w:spacing w:after="0"/>
              <w:rPr>
                <w:sz w:val="14"/>
                <w:szCs w:val="14"/>
                <w:color w:val="auto"/>
              </w:rPr>
            </w:pP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allotment option is exercised or if our</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underwriters permit separate trading prior to the</w:t>
            </w:r>
          </w:p>
        </w:tc>
      </w:tr>
      <w:tr>
        <w:trPr>
          <w:trHeight w:val="199"/>
        </w:trPr>
        <w:tc>
          <w:tcPr>
            <w:tcW w:w="2780" w:type="dxa"/>
            <w:vAlign w:val="bottom"/>
          </w:tcPr>
          <w:p>
            <w:pPr>
              <w:spacing w:after="0"/>
              <w:rPr>
                <w:sz w:val="17"/>
                <w:szCs w:val="17"/>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52nd day after the date of this prospectus.</w:t>
            </w:r>
          </w:p>
        </w:tc>
      </w:tr>
      <w:tr>
        <w:trPr>
          <w:trHeight w:val="251"/>
        </w:trPr>
        <w:tc>
          <w:tcPr>
            <w:tcW w:w="2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Election to remain an investor</w:t>
            </w: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We will provide our public shareholders with the</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opportunity to redeem their public shares for cash</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equal to their pro rata share of the aggregate</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amount then on deposit in the trust account as of</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two business days prior to the consummation of</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our initial business combination, including</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interest earned on the funds held in the trust</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account (which interest shall be net of permitted</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withdrawals), upon the completion of our initial</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business combination, subject to the limitations</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described herein. We may not be required by law</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to hold a shareholder vote. If we are not required</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by law and do not otherwise decide to hold a</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shareholder vote, we will, pursuant to our</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amended and restated memorandum and articles</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of association, conduct the redemptions pursuant</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to the tender offer rules of the SEC and file</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tender offer documents with the SEC which will</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contain substantially the same financial and other</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information about the initial business combination</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and the redemption rights as is required under the</w:t>
            </w:r>
          </w:p>
        </w:tc>
      </w:tr>
      <w:tr>
        <w:trPr>
          <w:trHeight w:val="199"/>
        </w:trPr>
        <w:tc>
          <w:tcPr>
            <w:tcW w:w="2780" w:type="dxa"/>
            <w:vAlign w:val="bottom"/>
          </w:tcPr>
          <w:p>
            <w:pPr>
              <w:spacing w:after="0"/>
              <w:rPr>
                <w:sz w:val="17"/>
                <w:szCs w:val="17"/>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SEC’s proxy rules.</w:t>
            </w:r>
          </w:p>
        </w:tc>
      </w:tr>
      <w:tr>
        <w:trPr>
          <w:trHeight w:val="275"/>
        </w:trPr>
        <w:tc>
          <w:tcPr>
            <w:tcW w:w="2780" w:type="dxa"/>
            <w:vAlign w:val="bottom"/>
          </w:tcPr>
          <w:p>
            <w:pPr>
              <w:spacing w:after="0"/>
              <w:rPr>
                <w:sz w:val="23"/>
                <w:szCs w:val="23"/>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If, however, we hold a shareholder vote, we will,</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like many blank check companies, offer to</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redeem shares in conjunction with a proxy</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solicitation pursuant to the tender offer rules.</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Pursuant to the tender offer rules, the tender offer</w:t>
            </w:r>
          </w:p>
        </w:tc>
      </w:tr>
      <w:tr>
        <w:trPr>
          <w:trHeight w:val="178"/>
        </w:trPr>
        <w:tc>
          <w:tcPr>
            <w:tcW w:w="2780" w:type="dxa"/>
            <w:vAlign w:val="bottom"/>
          </w:tcPr>
          <w:p>
            <w:pPr>
              <w:spacing w:after="0"/>
              <w:rPr>
                <w:sz w:val="15"/>
                <w:szCs w:val="15"/>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period will be not less than 20 business days and,</w:t>
            </w:r>
          </w:p>
        </w:tc>
      </w:tr>
      <w:tr>
        <w:trPr>
          <w:trHeight w:val="199"/>
        </w:trPr>
        <w:tc>
          <w:tcPr>
            <w:tcW w:w="2780" w:type="dxa"/>
            <w:vAlign w:val="bottom"/>
          </w:tcPr>
          <w:p>
            <w:pPr>
              <w:spacing w:after="0"/>
              <w:rPr>
                <w:sz w:val="17"/>
                <w:szCs w:val="17"/>
                <w:color w:val="auto"/>
              </w:rPr>
            </w:pPr>
          </w:p>
        </w:tc>
        <w:tc>
          <w:tcPr>
            <w:tcW w:w="39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in the case of a shareholder vote, a final proxy</w:t>
            </w:r>
          </w:p>
        </w:tc>
      </w:tr>
      <w:tr>
        <w:trPr>
          <w:trHeight w:val="343"/>
        </w:trPr>
        <w:tc>
          <w:tcPr>
            <w:tcW w:w="2780" w:type="dxa"/>
            <w:vAlign w:val="bottom"/>
          </w:tcPr>
          <w:p>
            <w:pPr>
              <w:spacing w:after="0"/>
              <w:rPr>
                <w:sz w:val="24"/>
                <w:szCs w:val="24"/>
                <w:color w:val="auto"/>
              </w:rPr>
            </w:pPr>
          </w:p>
        </w:tc>
        <w:tc>
          <w:tcPr>
            <w:tcW w:w="3900" w:type="dxa"/>
            <w:vAlign w:val="bottom"/>
            <w:gridSpan w:val="2"/>
          </w:tcPr>
          <w:p>
            <w:pPr>
              <w:jc w:val="right"/>
              <w:ind w:right="1669"/>
              <w:spacing w:after="0"/>
              <w:rPr>
                <w:sz w:val="20"/>
                <w:szCs w:val="20"/>
                <w:color w:val="auto"/>
              </w:rPr>
            </w:pPr>
            <w:r>
              <w:rPr>
                <w:rFonts w:ascii="Times New Roman" w:cs="Times New Roman" w:eastAsia="Times New Roman" w:hAnsi="Times New Roman"/>
                <w:sz w:val="15"/>
                <w:szCs w:val="15"/>
                <w:color w:val="auto"/>
              </w:rPr>
              <w:t>165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77482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748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5"/>
          <w:szCs w:val="15"/>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theinvestors and none of the securities are issued.</w:t>
      </w:r>
    </w:p>
    <w:p>
      <w:pPr>
        <w:sectPr>
          <w:pgSz w:w="11900" w:h="16840" w:orient="portrait"/>
          <w:cols w:equalWidth="0" w:num="2">
            <w:col w:w="7140" w:space="180"/>
            <w:col w:w="2800"/>
          </w:cols>
          <w:pgMar w:left="660" w:top="874" w:right="1120" w:bottom="1440" w:gutter="0" w:footer="0" w:header="0"/>
        </w:sectPr>
      </w:pPr>
    </w:p>
    <w:bookmarkStart w:id="178" w:name="page179"/>
    <w:bookmarkEnd w:id="1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3"/>
                <w:szCs w:val="13"/>
                <w:b w:val="1"/>
                <w:bCs w:val="1"/>
                <w:color w:val="auto"/>
              </w:rPr>
              <w:t>Terms of Our Offering</w:t>
            </w:r>
          </w:p>
        </w:tc>
      </w:tr>
      <w:tr>
        <w:trPr>
          <w:trHeight w:val="163"/>
        </w:trPr>
        <w:tc>
          <w:tcPr>
            <w:tcW w:w="2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0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rPr>
              <w:t>statement would be mailed to public shareholders</w:t>
            </w:r>
          </w:p>
        </w:tc>
        <w:tc>
          <w:tcPr>
            <w:tcW w:w="2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at least 20 days prior to the shareholder vote.</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However, we expect that a draft proxy statement</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would be made available to such shareholders</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well in advance of such time, providing additional</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notice of redemption if we conduct redemptions in</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conjunction with a proxy solicitation. If we seek</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shareholder approval, we will complete our initial</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business combination only if we obtain the</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approval of an ordinary resolution for such</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business combination under Cayman Islands law</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and pursuant to our amended and restated</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memorandum and articles of association (or such</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higher approval threshold as required by Cayman</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Islands law or other applicable law and pursuant</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to our amended and restated memorandum and</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articles of association). Additionally, each public</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shareholder may elect to redeem their public</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shares irrespective of whether they vote for or</w:t>
            </w:r>
          </w:p>
        </w:tc>
      </w:tr>
      <w:tr>
        <w:trPr>
          <w:trHeight w:val="199"/>
        </w:trPr>
        <w:tc>
          <w:tcPr>
            <w:tcW w:w="2320" w:type="dxa"/>
            <w:vAlign w:val="bottom"/>
          </w:tcPr>
          <w:p>
            <w:pPr>
              <w:spacing w:after="0"/>
              <w:rPr>
                <w:sz w:val="17"/>
                <w:szCs w:val="17"/>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against the proposed transaction.</w:t>
            </w:r>
          </w:p>
        </w:tc>
      </w:tr>
      <w:tr>
        <w:trPr>
          <w:trHeight w:val="275"/>
        </w:trPr>
        <w:tc>
          <w:tcPr>
            <w:tcW w:w="2320" w:type="dxa"/>
            <w:vAlign w:val="bottom"/>
          </w:tcPr>
          <w:p>
            <w:pPr>
              <w:spacing w:after="0"/>
              <w:rPr>
                <w:sz w:val="23"/>
                <w:szCs w:val="23"/>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A quorum for such meeting will consist of the</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holders present in person or by proxy of shares of</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the company representing at least one-third (1/3)</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of the voting power of all outstanding shares of</w:t>
            </w:r>
          </w:p>
        </w:tc>
      </w:tr>
      <w:tr>
        <w:trPr>
          <w:trHeight w:val="199"/>
        </w:trPr>
        <w:tc>
          <w:tcPr>
            <w:tcW w:w="2320" w:type="dxa"/>
            <w:vAlign w:val="bottom"/>
          </w:tcPr>
          <w:p>
            <w:pPr>
              <w:spacing w:after="0"/>
              <w:rPr>
                <w:sz w:val="17"/>
                <w:szCs w:val="17"/>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the company entitled to vote at such meeting.</w:t>
            </w:r>
          </w:p>
        </w:tc>
      </w:tr>
      <w:tr>
        <w:trPr>
          <w:trHeight w:val="263"/>
        </w:trPr>
        <w:tc>
          <w:tcPr>
            <w:tcW w:w="2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Release of funds</w:t>
            </w: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Except for interest earned on the funds in the trust</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account that may be released to us to pay our tax</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obligations, the proceeds held in the trust account</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will not be released until the earlier; (1) of the</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completion of our initial business combination</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within the required time period; (2) our</w:t>
            </w:r>
          </w:p>
        </w:tc>
      </w:tr>
      <w:tr>
        <w:trPr>
          <w:trHeight w:val="178"/>
        </w:trPr>
        <w:tc>
          <w:tcPr>
            <w:tcW w:w="2320" w:type="dxa"/>
            <w:vAlign w:val="bottom"/>
          </w:tcPr>
          <w:p>
            <w:pPr>
              <w:spacing w:after="0"/>
              <w:rPr>
                <w:sz w:val="15"/>
                <w:szCs w:val="15"/>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redemption of 100% of the outstanding public</w:t>
            </w:r>
          </w:p>
        </w:tc>
      </w:tr>
      <w:tr>
        <w:trPr>
          <w:trHeight w:val="199"/>
        </w:trPr>
        <w:tc>
          <w:tcPr>
            <w:tcW w:w="2320" w:type="dxa"/>
            <w:vAlign w:val="bottom"/>
          </w:tcPr>
          <w:p>
            <w:pPr>
              <w:spacing w:after="0"/>
              <w:rPr>
                <w:sz w:val="17"/>
                <w:szCs w:val="17"/>
                <w:color w:val="auto"/>
              </w:rPr>
            </w:pPr>
          </w:p>
        </w:tc>
        <w:tc>
          <w:tcPr>
            <w:tcW w:w="4380" w:type="dxa"/>
            <w:vAlign w:val="bottom"/>
            <w:gridSpan w:val="3"/>
          </w:tcPr>
          <w:p>
            <w:pPr>
              <w:ind w:left="1260"/>
              <w:spacing w:after="0"/>
              <w:rPr>
                <w:sz w:val="20"/>
                <w:szCs w:val="20"/>
                <w:color w:val="auto"/>
              </w:rPr>
            </w:pPr>
            <w:r>
              <w:rPr>
                <w:rFonts w:ascii="Times New Roman" w:cs="Times New Roman" w:eastAsia="Times New Roman" w:hAnsi="Times New Roman"/>
                <w:sz w:val="15"/>
                <w:szCs w:val="15"/>
                <w:color w:val="auto"/>
              </w:rPr>
              <w:t>shares if we have not completed</w:t>
            </w:r>
          </w:p>
        </w:tc>
      </w:tr>
      <w:tr>
        <w:trPr>
          <w:trHeight w:val="332"/>
        </w:trPr>
        <w:tc>
          <w:tcPr>
            <w:tcW w:w="2320" w:type="dxa"/>
            <w:vAlign w:val="bottom"/>
          </w:tcPr>
          <w:p>
            <w:pPr>
              <w:spacing w:after="0"/>
              <w:rPr>
                <w:sz w:val="24"/>
                <w:szCs w:val="24"/>
                <w:color w:val="auto"/>
              </w:rPr>
            </w:pPr>
          </w:p>
        </w:tc>
        <w:tc>
          <w:tcPr>
            <w:tcW w:w="4360" w:type="dxa"/>
            <w:vAlign w:val="bottom"/>
            <w:gridSpan w:val="2"/>
          </w:tcPr>
          <w:p>
            <w:pPr>
              <w:jc w:val="right"/>
              <w:ind w:right="1669"/>
              <w:spacing w:after="0"/>
              <w:rPr>
                <w:sz w:val="20"/>
                <w:szCs w:val="20"/>
                <w:color w:val="auto"/>
              </w:rPr>
            </w:pPr>
            <w:r>
              <w:rPr>
                <w:rFonts w:ascii="Times New Roman" w:cs="Times New Roman" w:eastAsia="Times New Roman" w:hAnsi="Times New Roman"/>
                <w:sz w:val="15"/>
                <w:szCs w:val="15"/>
                <w:color w:val="auto"/>
              </w:rPr>
              <w:t>166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77482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748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The proceeds held in the escrow account are not released until the earlier of the completion of a business combination or the failure to effect our initial business combination within the allotted time.</w:t>
      </w:r>
    </w:p>
    <w:p>
      <w:pPr>
        <w:sectPr>
          <w:pgSz w:w="11900" w:h="16840" w:orient="portrait"/>
          <w:cols w:equalWidth="0" w:num="2">
            <w:col w:w="7160" w:space="160"/>
            <w:col w:w="2740"/>
          </w:cols>
          <w:pgMar w:left="660" w:top="874" w:right="1180" w:bottom="1440" w:gutter="0" w:footer="0" w:header="0"/>
        </w:sectPr>
      </w:pPr>
    </w:p>
    <w:bookmarkStart w:id="179" w:name="page180"/>
    <w:bookmarkEnd w:id="179"/>
    <w:p>
      <w:pPr>
        <w:spacing w:after="0"/>
        <w:rPr>
          <w:rFonts w:ascii="Times New Roman" w:cs="Times New Roman" w:eastAsia="Times New Roman" w:hAnsi="Times New Roman"/>
          <w:sz w:val="15"/>
          <w:szCs w:val="15"/>
          <w:b w:val="1"/>
          <w:bCs w:val="1"/>
          <w:u w:val="single" w:color="auto"/>
          <w:color w:val="0000EE"/>
        </w:rPr>
      </w:pP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line="289" w:lineRule="auto"/>
        <w:rPr>
          <w:sz w:val="20"/>
          <w:szCs w:val="20"/>
          <w:color w:val="auto"/>
        </w:rPr>
      </w:pPr>
      <w:r>
        <w:rPr>
          <w:rFonts w:ascii="Times New Roman" w:cs="Times New Roman" w:eastAsia="Times New Roman" w:hAnsi="Times New Roman"/>
          <w:sz w:val="15"/>
          <w:szCs w:val="15"/>
          <w:b w:val="1"/>
          <w:bCs w:val="1"/>
          <w:color w:val="auto"/>
        </w:rPr>
        <w:t>Delivering share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-567055</wp:posOffset>
            </wp:positionV>
            <wp:extent cx="6749415" cy="501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49415" cy="501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wp:posOffset>
            </wp:positionV>
            <wp:extent cx="196278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962785" cy="7620"/>
                    </a:xfrm>
                    <a:prstGeom prst="rect">
                      <a:avLst/>
                    </a:prstGeom>
                    <a:noFill/>
                  </pic:spPr>
                </pic:pic>
              </a:graphicData>
            </a:graphic>
          </wp:anchor>
        </w:drawing>
      </w:r>
    </w:p>
    <w:p>
      <w:pPr>
        <w:spacing w:after="0" w:line="1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an initial business combination in the required time period; and, if our amended and restated memorandum and articles of association are amended to require it and (3) the redemption of any public shares properly tendered in connection with a shareholder vote to amend our amended and restated memorandum and articles of association (A) to modify the substance or timing of our obligation to redeem 100% of our public shares if we do not complete our initial business combination within the required time period or</w:t>
      </w:r>
    </w:p>
    <w:p>
      <w:pPr>
        <w:spacing w:after="0" w:line="2" w:lineRule="exact"/>
        <w:rPr>
          <w:sz w:val="20"/>
          <w:szCs w:val="20"/>
          <w:color w:val="auto"/>
        </w:rPr>
      </w:pPr>
    </w:p>
    <w:p>
      <w:pPr>
        <w:jc w:val="both"/>
        <w:ind w:right="40" w:firstLine="4"/>
        <w:spacing w:after="0" w:line="254" w:lineRule="auto"/>
        <w:tabs>
          <w:tab w:leader="none" w:pos="244"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other provision relating to shareholders’ rights or pre-business combination activity.</w:t>
      </w:r>
    </w:p>
    <w:p>
      <w:pPr>
        <w:spacing w:after="0" w:line="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vote in which the name of the beneficial owner of such shares is included. The proxy</w:t>
      </w:r>
    </w:p>
    <w:p>
      <w:pPr>
        <w:spacing w:after="0" w:line="1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167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77482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748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Many blank check companies provide that a shareholder can vote against a proposed business combination and check a box on the proxy card indicating that such shareholder is seeking to exercise its redemption rights. After the business combination is approved, the company would contact such shareholder to arrange for delivery of its share certificates to verify ownership.</w:t>
      </w:r>
    </w:p>
    <w:p>
      <w:pPr>
        <w:sectPr>
          <w:pgSz w:w="11900" w:h="16840" w:orient="portrait"/>
          <w:cols w:equalWidth="0" w:num="3">
            <w:col w:w="3780" w:space="260"/>
            <w:col w:w="3100" w:space="180"/>
            <w:col w:w="2780"/>
          </w:cols>
          <w:pgMar w:left="660" w:top="874" w:right="1140" w:bottom="1440" w:gutter="0" w:footer="0" w:header="0"/>
        </w:sectPr>
      </w:pPr>
    </w:p>
    <w:bookmarkStart w:id="180" w:name="page181"/>
    <w:bookmarkEnd w:id="180"/>
    <w:p>
      <w:pPr>
        <w:spacing w:after="0"/>
        <w:rPr>
          <w:rFonts w:ascii="Times New Roman" w:cs="Times New Roman" w:eastAsia="Times New Roman" w:hAnsi="Times New Roman"/>
          <w:sz w:val="15"/>
          <w:szCs w:val="15"/>
          <w:b w:val="1"/>
          <w:bCs w:val="1"/>
          <w:u w:val="single" w:color="auto"/>
          <w:color w:val="0000EE"/>
        </w:rPr>
      </w:pP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460"/>
        <w:spacing w:after="0" w:line="268" w:lineRule="auto"/>
        <w:rPr>
          <w:sz w:val="20"/>
          <w:szCs w:val="20"/>
          <w:color w:val="auto"/>
        </w:rPr>
      </w:pPr>
      <w:r>
        <w:rPr>
          <w:rFonts w:ascii="Times New Roman" w:cs="Times New Roman" w:eastAsia="Times New Roman" w:hAnsi="Times New Roman"/>
          <w:sz w:val="15"/>
          <w:szCs w:val="15"/>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-567055</wp:posOffset>
            </wp:positionV>
            <wp:extent cx="6749415" cy="501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49415" cy="501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wp:posOffset>
            </wp:positionV>
            <wp:extent cx="196278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62785" cy="7620"/>
                    </a:xfrm>
                    <a:prstGeom prst="rect">
                      <a:avLst/>
                    </a:prstGeom>
                    <a:noFill/>
                  </pic:spPr>
                </pic:pic>
              </a:graphicData>
            </a:graphic>
          </wp:anchor>
        </w:drawing>
      </w:r>
    </w:p>
    <w:p>
      <w:pPr>
        <w:spacing w:after="0" w:line="1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materials or tender offer documents, as applicable, that we will furnish to holders of our public shares in connection with our initial business combination will indicate whether we are requiring public shareholders to satisfy such delivery requirements, which will include the requirement that any beneficial owner on whose behalf a redemption right is being exercised must identify itself in order to validly redeem its shares. Accordingly, a public shareholder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w:t>
      </w:r>
    </w:p>
    <w:p>
      <w:pPr>
        <w:spacing w:after="0" w:line="2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(including our affiliates),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which we refer to as the “Excess Shares.” However, we would not restrict our shareholders’ ability to vote all of their shares (including Excess Shares) for or against our initial business combination.</w:t>
      </w:r>
    </w:p>
    <w:p>
      <w:pPr>
        <w:spacing w:after="0" w:line="30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168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77482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748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Many blank check companies provide no restrictions on the ability of shareholders to redeem shares based on the number of shares held by such shareholders in connection with an initial business combination.</w:t>
      </w:r>
    </w:p>
    <w:p>
      <w:pPr>
        <w:sectPr>
          <w:pgSz w:w="11900" w:h="16840" w:orient="portrait"/>
          <w:cols w:equalWidth="0" w:num="3">
            <w:col w:w="3640" w:space="400"/>
            <w:col w:w="3120" w:space="160"/>
            <w:col w:w="2780"/>
          </w:cols>
          <w:pgMar w:left="660" w:top="874" w:right="1140" w:bottom="1440" w:gutter="0" w:footer="0" w:header="0"/>
        </w:sectPr>
      </w:pPr>
    </w:p>
    <w:bookmarkStart w:id="181" w:name="page182"/>
    <w:bookmarkEnd w:id="1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MANAGEMENT</w:t>
            </w:r>
          </w:p>
        </w:tc>
      </w:tr>
      <w:tr>
        <w:trPr>
          <w:trHeight w:val="367"/>
        </w:trPr>
        <w:tc>
          <w:tcPr>
            <w:tcW w:w="320" w:type="dxa"/>
            <w:vAlign w:val="bottom"/>
          </w:tcPr>
          <w:p>
            <w:pPr>
              <w:spacing w:after="0"/>
              <w:rPr>
                <w:sz w:val="24"/>
                <w:szCs w:val="24"/>
                <w:color w:val="auto"/>
              </w:rPr>
            </w:pPr>
          </w:p>
        </w:tc>
        <w:tc>
          <w:tcPr>
            <w:tcW w:w="934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auto"/>
              </w:rPr>
              <w:t>Our current directors, director nominees and executive officers are listed below.</w:t>
            </w:r>
          </w:p>
        </w:tc>
      </w:tr>
      <w:tr>
        <w:trPr>
          <w:trHeight w:val="389"/>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2400" w:type="dxa"/>
            <w:vAlign w:val="bottom"/>
          </w:tcPr>
          <w:p>
            <w:pPr>
              <w:spacing w:after="0"/>
              <w:rPr>
                <w:sz w:val="24"/>
                <w:szCs w:val="24"/>
                <w:color w:val="auto"/>
              </w:rPr>
            </w:pPr>
          </w:p>
        </w:tc>
        <w:tc>
          <w:tcPr>
            <w:tcW w:w="1060" w:type="dxa"/>
            <w:vAlign w:val="bottom"/>
            <w:gridSpan w:val="3"/>
          </w:tcPr>
          <w:p>
            <w:pPr>
              <w:ind w:left="660"/>
              <w:spacing w:after="0"/>
              <w:rPr>
                <w:sz w:val="20"/>
                <w:szCs w:val="20"/>
                <w:color w:val="auto"/>
              </w:rPr>
            </w:pPr>
            <w:r>
              <w:rPr>
                <w:rFonts w:ascii="Times New Roman" w:cs="Times New Roman" w:eastAsia="Times New Roman" w:hAnsi="Times New Roman"/>
                <w:sz w:val="13"/>
                <w:szCs w:val="13"/>
                <w:b w:val="1"/>
                <w:bCs w:val="1"/>
                <w:color w:val="auto"/>
              </w:rPr>
              <w:t>Age</w:t>
            </w:r>
          </w:p>
        </w:tc>
        <w:tc>
          <w:tcPr>
            <w:tcW w:w="5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50"/>
        </w:trPr>
        <w:tc>
          <w:tcPr>
            <w:tcW w:w="2720" w:type="dxa"/>
            <w:vAlign w:val="bottom"/>
            <w:gridSpan w:val="2"/>
          </w:tcPr>
          <w:p>
            <w:pPr>
              <w:spacing w:after="0" w:line="151" w:lineRule="exact"/>
              <w:rPr>
                <w:sz w:val="20"/>
                <w:szCs w:val="20"/>
                <w:color w:val="auto"/>
              </w:rPr>
            </w:pPr>
            <w:r>
              <w:rPr>
                <w:rFonts w:ascii="Times New Roman" w:cs="Times New Roman" w:eastAsia="Times New Roman" w:hAnsi="Times New Roman"/>
                <w:sz w:val="15"/>
                <w:szCs w:val="15"/>
                <w:color w:val="auto"/>
              </w:rPr>
              <w:t>Dr. Avi S. Katz</w:t>
            </w:r>
          </w:p>
        </w:tc>
        <w:tc>
          <w:tcPr>
            <w:tcW w:w="660" w:type="dxa"/>
            <w:vAlign w:val="bottom"/>
          </w:tcPr>
          <w:p>
            <w:pPr>
              <w:spacing w:after="0"/>
              <w:rPr>
                <w:sz w:val="13"/>
                <w:szCs w:val="13"/>
                <w:color w:val="auto"/>
              </w:rPr>
            </w:pPr>
          </w:p>
        </w:tc>
        <w:tc>
          <w:tcPr>
            <w:tcW w:w="20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5"/>
                <w:szCs w:val="15"/>
                <w:color w:val="auto"/>
                <w:w w:val="79"/>
              </w:rPr>
              <w:t>67</w:t>
            </w:r>
          </w:p>
        </w:tc>
        <w:tc>
          <w:tcPr>
            <w:tcW w:w="200" w:type="dxa"/>
            <w:vAlign w:val="bottom"/>
          </w:tcPr>
          <w:p>
            <w:pPr>
              <w:spacing w:after="0"/>
              <w:rPr>
                <w:sz w:val="13"/>
                <w:szCs w:val="13"/>
                <w:color w:val="auto"/>
              </w:rPr>
            </w:pPr>
          </w:p>
        </w:tc>
        <w:tc>
          <w:tcPr>
            <w:tcW w:w="58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Chairman of the Board of Directors and Chief Executive Officer</w:t>
            </w: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Christine M. Marshall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0" w:type="dxa"/>
            <w:vAlign w:val="bottom"/>
          </w:tcPr>
          <w:p>
            <w:pPr>
              <w:spacing w:after="0"/>
              <w:rPr>
                <w:sz w:val="15"/>
                <w:szCs w:val="15"/>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Dr. Raluca Dinu</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00" w:type="dxa"/>
            <w:vAlign w:val="bottom"/>
          </w:tcPr>
          <w:p>
            <w:pPr>
              <w:spacing w:after="0"/>
              <w:rPr>
                <w:sz w:val="15"/>
                <w:szCs w:val="15"/>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Admiral (Ret.) David Ben-Bashat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00" w:type="dxa"/>
            <w:vAlign w:val="bottom"/>
          </w:tcPr>
          <w:p>
            <w:pPr>
              <w:spacing w:after="0"/>
              <w:rPr>
                <w:sz w:val="15"/>
                <w:szCs w:val="15"/>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Raanan I. Horowitz</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200" w:type="dxa"/>
            <w:vAlign w:val="bottom"/>
          </w:tcPr>
          <w:p>
            <w:pPr>
              <w:spacing w:after="0"/>
              <w:rPr>
                <w:sz w:val="15"/>
                <w:szCs w:val="15"/>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Ambassador Adrian Zuckerman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200" w:type="dxa"/>
            <w:vAlign w:val="bottom"/>
          </w:tcPr>
          <w:p>
            <w:pPr>
              <w:spacing w:after="0"/>
              <w:rPr>
                <w:sz w:val="15"/>
                <w:szCs w:val="15"/>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Luis Machuca</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200" w:type="dxa"/>
            <w:vAlign w:val="bottom"/>
          </w:tcPr>
          <w:p>
            <w:pPr>
              <w:spacing w:after="0"/>
              <w:rPr>
                <w:sz w:val="15"/>
                <w:szCs w:val="15"/>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Rear Admiral (Ret.) Omri Dagul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200" w:type="dxa"/>
            <w:vAlign w:val="bottom"/>
          </w:tcPr>
          <w:p>
            <w:pPr>
              <w:spacing w:after="0"/>
              <w:rPr>
                <w:sz w:val="15"/>
                <w:szCs w:val="15"/>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Bryan Timm</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00" w:type="dxa"/>
            <w:vAlign w:val="bottom"/>
          </w:tcPr>
          <w:p>
            <w:pPr>
              <w:spacing w:after="0"/>
              <w:rPr>
                <w:sz w:val="15"/>
                <w:szCs w:val="15"/>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199"/>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James Greene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20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Director Nominee</w:t>
            </w:r>
          </w:p>
        </w:tc>
      </w:tr>
    </w:tbl>
    <w:p>
      <w:pPr>
        <w:spacing w:after="0" w:line="164" w:lineRule="exact"/>
        <w:rPr>
          <w:sz w:val="20"/>
          <w:szCs w:val="20"/>
          <w:color w:val="auto"/>
        </w:rPr>
      </w:pPr>
    </w:p>
    <w:p>
      <w:pPr>
        <w:ind w:left="460" w:right="80" w:firstLine="379"/>
        <w:spacing w:after="0" w:line="248" w:lineRule="auto"/>
        <w:rPr>
          <w:sz w:val="20"/>
          <w:szCs w:val="20"/>
          <w:color w:val="auto"/>
        </w:rPr>
      </w:pPr>
      <w:r>
        <w:rPr>
          <w:rFonts w:ascii="Times New Roman" w:cs="Times New Roman" w:eastAsia="Times New Roman" w:hAnsi="Times New Roman"/>
          <w:sz w:val="15"/>
          <w:szCs w:val="15"/>
          <w:b w:val="1"/>
          <w:bCs w:val="1"/>
          <w:color w:val="auto"/>
        </w:rPr>
        <w:t xml:space="preserve">Dr. Avi S. Katz </w:t>
      </w:r>
      <w:r>
        <w:rPr>
          <w:rFonts w:ascii="Times New Roman" w:cs="Times New Roman" w:eastAsia="Times New Roman" w:hAnsi="Times New Roman"/>
          <w:sz w:val="15"/>
          <w:szCs w:val="15"/>
          <w:color w:val="auto"/>
        </w:rPr>
        <w:t>serves as our Chief Executive Officer and Chairman of the Board. Dr. Katz has served as the Chairman of the Board of QT Imaging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 -to- 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$ 10.00 per unit, with each unit consisting of one share of GIG1 common stock, three- fourths (3/4) of one warrant to purchase one share of GIG1 common stock and one right to receive one- 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w:t>
      </w:r>
    </w:p>
    <w:p>
      <w:pPr>
        <w:spacing w:after="0" w:line="14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169</w:t>
      </w:r>
    </w:p>
    <w:p>
      <w:pPr>
        <w:sectPr>
          <w:pgSz w:w="11900" w:h="16840" w:orient="portrait"/>
          <w:cols w:equalWidth="0" w:num="1">
            <w:col w:w="10120"/>
          </w:cols>
          <w:pgMar w:left="660" w:top="874" w:right="1120" w:bottom="1440" w:gutter="0" w:footer="0" w:header="0"/>
        </w:sectPr>
      </w:pPr>
    </w:p>
    <w:bookmarkStart w:id="182" w:name="page183"/>
    <w:bookmarkEnd w:id="1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160"/>
        <w:spacing w:after="0" w:line="251" w:lineRule="auto"/>
        <w:rPr>
          <w:sz w:val="20"/>
          <w:szCs w:val="20"/>
          <w:color w:val="auto"/>
        </w:rPr>
      </w:pPr>
      <w:r>
        <w:rPr>
          <w:rFonts w:ascii="Times New Roman" w:cs="Times New Roman" w:eastAsia="Times New Roman" w:hAnsi="Times New Roman"/>
          <w:sz w:val="15"/>
          <w:szCs w:val="15"/>
          <w:color w:val="auto"/>
        </w:rPr>
        <w:t>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w:t>
      </w:r>
    </w:p>
    <w:p>
      <w:pPr>
        <w:spacing w:after="0" w:line="2" w:lineRule="exact"/>
        <w:rPr>
          <w:sz w:val="20"/>
          <w:szCs w:val="20"/>
          <w:color w:val="auto"/>
        </w:rPr>
      </w:pPr>
    </w:p>
    <w:p>
      <w:pPr>
        <w:ind w:left="460" w:right="40"/>
        <w:spacing w:after="0" w:line="247" w:lineRule="auto"/>
        <w:rPr>
          <w:sz w:val="20"/>
          <w:szCs w:val="20"/>
          <w:color w:val="auto"/>
        </w:rPr>
      </w:pPr>
      <w:r>
        <w:rPr>
          <w:rFonts w:ascii="Times New Roman" w:cs="Times New Roman" w:eastAsia="Times New Roman" w:hAnsi="Times New Roman"/>
          <w:sz w:val="15"/>
          <w:szCs w:val="15"/>
          <w:color w:val="auto"/>
        </w:rPr>
        <w:t>—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w:t>
      </w:r>
    </w:p>
    <w:p>
      <w:pPr>
        <w:spacing w:after="0" w:line="3" w:lineRule="exact"/>
        <w:rPr>
          <w:sz w:val="20"/>
          <w:szCs w:val="20"/>
          <w:color w:val="auto"/>
        </w:rPr>
      </w:pPr>
    </w:p>
    <w:p>
      <w:pPr>
        <w:ind w:left="460"/>
        <w:spacing w:after="0" w:line="248" w:lineRule="auto"/>
        <w:rPr>
          <w:sz w:val="20"/>
          <w:szCs w:val="20"/>
          <w:color w:val="auto"/>
        </w:rPr>
      </w:pPr>
      <w:r>
        <w:rPr>
          <w:rFonts w:ascii="Times New Roman" w:cs="Times New Roman" w:eastAsia="Times New Roman" w:hAnsi="Times New Roman"/>
          <w:sz w:val="15"/>
          <w:szCs w:val="15"/>
          <w:color w:val="auto"/>
        </w:rPr>
        <w:t>(1)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w:t>
      </w:r>
    </w:p>
    <w:p>
      <w:pPr>
        <w:spacing w:after="0" w:line="3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170</w:t>
      </w:r>
    </w:p>
    <w:p>
      <w:pPr>
        <w:sectPr>
          <w:pgSz w:w="11900" w:h="16840" w:orient="portrait"/>
          <w:cols w:equalWidth="0" w:num="1">
            <w:col w:w="10160"/>
          </w:cols>
          <w:pgMar w:left="660" w:top="874" w:right="1080" w:bottom="1440" w:gutter="0" w:footer="0" w:header="0"/>
        </w:sectPr>
      </w:pPr>
    </w:p>
    <w:bookmarkStart w:id="183" w:name="page184"/>
    <w:bookmarkEnd w:id="1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spacing w:after="0" w:line="256" w:lineRule="auto"/>
        <w:rPr>
          <w:sz w:val="20"/>
          <w:szCs w:val="20"/>
          <w:color w:val="auto"/>
        </w:rPr>
      </w:pPr>
      <w:r>
        <w:rPr>
          <w:rFonts w:ascii="Times New Roman" w:cs="Times New Roman" w:eastAsia="Times New Roman" w:hAnsi="Times New Roman"/>
          <w:sz w:val="15"/>
          <w:szCs w:val="15"/>
          <w:color w:val="auto"/>
        </w:rPr>
        <w:t>investments in high-tech companies around the world, being a serial entrepreneur. He holds many U.S. and international patents, authored andco-authored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54" w:lineRule="exact"/>
        <w:rPr>
          <w:sz w:val="20"/>
          <w:szCs w:val="20"/>
          <w:color w:val="auto"/>
        </w:rPr>
      </w:pPr>
    </w:p>
    <w:p>
      <w:pPr>
        <w:ind w:left="460" w:firstLine="379"/>
        <w:spacing w:after="0" w:line="248" w:lineRule="auto"/>
        <w:rPr>
          <w:sz w:val="20"/>
          <w:szCs w:val="20"/>
          <w:color w:val="auto"/>
        </w:rPr>
      </w:pPr>
      <w:r>
        <w:rPr>
          <w:rFonts w:ascii="Times New Roman" w:cs="Times New Roman" w:eastAsia="Times New Roman" w:hAnsi="Times New Roman"/>
          <w:sz w:val="15"/>
          <w:szCs w:val="15"/>
          <w:b w:val="1"/>
          <w:bCs w:val="1"/>
          <w:color w:val="auto"/>
        </w:rPr>
        <w:t xml:space="preserve">Dr. Raluca Dinu </w:t>
      </w:r>
      <w:r>
        <w:rPr>
          <w:rFonts w:ascii="Times New Roman" w:cs="Times New Roman" w:eastAsia="Times New Roman" w:hAnsi="Times New Roman"/>
          <w:sz w:val="15"/>
          <w:szCs w:val="15"/>
          <w:color w:val="auto"/>
        </w:rPr>
        <w:t>is our director. Dr. Dinu is the Chief Executive Officer, President, Secretary, serving in those roles since March 2024 and as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 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 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74" w:lineRule="exact"/>
        <w:rPr>
          <w:sz w:val="20"/>
          <w:szCs w:val="20"/>
          <w:color w:val="auto"/>
        </w:rPr>
      </w:pPr>
    </w:p>
    <w:p>
      <w:pPr>
        <w:ind w:left="460" w:right="300" w:firstLine="379"/>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Christine M. Marshall </w:t>
      </w:r>
      <w:r>
        <w:rPr>
          <w:rFonts w:ascii="Times New Roman" w:cs="Times New Roman" w:eastAsia="Times New Roman" w:hAnsi="Times New Roman"/>
          <w:sz w:val="15"/>
          <w:szCs w:val="15"/>
          <w:color w:val="auto"/>
        </w:rPr>
        <w:t>joined our company as Chief Financial Officer on June 30, 2025. Ms. Marshall is an accomplished finance leader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171</w:t>
      </w:r>
    </w:p>
    <w:p>
      <w:pPr>
        <w:sectPr>
          <w:pgSz w:w="11900" w:h="16840" w:orient="portrait"/>
          <w:cols w:equalWidth="0" w:num="1">
            <w:col w:w="10140"/>
          </w:cols>
          <w:pgMar w:left="660" w:top="874" w:right="1100" w:bottom="1440" w:gutter="0" w:footer="0" w:header="0"/>
        </w:sectPr>
      </w:pPr>
    </w:p>
    <w:bookmarkStart w:id="184" w:name="page185"/>
    <w:bookmarkEnd w:id="1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51" w:lineRule="auto"/>
        <w:rPr>
          <w:sz w:val="20"/>
          <w:szCs w:val="20"/>
          <w:color w:val="auto"/>
        </w:rPr>
      </w:pPr>
      <w:r>
        <w:rPr>
          <w:rFonts w:ascii="Times New Roman" w:cs="Times New Roman" w:eastAsia="Times New Roman" w:hAnsi="Times New Roman"/>
          <w:sz w:val="15"/>
          <w:szCs w:val="15"/>
          <w:color w:val="auto"/>
        </w:rPr>
        <w:t>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161" w:lineRule="exact"/>
        <w:rPr>
          <w:sz w:val="20"/>
          <w:szCs w:val="20"/>
          <w:color w:val="auto"/>
        </w:rPr>
      </w:pPr>
    </w:p>
    <w:p>
      <w:pPr>
        <w:ind w:left="460" w:right="20" w:firstLine="379"/>
        <w:spacing w:after="0" w:line="249" w:lineRule="auto"/>
        <w:rPr>
          <w:sz w:val="20"/>
          <w:szCs w:val="20"/>
          <w:color w:val="auto"/>
        </w:rPr>
      </w:pPr>
      <w:r>
        <w:rPr>
          <w:rFonts w:ascii="Times New Roman" w:cs="Times New Roman" w:eastAsia="Times New Roman" w:hAnsi="Times New Roman"/>
          <w:sz w:val="15"/>
          <w:szCs w:val="15"/>
          <w:b w:val="1"/>
          <w:bCs w:val="1"/>
          <w:color w:val="auto"/>
        </w:rPr>
        <w:t xml:space="preserve">Admiral (Ret.) David Ben-Bashat </w:t>
      </w:r>
      <w:r>
        <w:rPr>
          <w:rFonts w:ascii="Times New Roman" w:cs="Times New Roman" w:eastAsia="Times New Roman" w:hAnsi="Times New Roman"/>
          <w:sz w:val="15"/>
          <w:szCs w:val="15"/>
          <w:color w:val="auto"/>
        </w:rPr>
        <w:t>will serve as our independent director upon the completion of this offering. V. Admiral (Ret.)Ben-Bashat was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 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 -edge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 -Bashat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166" w:lineRule="exact"/>
        <w:rPr>
          <w:sz w:val="20"/>
          <w:szCs w:val="20"/>
          <w:color w:val="auto"/>
        </w:rPr>
      </w:pPr>
    </w:p>
    <w:p>
      <w:pPr>
        <w:ind w:left="460" w:firstLine="37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Rear Admiral (Ret.) Omri Dagul </w:t>
      </w:r>
      <w:r>
        <w:rPr>
          <w:rFonts w:ascii="Times New Roman" w:cs="Times New Roman" w:eastAsia="Times New Roman" w:hAnsi="Times New Roman"/>
          <w:sz w:val="15"/>
          <w:szCs w:val="15"/>
          <w:color w:val="auto"/>
        </w:rPr>
        <w:t>will serve as our independent director upon the completion of this offering. Over several decades, R. Admiral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w:t>
      </w:r>
    </w:p>
    <w:p>
      <w:pPr>
        <w:spacing w:after="0" w:line="1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172</w:t>
      </w:r>
    </w:p>
    <w:p>
      <w:pPr>
        <w:sectPr>
          <w:pgSz w:w="11900" w:h="16840" w:orient="portrait"/>
          <w:cols w:equalWidth="0" w:num="1">
            <w:col w:w="10100"/>
          </w:cols>
          <w:pgMar w:left="660" w:top="874" w:right="1140" w:bottom="1440" w:gutter="0" w:footer="0" w:header="0"/>
        </w:sectPr>
      </w:pPr>
    </w:p>
    <w:bookmarkStart w:id="185" w:name="page186"/>
    <w:bookmarkEnd w:id="1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spacing w:after="0" w:line="284" w:lineRule="auto"/>
        <w:rPr>
          <w:sz w:val="20"/>
          <w:szCs w:val="20"/>
          <w:color w:val="auto"/>
        </w:rPr>
      </w:pPr>
      <w:r>
        <w:rPr>
          <w:rFonts w:ascii="Times New Roman" w:cs="Times New Roman" w:eastAsia="Times New Roman" w:hAnsi="Times New Roman"/>
          <w:sz w:val="15"/>
          <w:szCs w:val="15"/>
          <w:color w:val="auto"/>
        </w:rPr>
        <w:t>of Materiel Command. R. Admiral (Ret.) Omri holds a B.Sc. in Mechanical Engineering from the Technion, Haifa, Israel and a M.Sc. in Naval Architecture and Marine Engineering from the University of Michigan.</w:t>
      </w:r>
    </w:p>
    <w:p>
      <w:pPr>
        <w:spacing w:after="0" w:line="133" w:lineRule="exact"/>
        <w:rPr>
          <w:sz w:val="20"/>
          <w:szCs w:val="20"/>
          <w:color w:val="auto"/>
        </w:rPr>
      </w:pPr>
    </w:p>
    <w:p>
      <w:pPr>
        <w:ind w:left="460" w:right="40" w:firstLine="379"/>
        <w:spacing w:after="0" w:line="249" w:lineRule="auto"/>
        <w:rPr>
          <w:sz w:val="20"/>
          <w:szCs w:val="20"/>
          <w:color w:val="auto"/>
        </w:rPr>
      </w:pPr>
      <w:r>
        <w:rPr>
          <w:rFonts w:ascii="Times New Roman" w:cs="Times New Roman" w:eastAsia="Times New Roman" w:hAnsi="Times New Roman"/>
          <w:sz w:val="15"/>
          <w:szCs w:val="15"/>
          <w:b w:val="1"/>
          <w:bCs w:val="1"/>
          <w:color w:val="auto"/>
        </w:rPr>
        <w:t xml:space="preserve">Raanan I. Horowitz </w:t>
      </w:r>
      <w:r>
        <w:rPr>
          <w:rFonts w:ascii="Times New Roman" w:cs="Times New Roman" w:eastAsia="Times New Roman" w:hAnsi="Times New Roman"/>
          <w:sz w:val="15"/>
          <w:szCs w:val="15"/>
          <w:color w:val="auto"/>
        </w:rPr>
        <w:t>will serve as our independent director upon the completion of this offering. Mr. Horowitz currently serves on the Board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Trustees of the Institute for Defense Analysis, an American non -profit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 -performance products and systems solutions for the defense, homeland security, commercial aviation, and medical instrumentation markets from 2007 until March 2024. Elbit Systems of America, LLC is a wholly owned subsidiary of Elbit Systems Ltd., a global source of innovative, technology- 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61"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Ambassador Adrian Zuckerman </w:t>
      </w:r>
      <w:r>
        <w:rPr>
          <w:rFonts w:ascii="Times New Roman" w:cs="Times New Roman" w:eastAsia="Times New Roman" w:hAnsi="Times New Roman"/>
          <w:sz w:val="15"/>
          <w:szCs w:val="15"/>
          <w:color w:val="auto"/>
        </w:rPr>
        <w:t>will serve as our independent director upon the completion of this offering. Ambassador Zuckerman was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2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173</w:t>
      </w:r>
    </w:p>
    <w:p>
      <w:pPr>
        <w:sectPr>
          <w:pgSz w:w="11900" w:h="16840" w:orient="portrait"/>
          <w:cols w:equalWidth="0" w:num="1">
            <w:col w:w="10140"/>
          </w:cols>
          <w:pgMar w:left="660" w:top="874" w:right="1100" w:bottom="1440" w:gutter="0" w:footer="0" w:header="0"/>
        </w:sectPr>
      </w:pPr>
    </w:p>
    <w:bookmarkStart w:id="186" w:name="page187"/>
    <w:bookmarkEnd w:id="1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Luis Machuca </w:t>
      </w:r>
      <w:r>
        <w:rPr>
          <w:rFonts w:ascii="Times New Roman" w:cs="Times New Roman" w:eastAsia="Times New Roman" w:hAnsi="Times New Roman"/>
          <w:sz w:val="15"/>
          <w:szCs w:val="15"/>
          <w:color w:val="auto"/>
        </w:rPr>
        <w:t>will serve as our independent director upon the completion of this offering. He also serves as a director of UpHealth, Inc. (OTC Expert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337"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Bryan Timm </w:t>
      </w:r>
      <w:r>
        <w:rPr>
          <w:rFonts w:ascii="Times New Roman" w:cs="Times New Roman" w:eastAsia="Times New Roman" w:hAnsi="Times New Roman"/>
          <w:sz w:val="15"/>
          <w:szCs w:val="15"/>
          <w:color w:val="auto"/>
        </w:rPr>
        <w:t>will serve as our independent director upon the completion of this offering. Mr. Timm currently serves as a Board Advisor for Pape’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Group, a family company serving the West Coast with Kenworth, 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340"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James Greene </w:t>
      </w:r>
      <w:r>
        <w:rPr>
          <w:rFonts w:ascii="Times New Roman" w:cs="Times New Roman" w:eastAsia="Times New Roman" w:hAnsi="Times New Roman"/>
          <w:sz w:val="15"/>
          <w:szCs w:val="15"/>
          <w:color w:val="auto"/>
        </w:rPr>
        <w:t>will serve as our independent director upon completion of this offering. Mr. Greene served as a director of Umpqua Bank (Nasdaq:</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1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174</w:t>
      </w:r>
    </w:p>
    <w:p>
      <w:pPr>
        <w:sectPr>
          <w:pgSz w:w="11900" w:h="16840" w:orient="portrait"/>
          <w:cols w:equalWidth="0" w:num="1">
            <w:col w:w="10120"/>
          </w:cols>
          <w:pgMar w:left="660" w:top="874" w:right="1120" w:bottom="1440" w:gutter="0" w:footer="0" w:header="0"/>
        </w:sectPr>
      </w:pPr>
    </w:p>
    <w:bookmarkStart w:id="187" w:name="page188"/>
    <w:bookmarkEnd w:id="1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Number, Terms of Office and Election of Executive Officers and Directors</w:t>
      </w:r>
    </w:p>
    <w:p>
      <w:pPr>
        <w:spacing w:after="0" w:line="104" w:lineRule="exact"/>
        <w:rPr>
          <w:sz w:val="20"/>
          <w:szCs w:val="20"/>
          <w:color w:val="auto"/>
        </w:rPr>
      </w:pPr>
    </w:p>
    <w:p>
      <w:pPr>
        <w:ind w:left="460" w:right="40" w:firstLine="379"/>
        <w:spacing w:after="0" w:line="284" w:lineRule="auto"/>
        <w:rPr>
          <w:sz w:val="20"/>
          <w:szCs w:val="20"/>
          <w:color w:val="auto"/>
        </w:rPr>
      </w:pPr>
      <w:r>
        <w:rPr>
          <w:rFonts w:ascii="Times New Roman" w:cs="Times New Roman" w:eastAsia="Times New Roman" w:hAnsi="Times New Roman"/>
          <w:sz w:val="15"/>
          <w:szCs w:val="15"/>
          <w:color w:val="auto"/>
        </w:rPr>
        <w:t>Our board of directors will be elected each year at our annual meeting of shareholders. We may not hold an annual meeting of shareholders until after we consummate our initial business combination (unless required by Nasdaq).</w:t>
      </w:r>
    </w:p>
    <w:p>
      <w:pPr>
        <w:spacing w:after="0" w:line="137"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Our executive officers are elected by the board of directors and serve at the discretion of the board of directors, rather than for specific terms of office. Our board of directors is authorized by our amended and restated memorandum and articles of association to appoint persons to serve as officers as it deems appropriate. Our executive officers may consist of a Chairman, a Chief Executive Officer, a President, a Chief Financial Officer, Vice Presidents, a Secretary, Assistant Secretaries, a Treasurer and such other offices as may be determined by the board of directors.</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04"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Nasdaq requires that a majority of our board must be composed of “independent directors,” which is defined generally as a person other than an executive officer or employee of our company or its subsidiaries or any other individual having a relationship, which, in the opinion of our company’s board of directors would interfere with the director’s exercise of independent judgment in carrying out the responsibilities of a director.</w:t>
      </w:r>
    </w:p>
    <w:p>
      <w:pPr>
        <w:spacing w:after="0" w:line="151" w:lineRule="exact"/>
        <w:rPr>
          <w:sz w:val="20"/>
          <w:szCs w:val="20"/>
          <w:color w:val="auto"/>
        </w:rPr>
      </w:pPr>
    </w:p>
    <w:p>
      <w:pPr>
        <w:ind w:left="460" w:right="40" w:firstLine="379"/>
        <w:spacing w:after="0" w:line="254" w:lineRule="auto"/>
        <w:rPr>
          <w:sz w:val="20"/>
          <w:szCs w:val="20"/>
          <w:color w:val="auto"/>
        </w:rPr>
      </w:pPr>
      <w:r>
        <w:rPr>
          <w:rFonts w:ascii="Times New Roman" w:cs="Times New Roman" w:eastAsia="Times New Roman" w:hAnsi="Times New Roman"/>
          <w:sz w:val="15"/>
          <w:szCs w:val="15"/>
          <w:color w:val="auto"/>
        </w:rPr>
        <w:t>Upon the effective date of the registration statement of which this prospectus forms a part, Mr. Horowitz, Ambassador Zuckerman, V. Admiral (Ret.) Ben-Bashat. Rear Admiral (Ret.) Dagul, Mr. Machuca and Mr. Timm will be our independent directors. Our independent directors may have regularly scheduled meetings at which only independent directors are present in certain circumstances. Any initial business combination must be approved by a majority of our independent directors. Any affiliated transactions will be on terms no less favorable to us than could be obtained from independent parties. Any affiliated transactions must be approved by a majority of our independent and disinterested directors, and neither the sponsor, nor any executive officer or director, will be entitled to receive or accept a finder’s fee or any other compensation in the event such party originates a business combination.</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Executive Officer and Director Compensation</w:t>
      </w:r>
    </w:p>
    <w:p>
      <w:pPr>
        <w:spacing w:after="0" w:line="104" w:lineRule="exact"/>
        <w:rPr>
          <w:sz w:val="20"/>
          <w:szCs w:val="20"/>
          <w:color w:val="auto"/>
        </w:rPr>
      </w:pPr>
    </w:p>
    <w:p>
      <w:pPr>
        <w:ind w:left="460" w:right="40" w:firstLine="379"/>
        <w:spacing w:after="0" w:line="252" w:lineRule="auto"/>
        <w:rPr>
          <w:sz w:val="20"/>
          <w:szCs w:val="20"/>
          <w:color w:val="auto"/>
        </w:rPr>
      </w:pPr>
      <w:r>
        <w:rPr>
          <w:rFonts w:ascii="Times New Roman" w:cs="Times New Roman" w:eastAsia="Times New Roman" w:hAnsi="Times New Roman"/>
          <w:sz w:val="15"/>
          <w:szCs w:val="15"/>
          <w:color w:val="auto"/>
        </w:rPr>
        <w:t>Commencing on the date that our securities are first listed on Nasdaq through the earlier of consummation of our initial business combination and our liquidation, we will pay GigManagement, LLC, an affiliate of our sponsor, a monthly fee of $30,000 per month for office space and general and administrative services until the consummation of an initial business combination. The Chief Financial Officer shall be entitled to payment of up to $15,000 per month for services in such capacity, and sponsor and the officers and directors shall also be entitled to reimbursement from our company for their out-of-pocket expenses incurred and advisory fees shall be paid to the directors and advisors in connection with certain activities on our company’s behalf. This arrangement is being agreed to by GigManagement, LLC, an affiliate of our Chairman of our board of directors, for our benefit and is not intended to provide such affiliate of our Chairman of our board of directors and Chief Executive Officer compensation in lieu of a salary. We believe that such fees are at least as favorable as we could have obtained from an unaffiliated third party for such services.</w:t>
      </w:r>
    </w:p>
    <w:p>
      <w:pPr>
        <w:spacing w:after="0" w:line="162" w:lineRule="exact"/>
        <w:rPr>
          <w:sz w:val="20"/>
          <w:szCs w:val="20"/>
          <w:color w:val="auto"/>
        </w:rPr>
      </w:pPr>
    </w:p>
    <w:p>
      <w:pPr>
        <w:ind w:left="460" w:right="40" w:firstLine="379"/>
        <w:spacing w:after="0" w:line="254" w:lineRule="auto"/>
        <w:rPr>
          <w:sz w:val="20"/>
          <w:szCs w:val="20"/>
          <w:color w:val="auto"/>
        </w:rPr>
      </w:pPr>
      <w:r>
        <w:rPr>
          <w:rFonts w:ascii="Times New Roman" w:cs="Times New Roman" w:eastAsia="Times New Roman" w:hAnsi="Times New Roman"/>
          <w:sz w:val="15"/>
          <w:szCs w:val="15"/>
          <w:color w:val="auto"/>
        </w:rPr>
        <w:t>Except as set forth above and in this paragraph, no compensation will be paid to our sponsor, executive officers and directors, or any of their respective affiliates, prior to or in connection with the consummation of our initial business combination. Additionally, these individuals will be reimbursed for any out-of-pocket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independent directors will review on a quarterly basis all payments that were made to our sponsor, executive officers, directors or our or their affiliates.</w:t>
      </w:r>
    </w:p>
    <w:p>
      <w:pPr>
        <w:spacing w:after="0" w:line="160" w:lineRule="exact"/>
        <w:rPr>
          <w:sz w:val="20"/>
          <w:szCs w:val="20"/>
          <w:color w:val="auto"/>
        </w:rPr>
      </w:pPr>
    </w:p>
    <w:p>
      <w:pPr>
        <w:ind w:left="460" w:right="780" w:firstLine="379"/>
        <w:spacing w:after="0" w:line="284" w:lineRule="auto"/>
        <w:rPr>
          <w:sz w:val="20"/>
          <w:szCs w:val="20"/>
          <w:color w:val="auto"/>
        </w:rPr>
      </w:pPr>
      <w:r>
        <w:rPr>
          <w:rFonts w:ascii="Times New Roman" w:cs="Times New Roman" w:eastAsia="Times New Roman" w:hAnsi="Times New Roman"/>
          <w:sz w:val="15"/>
          <w:szCs w:val="15"/>
          <w:color w:val="auto"/>
        </w:rPr>
        <w:t>After the completion of our initial business combination, members of our management team who remain with us, may be paid consulting, management or other fees from the combined company with any and all</w:t>
      </w:r>
    </w:p>
    <w:p>
      <w:pPr>
        <w:spacing w:after="0" w:line="1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175</w:t>
      </w:r>
    </w:p>
    <w:p>
      <w:pPr>
        <w:sectPr>
          <w:pgSz w:w="11900" w:h="16840" w:orient="portrait"/>
          <w:cols w:equalWidth="0" w:num="1">
            <w:col w:w="10100"/>
          </w:cols>
          <w:pgMar w:left="660" w:top="874" w:right="1140" w:bottom="1440" w:gutter="0" w:footer="0" w:header="0"/>
        </w:sectPr>
      </w:pPr>
    </w:p>
    <w:bookmarkStart w:id="188" w:name="page189"/>
    <w:bookmarkEnd w:id="1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5"/>
          <w:szCs w:val="15"/>
          <w:color w:val="auto"/>
        </w:rPr>
        <w:t>amounts being fully disclosed to shareholders, to the extent then known, in the tender offer materials or proxy solicitation materials furnished to our shareholders in connection with a proposed business combination. It is unlikely the amount of such compensation will be known at the time, as it will be up to the directors of the post-combination business to determine executive and director compensation. Any compensation to be paid to our officers will be determined, or recommenced, to the board of directors for determination, either by a committee constituted solely of independent directors or by a majority of the independent directors on our board of directors.</w:t>
      </w:r>
    </w:p>
    <w:p>
      <w:pPr>
        <w:spacing w:after="0" w:line="158"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the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Committees of the Board of Directors</w:t>
      </w:r>
    </w:p>
    <w:p>
      <w:pPr>
        <w:spacing w:after="0" w:line="104" w:lineRule="exact"/>
        <w:rPr>
          <w:sz w:val="20"/>
          <w:szCs w:val="20"/>
          <w:color w:val="auto"/>
        </w:rPr>
      </w:pPr>
    </w:p>
    <w:p>
      <w:pPr>
        <w:ind w:left="460" w:right="80" w:firstLine="379"/>
        <w:spacing w:after="0" w:line="256" w:lineRule="auto"/>
        <w:rPr>
          <w:sz w:val="20"/>
          <w:szCs w:val="20"/>
          <w:color w:val="auto"/>
        </w:rPr>
      </w:pPr>
      <w:r>
        <w:rPr>
          <w:rFonts w:ascii="Times New Roman" w:cs="Times New Roman" w:eastAsia="Times New Roman" w:hAnsi="Times New Roman"/>
          <w:sz w:val="15"/>
          <w:szCs w:val="15"/>
          <w:color w:val="auto"/>
        </w:rPr>
        <w:t>Upon the effective date of the Registration Statement of which this prospectus forms a part, our board of directors will have three standing committees: an audit committee; a compensation committee; and a nominating and corporate governance committee. Each of our audit committee, our compensation committee and our nominating and corporate governance committee will be composed solely of independent directors. Each committee will operate under a charter that will be approved by our board of directors and will have the composition and responsibilities described below. The charter of each committee will be available on our website following the closing of this offering.</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Audit Committee</w:t>
      </w:r>
    </w:p>
    <w:p>
      <w:pPr>
        <w:spacing w:after="0" w:line="104" w:lineRule="exact"/>
        <w:rPr>
          <w:sz w:val="20"/>
          <w:szCs w:val="20"/>
          <w:color w:val="auto"/>
        </w:rPr>
      </w:pPr>
    </w:p>
    <w:p>
      <w:pPr>
        <w:ind w:left="460" w:right="120" w:firstLine="379"/>
        <w:spacing w:after="0" w:line="259" w:lineRule="auto"/>
        <w:rPr>
          <w:sz w:val="20"/>
          <w:szCs w:val="20"/>
          <w:color w:val="auto"/>
        </w:rPr>
      </w:pPr>
      <w:r>
        <w:rPr>
          <w:rFonts w:ascii="Times New Roman" w:cs="Times New Roman" w:eastAsia="Times New Roman" w:hAnsi="Times New Roman"/>
          <w:sz w:val="15"/>
          <w:szCs w:val="15"/>
          <w:color w:val="auto"/>
        </w:rPr>
        <w:t>Upon the effectiveness of the registration statement of which this prospectus forms a part, we will establish an audit committee of the board of directors. Mr. Horowitz and Ambassador Zuckerman will serve as members of our audit committee. Mr. Timm will serve as the chairman of the audit committee. Under Nasdaq listing standards and applicable SEC rules, we are required to have three members of the audit committee, all of whom must be independent. Each of Mr. Timm, Mr. Horowitz and Ambassador Zuckerman are independent.</w:t>
      </w:r>
    </w:p>
    <w:p>
      <w:pPr>
        <w:spacing w:after="0" w:line="156" w:lineRule="exact"/>
        <w:rPr>
          <w:sz w:val="20"/>
          <w:szCs w:val="20"/>
          <w:color w:val="auto"/>
        </w:rPr>
      </w:pPr>
    </w:p>
    <w:p>
      <w:pPr>
        <w:ind w:left="460" w:right="100" w:firstLine="379"/>
        <w:spacing w:after="0" w:line="284" w:lineRule="auto"/>
        <w:rPr>
          <w:sz w:val="20"/>
          <w:szCs w:val="20"/>
          <w:color w:val="auto"/>
        </w:rPr>
      </w:pPr>
      <w:r>
        <w:rPr>
          <w:rFonts w:ascii="Times New Roman" w:cs="Times New Roman" w:eastAsia="Times New Roman" w:hAnsi="Times New Roman"/>
          <w:sz w:val="15"/>
          <w:szCs w:val="15"/>
          <w:color w:val="auto"/>
        </w:rPr>
        <w:t>Each member of the audit committee is financially literate and our board of directors will determine that Mr. Timm qualifies as an “audit committee financial expert” as defined in applicable SEC rules.</w:t>
      </w:r>
    </w:p>
    <w:p>
      <w:pPr>
        <w:spacing w:after="0" w:line="1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We will adopt an audit committee charter, which will detail the purpose and principal functions of the audit committee, including:</w:t>
      </w:r>
    </w:p>
    <w:p>
      <w:pPr>
        <w:spacing w:after="0" w:line="124" w:lineRule="exact"/>
        <w:rPr>
          <w:sz w:val="20"/>
          <w:szCs w:val="20"/>
          <w:color w:val="auto"/>
        </w:rPr>
      </w:pPr>
    </w:p>
    <w:p>
      <w:pPr>
        <w:ind w:left="1300" w:right="100" w:hanging="371"/>
        <w:spacing w:after="0" w:line="256" w:lineRule="auto"/>
        <w:tabs>
          <w:tab w:leader="none" w:pos="13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assisting the board of directors in the oversight of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firms, and (5) the qualifications and independence of the company’s independent registered public accounting firms;</w:t>
      </w:r>
    </w:p>
    <w:p>
      <w:pPr>
        <w:spacing w:after="0" w:line="86" w:lineRule="exact"/>
        <w:rPr>
          <w:rFonts w:ascii="Times New Roman" w:cs="Times New Roman" w:eastAsia="Times New Roman" w:hAnsi="Times New Roman"/>
          <w:sz w:val="15"/>
          <w:szCs w:val="15"/>
          <w:color w:val="auto"/>
        </w:rPr>
      </w:pPr>
    </w:p>
    <w:p>
      <w:pPr>
        <w:ind w:left="1300" w:right="420" w:hanging="371"/>
        <w:spacing w:after="0" w:line="284" w:lineRule="auto"/>
        <w:tabs>
          <w:tab w:leader="none" w:pos="13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each of the internal and independent registered public accounting firms the overall scope and plans for audits, including authority and organizational reporting lines and adequacy of staffing and compensation;</w:t>
      </w:r>
    </w:p>
    <w:p>
      <w:pPr>
        <w:spacing w:after="0" w:line="1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176</w:t>
      </w:r>
    </w:p>
    <w:p>
      <w:pPr>
        <w:sectPr>
          <w:pgSz w:w="11900" w:h="16840" w:orient="portrait"/>
          <w:cols w:equalWidth="0" w:num="1">
            <w:col w:w="10060"/>
          </w:cols>
          <w:pgMar w:left="660" w:top="874" w:right="1180" w:bottom="1440" w:gutter="0" w:footer="0" w:header="0"/>
        </w:sectPr>
      </w:pPr>
    </w:p>
    <w:bookmarkStart w:id="189" w:name="page190"/>
    <w:bookmarkEnd w:id="1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hanging="371"/>
        <w:spacing w:after="0" w:line="265"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w:t>
      </w:r>
    </w:p>
    <w:p>
      <w:pPr>
        <w:spacing w:after="0" w:line="80" w:lineRule="exact"/>
        <w:rPr>
          <w:rFonts w:ascii="Times New Roman" w:cs="Times New Roman" w:eastAsia="Times New Roman" w:hAnsi="Times New Roman"/>
          <w:sz w:val="15"/>
          <w:szCs w:val="15"/>
          <w:color w:val="auto"/>
        </w:rPr>
      </w:pPr>
    </w:p>
    <w:p>
      <w:pPr>
        <w:ind w:left="1300" w:right="160" w:hanging="371"/>
        <w:spacing w:after="0" w:line="284"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internal auditors and the independent registered public accounting firm the company’s financial and critical accounting practices, and policies relating to risk assessment and management;</w:t>
      </w:r>
    </w:p>
    <w:p>
      <w:pPr>
        <w:spacing w:after="0" w:line="65" w:lineRule="exact"/>
        <w:rPr>
          <w:rFonts w:ascii="Times New Roman" w:cs="Times New Roman" w:eastAsia="Times New Roman" w:hAnsi="Times New Roman"/>
          <w:sz w:val="15"/>
          <w:szCs w:val="15"/>
          <w:color w:val="auto"/>
        </w:rPr>
      </w:pPr>
    </w:p>
    <w:p>
      <w:pPr>
        <w:ind w:left="1300" w:right="200" w:hanging="371"/>
        <w:spacing w:after="0" w:line="256"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receiving and reviewing reports of the independent registered public accounting firm and discussing 1) all critical accounting policies and practices to be used in the firm’s audit of the company’s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spacing w:after="0" w:line="86" w:lineRule="exact"/>
        <w:rPr>
          <w:rFonts w:ascii="Times New Roman" w:cs="Times New Roman" w:eastAsia="Times New Roman" w:hAnsi="Times New Roman"/>
          <w:sz w:val="15"/>
          <w:szCs w:val="15"/>
          <w:color w:val="auto"/>
        </w:rPr>
      </w:pPr>
    </w:p>
    <w:p>
      <w:pPr>
        <w:ind w:left="1300" w:right="220" w:hanging="371"/>
        <w:spacing w:after="0" w:line="265"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management and the independent registered public accounting firm the annual and quarterly financial statements and section entitled “</w:t>
      </w:r>
      <w:r>
        <w:rPr>
          <w:rFonts w:ascii="Times New Roman" w:cs="Times New Roman" w:eastAsia="Times New Roman" w:hAnsi="Times New Roman"/>
          <w:sz w:val="15"/>
          <w:szCs w:val="15"/>
          <w:i w:val="1"/>
          <w:iCs w:val="1"/>
          <w:color w:val="auto"/>
        </w:rPr>
        <w:t>Management’s Discussion and Analysis of Financial Condition and Results of Operations</w:t>
      </w:r>
      <w:r>
        <w:rPr>
          <w:rFonts w:ascii="Times New Roman" w:cs="Times New Roman" w:eastAsia="Times New Roman" w:hAnsi="Times New Roman"/>
          <w:sz w:val="15"/>
          <w:szCs w:val="15"/>
          <w:color w:val="auto"/>
        </w:rPr>
        <w:t>” of the company prior to the filing of the company’s Annual Report on Form 10-K and Quarterly Reports on Form 10-Q;</w:t>
      </w:r>
    </w:p>
    <w:p>
      <w:pPr>
        <w:spacing w:after="0" w:line="80" w:lineRule="exact"/>
        <w:rPr>
          <w:rFonts w:ascii="Times New Roman" w:cs="Times New Roman" w:eastAsia="Times New Roman" w:hAnsi="Times New Roman"/>
          <w:sz w:val="15"/>
          <w:szCs w:val="15"/>
          <w:color w:val="auto"/>
        </w:rPr>
      </w:pPr>
    </w:p>
    <w:p>
      <w:pPr>
        <w:ind w:left="1300" w:right="220" w:hanging="371"/>
        <w:spacing w:after="0" w:line="284"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or establishing, standards for the type of information and the type of presentation of such information to be included in, earnings press releases and earnings guidance provided to analysts and rating agencies;</w:t>
      </w:r>
    </w:p>
    <w:p>
      <w:pPr>
        <w:spacing w:after="0" w:line="65" w:lineRule="exact"/>
        <w:rPr>
          <w:rFonts w:ascii="Times New Roman" w:cs="Times New Roman" w:eastAsia="Times New Roman" w:hAnsi="Times New Roman"/>
          <w:sz w:val="15"/>
          <w:szCs w:val="15"/>
          <w:color w:val="auto"/>
        </w:rPr>
      </w:pPr>
    </w:p>
    <w:p>
      <w:pPr>
        <w:ind w:left="1300" w:right="600" w:hanging="371"/>
        <w:spacing w:after="0" w:line="284"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with management and the independent registered public accounting firm any changes in the company’s critical accounting principles and the effects of alternative GAAP methods, off-balance sheet structures and regulatory and accounting initiatives;</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material pending legal proceedings involving the company and other contingent liabilities;</w:t>
      </w:r>
    </w:p>
    <w:p>
      <w:pPr>
        <w:spacing w:after="0" w:line="123" w:lineRule="exact"/>
        <w:rPr>
          <w:rFonts w:ascii="Times New Roman" w:cs="Times New Roman" w:eastAsia="Times New Roman" w:hAnsi="Times New Roman"/>
          <w:sz w:val="15"/>
          <w:szCs w:val="15"/>
          <w:color w:val="auto"/>
        </w:rPr>
      </w:pPr>
    </w:p>
    <w:p>
      <w:pPr>
        <w:ind w:left="1300" w:right="340" w:hanging="371"/>
        <w:spacing w:after="0" w:line="284"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meeting periodically with the Chief Executive Officer, Chief Financial Officer, the senior internal auditing executive and the independent registered public accounting firm in separate executive sessions to discuss results of examinations;</w:t>
      </w:r>
    </w:p>
    <w:p>
      <w:pPr>
        <w:spacing w:after="0" w:line="65" w:lineRule="exact"/>
        <w:rPr>
          <w:rFonts w:ascii="Times New Roman" w:cs="Times New Roman" w:eastAsia="Times New Roman" w:hAnsi="Times New Roman"/>
          <w:sz w:val="15"/>
          <w:szCs w:val="15"/>
          <w:color w:val="auto"/>
        </w:rPr>
      </w:pPr>
    </w:p>
    <w:p>
      <w:pPr>
        <w:ind w:left="1300" w:right="520" w:hanging="371"/>
        <w:spacing w:after="0" w:line="284"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all transactions between the company and related parties or affiliates of the officers of the company requiring disclosure under Item 404 of Regulation S-K prior to the company entering into such transactions;</w:t>
      </w:r>
    </w:p>
    <w:p>
      <w:pPr>
        <w:spacing w:after="0" w:line="65" w:lineRule="exact"/>
        <w:rPr>
          <w:rFonts w:ascii="Times New Roman" w:cs="Times New Roman" w:eastAsia="Times New Roman" w:hAnsi="Times New Roman"/>
          <w:sz w:val="15"/>
          <w:szCs w:val="15"/>
          <w:color w:val="auto"/>
        </w:rPr>
      </w:pPr>
    </w:p>
    <w:p>
      <w:pPr>
        <w:ind w:left="1300" w:right="360" w:hanging="371"/>
        <w:spacing w:after="0" w:line="265"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w:t>
      </w:r>
    </w:p>
    <w:p>
      <w:pPr>
        <w:spacing w:after="0" w:line="80" w:lineRule="exact"/>
        <w:rPr>
          <w:rFonts w:ascii="Times New Roman" w:cs="Times New Roman" w:eastAsia="Times New Roman" w:hAnsi="Times New Roman"/>
          <w:sz w:val="15"/>
          <w:szCs w:val="15"/>
          <w:color w:val="auto"/>
        </w:rPr>
      </w:pPr>
    </w:p>
    <w:p>
      <w:pPr>
        <w:ind w:left="1300" w:right="60" w:hanging="371"/>
        <w:spacing w:after="0" w:line="256" w:lineRule="auto"/>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periodically with the company’s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w:t>
      </w:r>
    </w:p>
    <w:p>
      <w:pPr>
        <w:spacing w:after="0" w:line="86"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policies for the hiring of employees and former employees of the independent registered public accounting firm.</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Compensation Committee</w:t>
      </w:r>
    </w:p>
    <w:p>
      <w:pPr>
        <w:spacing w:after="0" w:line="104" w:lineRule="exact"/>
        <w:rPr>
          <w:sz w:val="20"/>
          <w:szCs w:val="20"/>
          <w:color w:val="auto"/>
        </w:rPr>
      </w:pPr>
    </w:p>
    <w:p>
      <w:pPr>
        <w:ind w:left="460" w:right="40" w:firstLine="379"/>
        <w:spacing w:after="0" w:line="291" w:lineRule="auto"/>
        <w:rPr>
          <w:sz w:val="20"/>
          <w:szCs w:val="20"/>
          <w:color w:val="auto"/>
        </w:rPr>
      </w:pPr>
      <w:r>
        <w:rPr>
          <w:rFonts w:ascii="Times New Roman" w:cs="Times New Roman" w:eastAsia="Times New Roman" w:hAnsi="Times New Roman"/>
          <w:sz w:val="15"/>
          <w:szCs w:val="15"/>
          <w:color w:val="auto"/>
        </w:rPr>
        <w:t>Upon the effectiveness of the registration statement of which this prospectus forms a part, we will establish a compensation committee of the board of directors. The members of our compensation committee will be [</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w:t>
      </w:r>
    </w:p>
    <w:p>
      <w:pPr>
        <w:spacing w:after="0" w:line="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177</w:t>
      </w:r>
    </w:p>
    <w:p>
      <w:pPr>
        <w:sectPr>
          <w:pgSz w:w="11900" w:h="16840" w:orient="portrait"/>
          <w:cols w:equalWidth="0" w:num="1">
            <w:col w:w="10120"/>
          </w:cols>
          <w:pgMar w:left="660" w:top="874" w:right="1120" w:bottom="1440" w:gutter="0" w:footer="0" w:header="0"/>
        </w:sectPr>
      </w:pPr>
    </w:p>
    <w:bookmarkStart w:id="190" w:name="page191"/>
    <w:bookmarkEnd w:id="1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60"/>
        <w:spacing w:after="0" w:line="284" w:lineRule="auto"/>
        <w:rPr>
          <w:sz w:val="20"/>
          <w:szCs w:val="20"/>
          <w:color w:val="auto"/>
        </w:rPr>
      </w:pPr>
      <w:r>
        <w:rPr>
          <w:rFonts w:ascii="Times New Roman" w:cs="Times New Roman" w:eastAsia="Times New Roman" w:hAnsi="Times New Roman"/>
          <w:sz w:val="15"/>
          <w:szCs w:val="15"/>
          <w:color w:val="auto"/>
        </w:rPr>
        <w:t>and Ambassador Zuckerman, and Mr. Horowitz will serve as the chairman of the compensation committee. We will adopt a compensation committee charter, which will detail the purpose and responsibility of the compensation committee, including:</w:t>
      </w:r>
    </w:p>
    <w:p>
      <w:pPr>
        <w:spacing w:after="0" w:line="66" w:lineRule="exact"/>
        <w:rPr>
          <w:sz w:val="20"/>
          <w:szCs w:val="20"/>
          <w:color w:val="auto"/>
        </w:rPr>
      </w:pPr>
    </w:p>
    <w:p>
      <w:pPr>
        <w:ind w:left="1300" w:hanging="371"/>
        <w:spacing w:after="0"/>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performance of the Chief Executive Officer and executive management;</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assisting the Board in developing and evaluating potential candidates for executive positions (including Chief Executive Officer);</w:t>
      </w:r>
    </w:p>
    <w:p>
      <w:pPr>
        <w:spacing w:after="0" w:line="123" w:lineRule="exact"/>
        <w:rPr>
          <w:rFonts w:ascii="Times New Roman" w:cs="Times New Roman" w:eastAsia="Times New Roman" w:hAnsi="Times New Roman"/>
          <w:sz w:val="15"/>
          <w:szCs w:val="15"/>
          <w:color w:val="auto"/>
        </w:rPr>
      </w:pPr>
    </w:p>
    <w:p>
      <w:pPr>
        <w:ind w:left="1300" w:right="20" w:hanging="371"/>
        <w:spacing w:after="0" w:line="265" w:lineRule="auto"/>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goals and objectives relevant to the Chief Executive Officer and other executive officer compensation, evaluating the Chief Executive Officer’s and other executive officers’ performance in light of these corporate goals and objectives, and setting the Chief Executive Officer and other executive officer compensation levels consistent with its evaluation and the company philosophy;</w:t>
      </w:r>
    </w:p>
    <w:p>
      <w:pPr>
        <w:spacing w:after="0" w:line="80"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the salaries, bonus and other compensation for all executive officers;</w:t>
      </w:r>
    </w:p>
    <w:p>
      <w:pPr>
        <w:spacing w:after="0" w:line="123" w:lineRule="exact"/>
        <w:rPr>
          <w:rFonts w:ascii="Times New Roman" w:cs="Times New Roman" w:eastAsia="Times New Roman" w:hAnsi="Times New Roman"/>
          <w:sz w:val="15"/>
          <w:szCs w:val="15"/>
          <w:color w:val="auto"/>
        </w:rPr>
      </w:pPr>
    </w:p>
    <w:p>
      <w:pPr>
        <w:ind w:left="1300" w:right="200" w:hanging="371"/>
        <w:spacing w:after="0" w:line="284" w:lineRule="auto"/>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compensation packages for new corporate officers and termination packages for corporate officers as requested by management;</w:t>
      </w:r>
    </w:p>
    <w:p>
      <w:pPr>
        <w:spacing w:after="0" w:line="65" w:lineRule="exact"/>
        <w:rPr>
          <w:rFonts w:ascii="Times New Roman" w:cs="Times New Roman" w:eastAsia="Times New Roman" w:hAnsi="Times New Roman"/>
          <w:sz w:val="15"/>
          <w:szCs w:val="15"/>
          <w:color w:val="auto"/>
        </w:rPr>
      </w:pPr>
    </w:p>
    <w:p>
      <w:pPr>
        <w:ind w:left="1300" w:right="160" w:hanging="371"/>
        <w:spacing w:after="0" w:line="284" w:lineRule="auto"/>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the board of directors and senior officers plans for officer development and corporate succession plans for the Chief Executive Officer and other senior officers;</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concerning executive compensation policies and plans;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to the board of directors the adoption of or changes to the compensation of the Company’s directors;</w:t>
      </w:r>
    </w:p>
    <w:p>
      <w:pPr>
        <w:spacing w:after="0" w:line="123" w:lineRule="exact"/>
        <w:rPr>
          <w:rFonts w:ascii="Times New Roman" w:cs="Times New Roman" w:eastAsia="Times New Roman" w:hAnsi="Times New Roman"/>
          <w:sz w:val="15"/>
          <w:szCs w:val="15"/>
          <w:color w:val="auto"/>
        </w:rPr>
      </w:pPr>
    </w:p>
    <w:p>
      <w:pPr>
        <w:ind w:left="1300" w:right="560" w:hanging="371"/>
        <w:spacing w:after="0" w:line="284" w:lineRule="auto"/>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the awards made under any executive officer bonus plan, and providing an appropriate report to the board of directors;</w:t>
      </w:r>
    </w:p>
    <w:p>
      <w:pPr>
        <w:spacing w:after="0" w:line="65" w:lineRule="exact"/>
        <w:rPr>
          <w:rFonts w:ascii="Times New Roman" w:cs="Times New Roman" w:eastAsia="Times New Roman" w:hAnsi="Times New Roman"/>
          <w:sz w:val="15"/>
          <w:szCs w:val="15"/>
          <w:color w:val="auto"/>
        </w:rPr>
      </w:pPr>
    </w:p>
    <w:p>
      <w:pPr>
        <w:ind w:left="1300" w:right="320" w:hanging="371"/>
        <w:spacing w:after="0" w:line="265" w:lineRule="auto"/>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concerning long-term incentive compensation plans, including the use of share options and other equity-based plans, and, except as otherwise delegated by the board of directors, acting as the “Plan Administrator” for equity-based and employee benefit plans;</w:t>
      </w:r>
    </w:p>
    <w:p>
      <w:pPr>
        <w:spacing w:after="0" w:line="80" w:lineRule="exact"/>
        <w:rPr>
          <w:rFonts w:ascii="Times New Roman" w:cs="Times New Roman" w:eastAsia="Times New Roman" w:hAnsi="Times New Roman"/>
          <w:sz w:val="15"/>
          <w:szCs w:val="15"/>
          <w:color w:val="auto"/>
        </w:rPr>
      </w:pPr>
    </w:p>
    <w:p>
      <w:pPr>
        <w:ind w:left="1300" w:hanging="371"/>
        <w:spacing w:after="0" w:line="284" w:lineRule="auto"/>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all special perquisites, special cash payments and other special compensation and benefit arrangements for the Company’s executive officers and employees;</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periodic reports from management on matters relating to the Company’s personnel appointments and practices;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assisting management in complying with the Company’s proxy statement and annual report disclosure requirements;</w:t>
      </w:r>
    </w:p>
    <w:p>
      <w:pPr>
        <w:spacing w:after="0" w:line="123" w:lineRule="exact"/>
        <w:rPr>
          <w:rFonts w:ascii="Times New Roman" w:cs="Times New Roman" w:eastAsia="Times New Roman" w:hAnsi="Times New Roman"/>
          <w:sz w:val="15"/>
          <w:szCs w:val="15"/>
          <w:color w:val="auto"/>
        </w:rPr>
      </w:pPr>
    </w:p>
    <w:p>
      <w:pPr>
        <w:ind w:left="1300" w:right="640" w:hanging="371"/>
        <w:spacing w:after="0" w:line="284" w:lineRule="auto"/>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issuing an annual Report of the Compensation Committee on Executive Compensation for the Company’s annual proxy statement in compliance with applicable SEC rules and regulations;</w:t>
      </w:r>
    </w:p>
    <w:p>
      <w:pPr>
        <w:spacing w:after="0" w:line="65" w:lineRule="exact"/>
        <w:rPr>
          <w:rFonts w:ascii="Times New Roman" w:cs="Times New Roman" w:eastAsia="Times New Roman" w:hAnsi="Times New Roman"/>
          <w:sz w:val="15"/>
          <w:szCs w:val="15"/>
          <w:color w:val="auto"/>
        </w:rPr>
      </w:pPr>
    </w:p>
    <w:p>
      <w:pPr>
        <w:ind w:left="1300" w:right="400" w:hanging="371"/>
        <w:spacing w:after="0" w:line="284" w:lineRule="auto"/>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annually evaluating the committee’s performance and the committee’s charter and recommending to the board of directors any proposed changes to the charter or the committee; and</w:t>
      </w:r>
    </w:p>
    <w:p>
      <w:pPr>
        <w:spacing w:after="0" w:line="65" w:lineRule="exact"/>
        <w:rPr>
          <w:rFonts w:ascii="Times New Roman" w:cs="Times New Roman" w:eastAsia="Times New Roman" w:hAnsi="Times New Roman"/>
          <w:sz w:val="15"/>
          <w:szCs w:val="15"/>
          <w:color w:val="auto"/>
        </w:rPr>
      </w:pPr>
    </w:p>
    <w:p>
      <w:pPr>
        <w:ind w:left="1300" w:right="500" w:hanging="371"/>
        <w:spacing w:after="0" w:line="284" w:lineRule="auto"/>
        <w:tabs>
          <w:tab w:leader="none" w:pos="13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undertaking all further actions and discharge all further responsibilities imposed upon the Committee from time to time by the board of directors, the federal securities laws or the rules and regulations of the SEC.</w:t>
      </w:r>
    </w:p>
    <w:p>
      <w:pPr>
        <w:spacing w:after="0" w:line="137"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178</w:t>
      </w:r>
    </w:p>
    <w:p>
      <w:pPr>
        <w:sectPr>
          <w:pgSz w:w="11900" w:h="16840" w:orient="portrait"/>
          <w:cols w:equalWidth="0" w:num="1">
            <w:col w:w="10120"/>
          </w:cols>
          <w:pgMar w:left="660" w:top="874" w:right="1120" w:bottom="1440" w:gutter="0" w:footer="0" w:header="0"/>
        </w:sectPr>
      </w:pPr>
    </w:p>
    <w:bookmarkStart w:id="191" w:name="page192"/>
    <w:bookmarkEnd w:id="1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Nominating and Corporate Governance Committee</w:t>
      </w:r>
    </w:p>
    <w:p>
      <w:pPr>
        <w:spacing w:after="0" w:line="104"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Upon the effectiveness of the registration statement of which this prospectus forms a part, we will establish a nominating and corporate governance committee of the board of directors. The members of our nominating and corporate governance will be [</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 and Mr. Horowitz, and Ambassador Zuckerman will serve as the chairman of the nominating and corporate governance committee. We will adopt a nominating and corporate governance committee charter, which will detail the purpose and responsibilities of the nominating and corporate governance committee, including:</w:t>
      </w:r>
    </w:p>
    <w:p>
      <w:pPr>
        <w:spacing w:after="0" w:line="84" w:lineRule="exact"/>
        <w:rPr>
          <w:sz w:val="20"/>
          <w:szCs w:val="20"/>
          <w:color w:val="auto"/>
        </w:rPr>
      </w:pPr>
    </w:p>
    <w:p>
      <w:pPr>
        <w:ind w:left="1300" w:hanging="371"/>
        <w:spacing w:after="0"/>
        <w:tabs>
          <w:tab w:leader="none" w:pos="1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recommending to the board of directors the criteria for appointment as a director;</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considering, recruiting and recommending candidates to fill new positions on the board of directors;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candidates recommended by shareholders;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conducting the appropriate and necessary inquiries into the backgrounds and qualifications of possible candidates;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director nominees for approval by the board of directors and election by the shareholders at the next annual meeting.</w:t>
      </w:r>
    </w:p>
    <w:p>
      <w:pPr>
        <w:spacing w:after="0" w:line="195" w:lineRule="exact"/>
        <w:rPr>
          <w:sz w:val="20"/>
          <w:szCs w:val="20"/>
          <w:color w:val="auto"/>
        </w:rPr>
      </w:pPr>
    </w:p>
    <w:p>
      <w:pPr>
        <w:ind w:left="460" w:right="100" w:firstLine="379"/>
        <w:spacing w:after="0" w:line="265" w:lineRule="auto"/>
        <w:rPr>
          <w:sz w:val="20"/>
          <w:szCs w:val="20"/>
          <w:color w:val="auto"/>
        </w:rPr>
      </w:pPr>
      <w:r>
        <w:rPr>
          <w:rFonts w:ascii="Times New Roman" w:cs="Times New Roman" w:eastAsia="Times New Roman" w:hAnsi="Times New Roman"/>
          <w:sz w:val="15"/>
          <w:szCs w:val="15"/>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16" w:lineRule="exact"/>
        <w:rPr>
          <w:sz w:val="20"/>
          <w:szCs w:val="20"/>
          <w:color w:val="auto"/>
        </w:rPr>
      </w:pPr>
    </w:p>
    <w:p>
      <w:pPr>
        <w:ind w:left="460" w:right="40" w:firstLine="379"/>
        <w:spacing w:after="0" w:line="257" w:lineRule="auto"/>
        <w:rPr>
          <w:sz w:val="20"/>
          <w:szCs w:val="20"/>
          <w:color w:val="auto"/>
        </w:rPr>
      </w:pPr>
      <w:r>
        <w:rPr>
          <w:rFonts w:ascii="Times New Roman" w:cs="Times New Roman" w:eastAsia="Times New Roman" w:hAnsi="Times New Roman"/>
          <w:sz w:val="15"/>
          <w:szCs w:val="15"/>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Code of Conduct and Ethics</w:t>
      </w:r>
    </w:p>
    <w:p>
      <w:pPr>
        <w:spacing w:after="0" w:line="104"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 xml:space="preserve">Upon the effectiveness of the registration statement of which this prospectus forms a part, we will adopt a code of conduct and ethics applicable to our directors, officers and employees in accordance with applicable federal securities laws. We will file a copy of our form of Code of Business Conduct and our board committee charters as exhibits to the registration statement. You will be able to review these documents by accessing our public filings at the SEC’s web 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In addition, a copy of the Code of Business Conduct will be provided without charge upon request from us. We intend to disclose any amendments to or waivers of certain provisions of our Code of Business Conduct in a Current Report on Form 8-K. See “</w:t>
      </w:r>
      <w:r>
        <w:rPr>
          <w:rFonts w:ascii="Times New Roman" w:cs="Times New Roman" w:eastAsia="Times New Roman" w:hAnsi="Times New Roman"/>
          <w:sz w:val="15"/>
          <w:szCs w:val="15"/>
          <w:i w:val="1"/>
          <w:iCs w:val="1"/>
          <w:color w:val="auto"/>
        </w:rPr>
        <w:t>Where You Can Find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Additional Information</w:t>
      </w:r>
      <w:r>
        <w:rPr>
          <w:rFonts w:ascii="Times New Roman" w:cs="Times New Roman" w:eastAsia="Times New Roman" w:hAnsi="Times New Roman"/>
          <w:sz w:val="15"/>
          <w:szCs w:val="15"/>
          <w:color w:val="auto"/>
        </w:rPr>
        <w:t>.”</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Conflicts of Interest</w:t>
      </w:r>
    </w:p>
    <w:p>
      <w:pPr>
        <w:spacing w:after="0" w:line="104" w:lineRule="exact"/>
        <w:rPr>
          <w:sz w:val="20"/>
          <w:szCs w:val="20"/>
          <w:color w:val="auto"/>
        </w:rPr>
      </w:pPr>
    </w:p>
    <w:p>
      <w:pPr>
        <w:ind w:left="460" w:right="40" w:firstLine="379"/>
        <w:spacing w:after="0" w:line="252" w:lineRule="auto"/>
        <w:rPr>
          <w:sz w:val="20"/>
          <w:szCs w:val="20"/>
          <w:color w:val="auto"/>
        </w:rPr>
      </w:pPr>
      <w:r>
        <w:rPr>
          <w:rFonts w:ascii="Times New Roman" w:cs="Times New Roman" w:eastAsia="Times New Roman" w:hAnsi="Times New Roman"/>
          <w:sz w:val="15"/>
          <w:szCs w:val="15"/>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w:t>
      </w:r>
      <w:r>
        <w:rPr>
          <w:rFonts w:ascii="Times New Roman" w:cs="Times New Roman" w:eastAsia="Times New Roman" w:hAnsi="Times New Roman"/>
          <w:sz w:val="15"/>
          <w:szCs w:val="15"/>
          <w:i w:val="1"/>
          <w:iCs w:val="1"/>
          <w:color w:val="auto"/>
        </w:rPr>
        <w:t>Proposed 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—Initial Business Combination</w:t>
      </w:r>
      <w:r>
        <w:rPr>
          <w:rFonts w:ascii="Times New Roman" w:cs="Times New Roman" w:eastAsia="Times New Roman" w:hAnsi="Times New Roman"/>
          <w:sz w:val="15"/>
          <w:szCs w:val="15"/>
          <w:color w:val="auto"/>
        </w:rPr>
        <w:t>”). These conflicts may not be resolved in our favor and a potential target business may be presented to another entity prior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its presentation to us.</w:t>
      </w:r>
    </w:p>
    <w:p>
      <w:pPr>
        <w:spacing w:after="0" w:line="12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179</w:t>
      </w:r>
    </w:p>
    <w:p>
      <w:pPr>
        <w:sectPr>
          <w:pgSz w:w="11900" w:h="16840" w:orient="portrait"/>
          <w:cols w:equalWidth="0" w:num="1">
            <w:col w:w="10120"/>
          </w:cols>
          <w:pgMar w:left="660" w:top="874" w:right="1120" w:bottom="1440" w:gutter="0" w:footer="0" w:header="0"/>
        </w:sectPr>
      </w:pPr>
    </w:p>
    <w:bookmarkStart w:id="192" w:name="page193"/>
    <w:bookmarkEnd w:id="1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We do not believe, however, that the fiduciary, contractual or other obligations or duties of our officers or directors will materially affect our ability to complete our initial business combination. Our amended and restated memorandum and articles of association provide that, to the fullest extent permitted by law: (i) no individual serving as a director or an officer, among other persons,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(a) may be a corporate opportunity for any director or officer, on the one hand, and us, on the other or (b) the presentation of which would breach an existing legal obligation of a director or officer to any other entity. We do not believe, however, that the fiduciary duties or contractual obligations of our officers or directors will materially affect our ability to complete our initial business combination.</w:t>
      </w:r>
    </w:p>
    <w:p>
      <w:pPr>
        <w:spacing w:after="0" w:line="162" w:lineRule="exact"/>
        <w:rPr>
          <w:sz w:val="20"/>
          <w:szCs w:val="20"/>
          <w:color w:val="auto"/>
        </w:rPr>
      </w:pPr>
    </w:p>
    <w:p>
      <w:pPr>
        <w:ind w:left="460" w:right="20" w:firstLine="379"/>
        <w:spacing w:after="0" w:line="253" w:lineRule="auto"/>
        <w:rPr>
          <w:sz w:val="20"/>
          <w:szCs w:val="20"/>
          <w:color w:val="auto"/>
        </w:rPr>
      </w:pPr>
      <w:r>
        <w:rPr>
          <w:rFonts w:ascii="Times New Roman" w:cs="Times New Roman" w:eastAsia="Times New Roman" w:hAnsi="Times New Roman"/>
          <w:sz w:val="15"/>
          <w:szCs w:val="15"/>
          <w:color w:val="auto"/>
        </w:rPr>
        <w:t>Our sponsor, officers or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Any such companies, businesses or investments may present additional conflicts of interest in pursuing an initial business combination target. As the number of special purpose acquisition companies increases, the competition for available targets with attractive business models and strong financial presence intensifies, which could cause targets companies to demand improved acquisition terms. This could affect our ability to find and consummate an initial business combination or negotiate favorable to us provisions.</w:t>
      </w:r>
    </w:p>
    <w:p>
      <w:pPr>
        <w:spacing w:after="0" w:line="156" w:lineRule="exact"/>
        <w:rPr>
          <w:sz w:val="20"/>
          <w:szCs w:val="20"/>
          <w:color w:val="auto"/>
        </w:rPr>
      </w:pPr>
    </w:p>
    <w:p>
      <w:pPr>
        <w:ind w:left="460" w:right="100" w:firstLine="379"/>
        <w:spacing w:after="0" w:line="257" w:lineRule="auto"/>
        <w:rPr>
          <w:sz w:val="20"/>
          <w:szCs w:val="20"/>
          <w:color w:val="auto"/>
        </w:rPr>
      </w:pP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b w:val="1"/>
          <w:bCs w:val="1"/>
          <w:i w:val="1"/>
          <w:iCs w:val="1"/>
          <w:color w:val="auto"/>
        </w:rPr>
        <w:t>Risk Factors — We may engage in our initial business combination with one or more target businesses that haverelationships with entities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 xml:space="preserve">that may be affiliated with our sponsor, executive officers or directors, which may raise potential conflicts ofinterest.”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As the number of special purpose acquisition companies evaluating targets increases, and other issued SPACentities may come to market with superior terms for the acquisition targets, attractive targets may become scarcer and there may bemore competition for attractive targets. This could increase the cost of our initial business combination and could even result in our inability to find a target or to consummate an initial business combination.”</w:t>
      </w:r>
    </w:p>
    <w:p>
      <w:pPr>
        <w:spacing w:after="0" w:line="158" w:lineRule="exact"/>
        <w:rPr>
          <w:sz w:val="20"/>
          <w:szCs w:val="20"/>
          <w:color w:val="auto"/>
        </w:rPr>
      </w:pPr>
    </w:p>
    <w:p>
      <w:pPr>
        <w:ind w:left="460" w:right="180" w:firstLine="379"/>
        <w:spacing w:after="0" w:line="259" w:lineRule="auto"/>
        <w:rPr>
          <w:sz w:val="20"/>
          <w:szCs w:val="20"/>
          <w:color w:val="auto"/>
        </w:rPr>
      </w:pPr>
      <w:r>
        <w:rPr>
          <w:rFonts w:ascii="Times New Roman" w:cs="Times New Roman" w:eastAsia="Times New Roman" w:hAnsi="Times New Roman"/>
          <w:sz w:val="15"/>
          <w:szCs w:val="15"/>
          <w:color w:val="auto"/>
        </w:rPr>
        <w:t>Our executive officers and our directors may have interests that differ from you in connection with the business combination, including the fact that they may lose their entire investment in us if our initial business combination is not completed, except to the extent they receive liquidating distributions from assets outside the trust account, and accordingly, may have a conflict of interest in determining whether a particular target business is an appropriate business with which to effectuate our initial business combination.</w:t>
      </w:r>
    </w:p>
    <w:p>
      <w:pPr>
        <w:spacing w:after="0" w:line="156" w:lineRule="exact"/>
        <w:rPr>
          <w:sz w:val="20"/>
          <w:szCs w:val="20"/>
          <w:color w:val="auto"/>
        </w:rPr>
      </w:pPr>
    </w:p>
    <w:p>
      <w:pPr>
        <w:ind w:left="460" w:right="20" w:firstLine="379"/>
        <w:spacing w:after="0" w:line="251" w:lineRule="auto"/>
        <w:rPr>
          <w:sz w:val="20"/>
          <w:szCs w:val="20"/>
          <w:color w:val="auto"/>
        </w:rPr>
      </w:pPr>
      <w:r>
        <w:rPr>
          <w:rFonts w:ascii="Times New Roman" w:cs="Times New Roman" w:eastAsia="Times New Roman" w:hAnsi="Times New Roman"/>
          <w:sz w:val="15"/>
          <w:szCs w:val="15"/>
          <w:color w:val="auto"/>
        </w:rPr>
        <w:t>Additionally, the personal and financial interests of our directors and executive officers may influence their motivation in timely identifying and pursuing an initial business combination or completing our initial business combination. In the event we do not consummate a business combination within the completion window, and unless the time for us to consummate a business combination has been extended, the founder shares, private investor shares and the private placement units will expire worthless, which could create an incentive our officers and directors to complete a transaction even if the company selects an acquisition target that subsequently declines in value and is unprofitable for public investors.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w:t>
      </w:r>
    </w:p>
    <w:p>
      <w:pPr>
        <w:spacing w:after="0" w:line="165" w:lineRule="exact"/>
        <w:rPr>
          <w:sz w:val="20"/>
          <w:szCs w:val="20"/>
          <w:color w:val="auto"/>
        </w:rPr>
      </w:pPr>
    </w:p>
    <w:p>
      <w:pPr>
        <w:ind w:left="460" w:right="80" w:firstLine="379"/>
        <w:spacing w:after="0" w:line="284" w:lineRule="auto"/>
        <w:rPr>
          <w:sz w:val="20"/>
          <w:szCs w:val="20"/>
          <w:color w:val="auto"/>
        </w:rPr>
      </w:pPr>
      <w:r>
        <w:rPr>
          <w:rFonts w:ascii="Times New Roman" w:cs="Times New Roman" w:eastAsia="Times New Roman" w:hAnsi="Times New Roman"/>
          <w:sz w:val="15"/>
          <w:szCs w:val="15"/>
          <w:color w:val="auto"/>
        </w:rPr>
        <w:t>In addition to the above, our officers and directors are not required to commit any specified amount of time to our affairs, and, accordingly, may have conflicts of interest in allocating management time among various</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180</w:t>
      </w:r>
    </w:p>
    <w:p>
      <w:pPr>
        <w:sectPr>
          <w:pgSz w:w="11900" w:h="16840" w:orient="portrait"/>
          <w:cols w:equalWidth="0" w:num="1">
            <w:col w:w="10120"/>
          </w:cols>
          <w:pgMar w:left="660" w:top="874" w:right="1120" w:bottom="1440" w:gutter="0" w:footer="0" w:header="0"/>
        </w:sectPr>
      </w:pPr>
    </w:p>
    <w:bookmarkStart w:id="193" w:name="page194"/>
    <w:bookmarkEnd w:id="1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right="360"/>
        <w:spacing w:after="0" w:line="268" w:lineRule="auto"/>
        <w:rPr>
          <w:sz w:val="20"/>
          <w:szCs w:val="20"/>
          <w:color w:val="auto"/>
        </w:rPr>
      </w:pPr>
      <w:r>
        <w:rPr>
          <w:rFonts w:ascii="Times New Roman" w:cs="Times New Roman" w:eastAsia="Times New Roman" w:hAnsi="Times New Roman"/>
          <w:sz w:val="15"/>
          <w:szCs w:val="15"/>
          <w:color w:val="auto"/>
        </w:rPr>
        <w:t xml:space="preserve">business activities, including selecting a business combination target and monitoring the related due diligence. </w:t>
      </w:r>
      <w:r>
        <w:rPr>
          <w:rFonts w:ascii="Times New Roman" w:cs="Times New Roman" w:eastAsia="Times New Roman" w:hAnsi="Times New Roman"/>
          <w:sz w:val="15"/>
          <w:szCs w:val="15"/>
          <w:b w:val="1"/>
          <w:bCs w:val="1"/>
          <w:color w:val="auto"/>
        </w:rPr>
        <w:t>See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Risk Factors — Our officers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49"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Additionally, our sponsor and executive officers and directors have agreed to waive their redemption rights with respect to any founder shares, private placement units and any public shares held by them in connection with the consummation of our initial business combination. Further, our sponsor and executive officers and directors have agreed to waive their redemption rights with respect to any founder shares and private placement units held by them if we are unable to complete our initial business combination within 24 months from the closing of this offering or by such earlier liquidation date as our board of directors may approve. If we do not complete our initial business combination within the completion window, the proceeds of the sale of the private placement units held in the trust account will be used to fund the redemption of our public shares, and the rights may expire worthless.</w:t>
      </w:r>
    </w:p>
    <w:p>
      <w:pPr>
        <w:spacing w:after="0" w:line="160"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With certain limited exceptions, the founder shares will not be transferable, assignable or salable by our insiders or its permitted transferees until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With certain limited exceptions, the private placement units (including the securities comprising such units) will not be transferable, assignable or salable by our sponsor or its permitted transferees until 30 days after the completion of our initial business combination. Since our sponsor and executive officers and directors may directly or indirectly own ordinary shares and rights following this offering, our executive officers and directors may have a conflict of interest in determining whether a particular target business is an appropriate business with which to effectuate our initial business combination because of their financial interest in completing an initial business combination within the completion window or by such earlier liquidation date as our board of directors may approve.</w:t>
      </w:r>
    </w:p>
    <w:p>
      <w:pPr>
        <w:spacing w:after="0" w:line="167" w:lineRule="exact"/>
        <w:rPr>
          <w:sz w:val="20"/>
          <w:szCs w:val="20"/>
          <w:color w:val="auto"/>
        </w:rPr>
      </w:pPr>
    </w:p>
    <w:p>
      <w:pPr>
        <w:ind w:left="460" w:right="40" w:firstLine="379"/>
        <w:spacing w:after="0" w:line="256" w:lineRule="auto"/>
        <w:rPr>
          <w:sz w:val="20"/>
          <w:szCs w:val="20"/>
          <w:color w:val="auto"/>
        </w:rPr>
      </w:pPr>
      <w:r>
        <w:rPr>
          <w:rFonts w:ascii="Times New Roman" w:cs="Times New Roman" w:eastAsia="Times New Roman" w:hAnsi="Times New Roman"/>
          <w:sz w:val="15"/>
          <w:szCs w:val="15"/>
          <w:color w:val="auto"/>
        </w:rPr>
        <w:t>Our insiders, officers, advisors and directors, or any of their respective affiliates, will be reimbursed for any out-of-pocket expenses incurred in connection with activities on our behalf such as identifying and investigation potential target businesses, performing business due diligence on suitable target businesses and business combinations. There is no limit on the amount of out- of-pocket expenses reimbursable by us provided, however, to the extent such expenses exceed the available proceeds not deposited in the trust account, such expenses would not be reimbursed by us unless we consummate an initial business combination.</w:t>
      </w:r>
    </w:p>
    <w:p>
      <w:pPr>
        <w:spacing w:after="0" w:line="158" w:lineRule="exact"/>
        <w:rPr>
          <w:sz w:val="20"/>
          <w:szCs w:val="20"/>
          <w:color w:val="auto"/>
        </w:rPr>
      </w:pPr>
    </w:p>
    <w:p>
      <w:pPr>
        <w:ind w:left="460" w:right="220" w:firstLine="379"/>
        <w:spacing w:after="0" w:line="265" w:lineRule="auto"/>
        <w:rPr>
          <w:sz w:val="20"/>
          <w:szCs w:val="20"/>
          <w:color w:val="auto"/>
        </w:rPr>
      </w:pPr>
      <w:r>
        <w:rPr>
          <w:rFonts w:ascii="Times New Roman" w:cs="Times New Roman" w:eastAsia="Times New Roman" w:hAnsi="Times New Roman"/>
          <w:sz w:val="15"/>
          <w:szCs w:val="15"/>
          <w:color w:val="auto"/>
        </w:rPr>
        <w:t>In the event our sponsor or members of our management team provide loans to us to finance transaction costs in connection with an initial business combination, such persons may have a conflict of interest in determining whether a particular target business is an appropriate business with which to effectuate our initial business combination as such loans may not be repaid unless we consummate such business combination.</w:t>
      </w:r>
    </w:p>
    <w:p>
      <w:pPr>
        <w:spacing w:after="0" w:line="151"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Similarly, if we agree to pay our sponsor or a member of our management team a finder’s fee, advisory fee, consulting fee or success fee in order to effectuate the completion of our initial business combination, such persons may have a conflict of interest in determining whether a particular target business is an appropriate business with which to effectuate our initial business combination as any such fee may not be paid unless we consummate such business combination.</w:t>
      </w:r>
    </w:p>
    <w:p>
      <w:pPr>
        <w:spacing w:after="0" w:line="156" w:lineRule="exact"/>
        <w:rPr>
          <w:sz w:val="20"/>
          <w:szCs w:val="20"/>
          <w:color w:val="auto"/>
        </w:rPr>
      </w:pPr>
    </w:p>
    <w:p>
      <w:pPr>
        <w:ind w:left="460" w:right="260" w:firstLine="379"/>
        <w:spacing w:after="0" w:line="265" w:lineRule="auto"/>
        <w:rPr>
          <w:sz w:val="20"/>
          <w:szCs w:val="20"/>
          <w:color w:val="auto"/>
        </w:rPr>
      </w:pPr>
      <w:r>
        <w:rPr>
          <w:rFonts w:ascii="Times New Roman" w:cs="Times New Roman" w:eastAsia="Times New Roman" w:hAnsi="Times New Roman"/>
          <w:sz w:val="15"/>
          <w:szCs w:val="15"/>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accordingly, such affiliated person(s) may have a conflict of interest in determining whether a particular target business is an appropriate business with which to</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181</w:t>
      </w:r>
    </w:p>
    <w:p>
      <w:pPr>
        <w:sectPr>
          <w:pgSz w:w="11900" w:h="16840" w:orient="portrait"/>
          <w:cols w:equalWidth="0" w:num="1">
            <w:col w:w="10120"/>
          </w:cols>
          <w:pgMar w:left="660" w:top="874" w:right="1120" w:bottom="1440" w:gutter="0" w:footer="0" w:header="0"/>
        </w:sectPr>
      </w:pPr>
    </w:p>
    <w:bookmarkStart w:id="194" w:name="page195"/>
    <w:bookmarkEnd w:id="1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54" w:lineRule="auto"/>
        <w:rPr>
          <w:sz w:val="20"/>
          <w:szCs w:val="20"/>
          <w:color w:val="auto"/>
        </w:rPr>
      </w:pPr>
      <w:r>
        <w:rPr>
          <w:rFonts w:ascii="Times New Roman" w:cs="Times New Roman" w:eastAsia="Times New Roman" w:hAnsi="Times New Roman"/>
          <w:sz w:val="15"/>
          <w:szCs w:val="15"/>
          <w:color w:val="auto"/>
        </w:rPr>
        <w:t>effectuate our initial business combination as such affiliated person(s) would have interests different from our public shareholders and would likely not receive any financial benefit unless we consummated such business combination. In the event we seek to complete our initial business combination with a target business that is affiliated (as defined in our amended and restated memorandum and articles of association) with our sponsor (including its members), officers or directors, we, or a committee of independent directors, will obtain an opinion from an independent investment banking firm or another independent entity that commonly renders valuation opinions, stating that the consideration to be paid by us in such an initial business combination is fair to our company from a financial point of view. We are not required to obtain such an opinion in any other context.</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Below is a table summarizing the entities to which our executive officers and directors currently have fiduciary duties or contractual obligations.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Individual</w:t>
            </w:r>
          </w:p>
        </w:tc>
        <w:tc>
          <w:tcPr>
            <w:tcW w:w="180" w:type="dxa"/>
            <w:vAlign w:val="bottom"/>
          </w:tcPr>
          <w:p>
            <w:pPr>
              <w:spacing w:after="0"/>
              <w:rPr>
                <w:sz w:val="15"/>
                <w:szCs w:val="15"/>
                <w:color w:val="auto"/>
              </w:rPr>
            </w:pPr>
          </w:p>
        </w:tc>
        <w:tc>
          <w:tcPr>
            <w:tcW w:w="22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180" w:type="dxa"/>
            <w:vAlign w:val="bottom"/>
          </w:tcPr>
          <w:p>
            <w:pPr>
              <w:spacing w:after="0"/>
              <w:rPr>
                <w:sz w:val="15"/>
                <w:szCs w:val="15"/>
                <w:color w:val="auto"/>
              </w:rPr>
            </w:pPr>
          </w:p>
        </w:tc>
        <w:tc>
          <w:tcPr>
            <w:tcW w:w="2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3"/>
                <w:szCs w:val="13"/>
                <w:b w:val="1"/>
                <w:bCs w:val="1"/>
                <w:color w:val="auto"/>
              </w:rPr>
              <w:t>Entity’s Business</w:t>
            </w:r>
          </w:p>
        </w:tc>
        <w:tc>
          <w:tcPr>
            <w:tcW w:w="140" w:type="dxa"/>
            <w:vAlign w:val="bottom"/>
          </w:tcPr>
          <w:p>
            <w:pPr>
              <w:spacing w:after="0"/>
              <w:rPr>
                <w:sz w:val="15"/>
                <w:szCs w:val="15"/>
                <w:color w:val="auto"/>
              </w:rPr>
            </w:pPr>
          </w:p>
        </w:tc>
        <w:tc>
          <w:tcPr>
            <w:tcW w:w="2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Affiliation</w:t>
            </w: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Dr. Avi S. Katz</w:t>
            </w:r>
          </w:p>
        </w:tc>
        <w:tc>
          <w:tcPr>
            <w:tcW w:w="180" w:type="dxa"/>
            <w:vAlign w:val="bottom"/>
          </w:tcPr>
          <w:p>
            <w:pPr>
              <w:spacing w:after="0"/>
              <w:rPr>
                <w:sz w:val="14"/>
                <w:szCs w:val="14"/>
                <w:color w:val="auto"/>
              </w:rPr>
            </w:pPr>
          </w:p>
        </w:tc>
        <w:tc>
          <w:tcPr>
            <w:tcW w:w="22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Gig4L, LLC</w:t>
            </w:r>
          </w:p>
        </w:tc>
        <w:tc>
          <w:tcPr>
            <w:tcW w:w="180" w:type="dxa"/>
            <w:vAlign w:val="bottom"/>
          </w:tcPr>
          <w:p>
            <w:pPr>
              <w:spacing w:after="0"/>
              <w:rPr>
                <w:sz w:val="14"/>
                <w:szCs w:val="14"/>
                <w:color w:val="auto"/>
              </w:rPr>
            </w:pPr>
          </w:p>
        </w:tc>
        <w:tc>
          <w:tcPr>
            <w:tcW w:w="22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Consulting and Investment</w:t>
            </w:r>
          </w:p>
        </w:tc>
        <w:tc>
          <w:tcPr>
            <w:tcW w:w="140" w:type="dxa"/>
            <w:vAlign w:val="bottom"/>
          </w:tcPr>
          <w:p>
            <w:pPr>
              <w:spacing w:after="0"/>
              <w:rPr>
                <w:sz w:val="14"/>
                <w:szCs w:val="14"/>
                <w:color w:val="auto"/>
              </w:rPr>
            </w:pP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Founder and managing member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GigManagement, LLC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Management Company</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Co-founder and managing</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member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GigAcquisitions2, LLC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PPE (SPAC) sponsorship</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Founder and manager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GigAcquisitions7 Corp.</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PPE (SPAC) sponsorship</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Founder and manager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UpHealth, Inc.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Healthcare and Telemedicine</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Chairman of board of directors</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QT Imaging Holdings, Inc.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Medical Device</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Chairman of board of directors</w:t>
            </w:r>
          </w:p>
        </w:tc>
      </w:tr>
      <w:tr>
        <w:trPr>
          <w:trHeight w:val="199"/>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GigCapital7 Corp.</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SPAC</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27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Christine M. Marshall</w:t>
            </w:r>
          </w:p>
        </w:tc>
        <w:tc>
          <w:tcPr>
            <w:tcW w:w="180" w:type="dxa"/>
            <w:vAlign w:val="bottom"/>
          </w:tcPr>
          <w:p>
            <w:pPr>
              <w:spacing w:after="0"/>
              <w:rPr>
                <w:sz w:val="23"/>
                <w:szCs w:val="2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GigCapital7 Corp.</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SPAC</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251"/>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Dr. Raluca Dinu</w:t>
            </w:r>
          </w:p>
        </w:tc>
        <w:tc>
          <w:tcPr>
            <w:tcW w:w="18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GigManagement, LLC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Management Company</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Co-founder and managing</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member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Gig4L, LLC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Consulting and Investment</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Founder and managing member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UpHealth, Inc.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Healthcare and Telemedicine</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QT Imaging Holdings, Inc.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Medical Device</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President, Secretary and</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199"/>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GigCapital7 Corp.</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SPAC</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51"/>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Ambassador Adrian Zuckerman</w:t>
            </w:r>
          </w:p>
        </w:tc>
        <w:tc>
          <w:tcPr>
            <w:tcW w:w="18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DLA Piper LLP (US)</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Law Firm</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Of Counsel</w:t>
            </w:r>
          </w:p>
        </w:tc>
      </w:tr>
      <w:tr>
        <w:trPr>
          <w:trHeight w:val="199"/>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GigCapital7 Corp.</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SPAC</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51"/>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Raanan Horowitz</w:t>
            </w:r>
          </w:p>
        </w:tc>
        <w:tc>
          <w:tcPr>
            <w:tcW w:w="18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Institute for Defense Analysis</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Technical and Scientific Analysis</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Member of board of trustees</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Parry Labs LLC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Engineering Services</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199"/>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GigCapital7 Corp.</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SPAC</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7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Admiral (Ret,) David Ben-Bashat</w:t>
            </w:r>
          </w:p>
        </w:tc>
        <w:tc>
          <w:tcPr>
            <w:tcW w:w="180" w:type="dxa"/>
            <w:vAlign w:val="bottom"/>
          </w:tcPr>
          <w:p>
            <w:pPr>
              <w:spacing w:after="0"/>
              <w:rPr>
                <w:sz w:val="23"/>
                <w:szCs w:val="2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GaitMetrics</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Security Company</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251"/>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Luis Machuca</w:t>
            </w:r>
          </w:p>
        </w:tc>
        <w:tc>
          <w:tcPr>
            <w:tcW w:w="18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UpHealth, Inc.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Healthcare and Telemedicine</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199"/>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Columbia Banking System</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Financial Institution</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332"/>
        </w:trPr>
        <w:tc>
          <w:tcPr>
            <w:tcW w:w="2700" w:type="dxa"/>
            <w:vAlign w:val="bottom"/>
          </w:tcPr>
          <w:p>
            <w:pPr>
              <w:spacing w:after="0"/>
              <w:rPr>
                <w:sz w:val="24"/>
                <w:szCs w:val="24"/>
                <w:color w:val="auto"/>
              </w:rPr>
            </w:pPr>
          </w:p>
        </w:tc>
        <w:tc>
          <w:tcPr>
            <w:tcW w:w="240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182</w:t>
            </w: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40" w:orient="portrait"/>
          <w:cols w:equalWidth="0" w:num="1">
            <w:col w:w="10120"/>
          </w:cols>
          <w:pgMar w:left="660" w:top="874" w:right="1120" w:bottom="1440" w:gutter="0" w:footer="0" w:header="0"/>
        </w:sectPr>
      </w:pPr>
    </w:p>
    <w:bookmarkStart w:id="195" w:name="page196"/>
    <w:bookmarkEnd w:id="1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Individual</w:t>
            </w:r>
          </w:p>
        </w:tc>
        <w:tc>
          <w:tcPr>
            <w:tcW w:w="180" w:type="dxa"/>
            <w:vAlign w:val="bottom"/>
          </w:tcPr>
          <w:p>
            <w:pPr>
              <w:spacing w:after="0"/>
              <w:rPr>
                <w:sz w:val="15"/>
                <w:szCs w:val="15"/>
                <w:color w:val="auto"/>
              </w:rPr>
            </w:pPr>
          </w:p>
        </w:tc>
        <w:tc>
          <w:tcPr>
            <w:tcW w:w="22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180" w:type="dxa"/>
            <w:vAlign w:val="bottom"/>
          </w:tcPr>
          <w:p>
            <w:pPr>
              <w:spacing w:after="0"/>
              <w:rPr>
                <w:sz w:val="15"/>
                <w:szCs w:val="15"/>
                <w:color w:val="auto"/>
              </w:rPr>
            </w:pPr>
          </w:p>
        </w:tc>
        <w:tc>
          <w:tcPr>
            <w:tcW w:w="2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3"/>
                <w:szCs w:val="13"/>
                <w:b w:val="1"/>
                <w:bCs w:val="1"/>
                <w:color w:val="auto"/>
              </w:rPr>
              <w:t>Entity’s Business</w:t>
            </w:r>
          </w:p>
        </w:tc>
        <w:tc>
          <w:tcPr>
            <w:tcW w:w="140" w:type="dxa"/>
            <w:vAlign w:val="bottom"/>
          </w:tcPr>
          <w:p>
            <w:pPr>
              <w:spacing w:after="0"/>
              <w:rPr>
                <w:sz w:val="15"/>
                <w:szCs w:val="15"/>
                <w:color w:val="auto"/>
              </w:rPr>
            </w:pPr>
          </w:p>
        </w:tc>
        <w:tc>
          <w:tcPr>
            <w:tcW w:w="2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Affiliation</w:t>
            </w: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Rear Admiral (Ret.) Omri Dagul</w:t>
            </w:r>
          </w:p>
        </w:tc>
        <w:tc>
          <w:tcPr>
            <w:tcW w:w="180" w:type="dxa"/>
            <w:vAlign w:val="bottom"/>
          </w:tcPr>
          <w:p>
            <w:pPr>
              <w:spacing w:after="0"/>
              <w:rPr>
                <w:sz w:val="14"/>
                <w:szCs w:val="14"/>
                <w:color w:val="auto"/>
              </w:rPr>
            </w:pPr>
          </w:p>
        </w:tc>
        <w:tc>
          <w:tcPr>
            <w:tcW w:w="22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Dockport</w:t>
            </w:r>
          </w:p>
        </w:tc>
        <w:tc>
          <w:tcPr>
            <w:tcW w:w="180" w:type="dxa"/>
            <w:vAlign w:val="bottom"/>
          </w:tcPr>
          <w:p>
            <w:pPr>
              <w:spacing w:after="0"/>
              <w:rPr>
                <w:sz w:val="14"/>
                <w:szCs w:val="14"/>
                <w:color w:val="auto"/>
              </w:rPr>
            </w:pPr>
          </w:p>
        </w:tc>
        <w:tc>
          <w:tcPr>
            <w:tcW w:w="22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Consultancy and Project</w:t>
            </w:r>
          </w:p>
        </w:tc>
        <w:tc>
          <w:tcPr>
            <w:tcW w:w="140" w:type="dxa"/>
            <w:vAlign w:val="bottom"/>
          </w:tcPr>
          <w:p>
            <w:pPr>
              <w:spacing w:after="0"/>
              <w:rPr>
                <w:sz w:val="14"/>
                <w:szCs w:val="14"/>
                <w:color w:val="auto"/>
              </w:rPr>
            </w:pP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Owner and Chief Executive</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Management company</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Officer</w:t>
            </w:r>
          </w:p>
        </w:tc>
      </w:tr>
      <w:tr>
        <w:trPr>
          <w:trHeight w:val="199"/>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Ray Shipping</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Maritime Business</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Executive Vice President</w:t>
            </w:r>
          </w:p>
        </w:tc>
      </w:tr>
      <w:tr>
        <w:trPr>
          <w:trHeight w:val="27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Bryan Timm</w:t>
            </w:r>
          </w:p>
        </w:tc>
        <w:tc>
          <w:tcPr>
            <w:tcW w:w="180" w:type="dxa"/>
            <w:vAlign w:val="bottom"/>
          </w:tcPr>
          <w:p>
            <w:pPr>
              <w:spacing w:after="0"/>
              <w:rPr>
                <w:sz w:val="23"/>
                <w:szCs w:val="23"/>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N/A</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N/A</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N/A</w:t>
            </w:r>
          </w:p>
        </w:tc>
      </w:tr>
      <w:tr>
        <w:trPr>
          <w:trHeight w:val="251"/>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James Greene</w:t>
            </w:r>
          </w:p>
        </w:tc>
        <w:tc>
          <w:tcPr>
            <w:tcW w:w="180" w:type="dxa"/>
            <w:vAlign w:val="bottom"/>
          </w:tcPr>
          <w:p>
            <w:pPr>
              <w:spacing w:after="0"/>
              <w:rPr>
                <w:sz w:val="21"/>
                <w:szCs w:val="21"/>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QT Imaging Holdings, Inc.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Medical Device</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UpHealth, Inc.</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Healthcare and Telemedicine</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Umpqua Bank</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Financial Institution</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Director</w:t>
            </w:r>
          </w:p>
        </w:tc>
      </w:tr>
      <w:tr>
        <w:trPr>
          <w:trHeight w:val="178"/>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5"/>
                <w:szCs w:val="15"/>
                <w:color w:val="auto"/>
              </w:rPr>
              <w:t>Sky D Ventures</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Venture Fund and Advisory</w:t>
            </w:r>
          </w:p>
        </w:tc>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Founder and Managing Partner</w:t>
            </w:r>
          </w:p>
        </w:tc>
      </w:tr>
      <w:tr>
        <w:trPr>
          <w:trHeight w:val="199"/>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Firm</w:t>
            </w: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168"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If any of the above executive officers, directors or director nominees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Potential investors should also be aware of the following potential conflicts of interest:</w:t>
      </w:r>
    </w:p>
    <w:p>
      <w:pPr>
        <w:spacing w:after="0" w:line="124" w:lineRule="exact"/>
        <w:rPr>
          <w:sz w:val="20"/>
          <w:szCs w:val="20"/>
          <w:color w:val="auto"/>
        </w:rPr>
      </w:pPr>
    </w:p>
    <w:p>
      <w:pPr>
        <w:ind w:left="1300" w:right="40" w:hanging="371"/>
        <w:spacing w:after="0" w:line="259" w:lineRule="auto"/>
        <w:tabs>
          <w:tab w:leader="none" w:pos="13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our officers and directors is required to commit their full time to our affairs and, accordingly, they may have conflicts of interest in allocating their time among various business activities.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84" w:lineRule="exact"/>
        <w:rPr>
          <w:rFonts w:ascii="Times New Roman" w:cs="Times New Roman" w:eastAsia="Times New Roman" w:hAnsi="Times New Roman"/>
          <w:sz w:val="15"/>
          <w:szCs w:val="15"/>
          <w:color w:val="auto"/>
        </w:rPr>
      </w:pPr>
    </w:p>
    <w:p>
      <w:pPr>
        <w:ind w:left="1300" w:hanging="371"/>
        <w:spacing w:after="0" w:line="249" w:lineRule="auto"/>
        <w:tabs>
          <w:tab w:leader="none" w:pos="13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sponsor, which is owned by two of our directors, Dr. Raluca Dinu and Dr. Avi S. Katz, and four of our other directors, James Greene, Luis Machuca, Bryan Timm, and Raanan Horowitz, will directly or indirectly own our securities following this offering, and accordingly, they may have a conflict of interest in determining whether a particular target business is an appropriate business with which to effectuate our initial business combination, including the fact that they may lose their entire investment in us if our initial business combination is not completed, except to the extent they receive liquidating distributions from assets outside the trust account or are entitled to receive liquidating distributions from the trust account in the event they choose to purchase public shares. Upon the closing of this offering, assuming the underwriters’ over-allotment option is not exercised, our sponsor and the four other directors will have invested in us an aggregate of $452,000.48, comprised of $2,626 paid by the sponsor for 6,058,167 founder shares (after giving effect to the sales of shares to the four directors) (or $0.000434 per share), $9,244 paid by the four directors for the aggregate of 375,397 founder shares (or $0.02462 per share) and the $440,130.48 purchase price for the private placement units (or $9.7374 per unit). In addition, 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 Accordingly, our management team may be more willing to pursue a business combination with a riskier or less-established target business than would be the case if our insiders had paid the same per share price for the founder shares as our public shareholders paid for their public shares in this offering, as our sponsor and members of our management team would likely not receive any financial benefit unless we consummated such business combination. These interests of our sponsor, executive officers and directors may affect the consideration paid, terms, conditions and timing relating to a business combination in a way that conflicts with the interests of our public shareholders.</w:t>
      </w:r>
    </w:p>
    <w:p>
      <w:pPr>
        <w:spacing w:after="0" w:line="3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183</w:t>
      </w:r>
    </w:p>
    <w:p>
      <w:pPr>
        <w:sectPr>
          <w:pgSz w:w="11900" w:h="16840" w:orient="portrait"/>
          <w:cols w:equalWidth="0" w:num="1">
            <w:col w:w="10120"/>
          </w:cols>
          <w:pgMar w:left="660" w:top="874" w:right="1120" w:bottom="1440" w:gutter="0" w:footer="0" w:header="0"/>
        </w:sectPr>
      </w:pPr>
    </w:p>
    <w:bookmarkStart w:id="196" w:name="page197"/>
    <w:bookmarkEnd w:id="1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hanging="371"/>
        <w:spacing w:after="0" w:line="249" w:lineRule="auto"/>
        <w:tabs>
          <w:tab w:leader="none" w:pos="13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insiders purchased or will purchase founder shares prior to the completion of this offering and will purchase private placement units in a transaction that will close simultaneously with the closing of this offering. Our sponsor, officers and directors have entered into a letter agreement with us, pursuant to which they have agreed to waive their redemption rights with respect to their founder shares, private placement shares and public shares in connection with the completion of our initial business combination. Additionally, our sponsor, officers and directors have agreed to waive their rights to liquidating distributions from the trust account with respect to their founder shares and private placement shares if we fail to complete our initial business combination within the prescribed time frame, although they will be entitled to liquidating distributions from assets outside the trust account. If we do not complete our initial business combination within the prescribed time frame, the private placement units (and the securities comprising such units) will expire worthless. Furthermore, our sponsor, officers and directors have agreed not to transfer, assign or sell any of their founder shares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The private placement units (including the private placement shares and the Class A ordinary shares issuable upon exercise of the private placement rights) will not be transferable until 30 days following the completion of our initial business combination. Because certain of our officers and director nominees will own ordinary shares or rights directly or indirectly, they may have a conflict of interest in determining whether a particular target business is an appropriate business with which to effectuate our initial business combination.</w:t>
      </w:r>
    </w:p>
    <w:p>
      <w:pPr>
        <w:spacing w:after="0" w:line="272" w:lineRule="exact"/>
        <w:rPr>
          <w:rFonts w:ascii="Times New Roman" w:cs="Times New Roman" w:eastAsia="Times New Roman" w:hAnsi="Times New Roman"/>
          <w:sz w:val="15"/>
          <w:szCs w:val="15"/>
          <w:color w:val="auto"/>
        </w:rPr>
      </w:pPr>
    </w:p>
    <w:p>
      <w:pPr>
        <w:ind w:left="1300" w:right="360" w:hanging="371"/>
        <w:spacing w:after="0" w:line="265" w:lineRule="auto"/>
        <w:tabs>
          <w:tab w:leader="none" w:pos="13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0" w:lineRule="exact"/>
        <w:rPr>
          <w:rFonts w:ascii="Times New Roman" w:cs="Times New Roman" w:eastAsia="Times New Roman" w:hAnsi="Times New Roman"/>
          <w:sz w:val="15"/>
          <w:szCs w:val="15"/>
          <w:color w:val="auto"/>
        </w:rPr>
      </w:pPr>
    </w:p>
    <w:p>
      <w:pPr>
        <w:ind w:left="1300" w:hanging="371"/>
        <w:spacing w:after="0" w:line="253" w:lineRule="auto"/>
        <w:tabs>
          <w:tab w:leader="none" w:pos="13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our sponsor or members of our management team provide loans to us to finance transaction costs and/or incur expenses on our behalf in connection with an initial business combination, such persons may have a conflict of interest in determining whether a particular target business is an appropriate business with which to effectuate our initial business combination as such loans may not be repaid and/or such expenses may not be reimbursed unless we consummate such business combination. Up to $1,500,000 of working capital loans may be convertible into private placement units at a price of $10.00 per unit at the option of the lender. Such units would be identical to the private placement units. Except for the foregoing, the terms of such working capital loans, if any, have not been determined and no written agreements exist with respect to such loans.</w:t>
      </w:r>
    </w:p>
    <w:p>
      <w:pPr>
        <w:spacing w:after="0" w:line="271" w:lineRule="exact"/>
        <w:rPr>
          <w:rFonts w:ascii="Times New Roman" w:cs="Times New Roman" w:eastAsia="Times New Roman" w:hAnsi="Times New Roman"/>
          <w:sz w:val="15"/>
          <w:szCs w:val="15"/>
          <w:color w:val="auto"/>
        </w:rPr>
      </w:pPr>
    </w:p>
    <w:p>
      <w:pPr>
        <w:ind w:left="1300" w:right="220" w:hanging="371"/>
        <w:spacing w:after="0" w:line="284" w:lineRule="auto"/>
        <w:tabs>
          <w:tab w:leader="none" w:pos="13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reimburse an affiliate of our sponsor for office space, utilities and secretarial and administrative support made available to us by an affiliate of our sponsor, in an amount equal to $30,000 per month.</w:t>
      </w:r>
    </w:p>
    <w:p>
      <w:pPr>
        <w:spacing w:after="0" w:line="65" w:lineRule="exact"/>
        <w:rPr>
          <w:rFonts w:ascii="Times New Roman" w:cs="Times New Roman" w:eastAsia="Times New Roman" w:hAnsi="Times New Roman"/>
          <w:sz w:val="15"/>
          <w:szCs w:val="15"/>
          <w:color w:val="auto"/>
        </w:rPr>
      </w:pPr>
    </w:p>
    <w:p>
      <w:pPr>
        <w:ind w:left="1300" w:right="440" w:hanging="371"/>
        <w:spacing w:after="0" w:line="284" w:lineRule="auto"/>
        <w:tabs>
          <w:tab w:leader="none" w:pos="13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reimburse the sponsor for any out-of-pocket expenses related to identifying, investigating, negotiating and completing an initial business combination.</w:t>
      </w:r>
    </w:p>
    <w:p>
      <w:pPr>
        <w:spacing w:after="0" w:line="137" w:lineRule="exact"/>
        <w:rPr>
          <w:sz w:val="20"/>
          <w:szCs w:val="20"/>
          <w:color w:val="auto"/>
        </w:rPr>
      </w:pPr>
    </w:p>
    <w:p>
      <w:pPr>
        <w:ind w:left="460" w:right="140" w:firstLine="379"/>
        <w:spacing w:after="0" w:line="259" w:lineRule="auto"/>
        <w:rPr>
          <w:sz w:val="20"/>
          <w:szCs w:val="20"/>
          <w:color w:val="auto"/>
        </w:rPr>
      </w:pPr>
      <w:r>
        <w:rPr>
          <w:rFonts w:ascii="Times New Roman" w:cs="Times New Roman" w:eastAsia="Times New Roman" w:hAnsi="Times New Roman"/>
          <w:sz w:val="15"/>
          <w:szCs w:val="15"/>
          <w:color w:val="auto"/>
        </w:rPr>
        <w:t>Prior to or in connection with the completion of our initial business combination, there may be payment by the company to our sponsor, officers or directors, or our or their affiliates, of a finder’s fee, advisory fee, consulting fee or success fee for any services they render in order to effectuate the completion of our initial business, which, if made prior to the completion of our initial business combination, will be paid from funds held outside the trust account.</w:t>
      </w:r>
    </w:p>
    <w:p>
      <w:pPr>
        <w:spacing w:after="0" w:line="1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We cannot assure you that any of the above-mentioned conflicts will be resolved in our favor.</w:t>
      </w:r>
    </w:p>
    <w:p>
      <w:pPr>
        <w:spacing w:after="0" w:line="1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color w:val="auto"/>
        </w:rPr>
        <w:t>184</w:t>
      </w:r>
    </w:p>
    <w:p>
      <w:pPr>
        <w:sectPr>
          <w:pgSz w:w="11900" w:h="16840" w:orient="portrait"/>
          <w:cols w:equalWidth="0" w:num="1">
            <w:col w:w="10120"/>
          </w:cols>
          <w:pgMar w:left="660" w:top="874" w:right="1120" w:bottom="1440" w:gutter="0" w:footer="0" w:header="0"/>
        </w:sectPr>
      </w:pPr>
    </w:p>
    <w:bookmarkStart w:id="197" w:name="page198"/>
    <w:bookmarkEnd w:id="1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If we submit our initial business combination to our public shareholders for a vote, our initial shareholders have agreed to vote their founder shares, private investor shares and private placement shares in favor of our initial business combination, but not any public shares that non-managing investors may buy in this offering or after this offering on the open market. In addition, they have agreed to waive their respective rights to participate in any liquidation distribution with respect to their founder shares, private investor shares and private placement shares. If they purchase public shares as part of this offering or on the open market, however, they would be entitled to participate in any liquidation distribution in respect of such shares but have agreed not to convert or sell such shares to us in connection with the consummation of an initial business combination.</w:t>
      </w:r>
    </w:p>
    <w:p>
      <w:pPr>
        <w:spacing w:after="0" w:line="160" w:lineRule="exact"/>
        <w:rPr>
          <w:sz w:val="20"/>
          <w:szCs w:val="20"/>
          <w:color w:val="auto"/>
        </w:rPr>
      </w:pPr>
    </w:p>
    <w:p>
      <w:pPr>
        <w:ind w:left="460" w:right="80" w:firstLine="379"/>
        <w:spacing w:after="0" w:line="253" w:lineRule="auto"/>
        <w:rPr>
          <w:sz w:val="20"/>
          <w:szCs w:val="20"/>
          <w:color w:val="auto"/>
        </w:rPr>
      </w:pPr>
      <w:r>
        <w:rPr>
          <w:rFonts w:ascii="Times New Roman" w:cs="Times New Roman" w:eastAsia="Times New Roman" w:hAnsi="Times New Roman"/>
          <w:sz w:val="15"/>
          <w:szCs w:val="15"/>
          <w:color w:val="auto"/>
        </w:rPr>
        <w:t>All ongoing and future transactions between us and any of our sponsor, executive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 In such event, neither the sponsor, nor any executive officer or director, will be entitled to receive or accept a finder’s fee or any other compensation in the event such party originates a business combination.</w:t>
      </w:r>
    </w:p>
    <w:p>
      <w:pPr>
        <w:spacing w:after="0" w:line="1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185</w:t>
      </w:r>
    </w:p>
    <w:p>
      <w:pPr>
        <w:sectPr>
          <w:pgSz w:w="11900" w:h="16840" w:orient="portrait"/>
          <w:cols w:equalWidth="0" w:num="1">
            <w:col w:w="10060"/>
          </w:cols>
          <w:pgMar w:left="660" w:top="874" w:right="1180" w:bottom="1440" w:gutter="0" w:footer="0" w:header="0"/>
        </w:sectPr>
      </w:pPr>
    </w:p>
    <w:bookmarkStart w:id="198" w:name="page199"/>
    <w:bookmarkEnd w:id="1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PRINCIPAL SHAREHOLDERS</w:t>
      </w:r>
    </w:p>
    <w:p>
      <w:pPr>
        <w:spacing w:after="0" w:line="199" w:lineRule="exact"/>
        <w:rPr>
          <w:sz w:val="20"/>
          <w:szCs w:val="20"/>
          <w:color w:val="auto"/>
        </w:rPr>
      </w:pPr>
    </w:p>
    <w:p>
      <w:pPr>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The following table sets forth information regarding the beneficial ownership of our shares as of the date of this prospectus, and as adjusted to reflect the sale of our public shares included in the public units offered by this prospectus and private placement units, and assuming no purchase of units in this offering, by:</w:t>
      </w:r>
    </w:p>
    <w:p>
      <w:pPr>
        <w:spacing w:after="0" w:line="80" w:lineRule="exact"/>
        <w:rPr>
          <w:sz w:val="20"/>
          <w:szCs w:val="20"/>
          <w:color w:val="auto"/>
        </w:rPr>
      </w:pPr>
    </w:p>
    <w:p>
      <w:pPr>
        <w:ind w:left="1300" w:hanging="371"/>
        <w:spacing w:after="0"/>
        <w:tabs>
          <w:tab w:leader="none" w:pos="13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known by us to be the beneficial owner of more than 5% of the outstanding ordinary shares;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executive officers and directors that beneficially owns ordinary shares;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our executive officers and directors as a group.</w:t>
      </w:r>
    </w:p>
    <w:p>
      <w:pPr>
        <w:spacing w:after="0" w:line="195"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Unless otherwise indicated, we believe that all persons named in the table have sole voting and investment power with respect to all shares beneficially owned by them. The following table does not reflect record or beneficial ownership of any shares issuable upon the consummation of our initial business combination as a result of the rights as such issuance is not expected to occur within 60 days of the date of this prospectus. The post-offering numbers and percentages presented assume the forfeiture of 1,410,624 shares that are subject to forfeiture depending on the extent to which the underwriters’ option to purchase additional shares is exercised, and that there are 31,741,483 ordinary shares issued and outstanding after this offering.</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5"/>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Prior to Offering</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After Offering</w:t>
            </w:r>
            <w:r>
              <w:rPr>
                <w:rFonts w:ascii="Times New Roman" w:cs="Times New Roman" w:eastAsia="Times New Roman" w:hAnsi="Times New Roman"/>
                <w:sz w:val="8"/>
                <w:szCs w:val="8"/>
                <w:b w:val="1"/>
                <w:bCs w:val="1"/>
                <w:color w:val="auto"/>
              </w:rPr>
              <w:t>(2)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Borders>
              <w:top w:val="single" w:sz="8" w:color="auto"/>
            </w:tcBorders>
            <w:gridSpan w:val="3"/>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Amount and Nature</w:t>
            </w: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top w:val="single" w:sz="8" w:color="auto"/>
            </w:tcBorders>
            <w:gridSpan w:val="3"/>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Amount and Nature</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Beneficial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 Beneficial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6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8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80" w:type="dxa"/>
            <w:vAlign w:val="bottom"/>
          </w:tcPr>
          <w:p>
            <w:pPr>
              <w:spacing w:after="0"/>
              <w:rPr>
                <w:sz w:val="14"/>
                <w:szCs w:val="14"/>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of</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of</w:t>
            </w:r>
          </w:p>
        </w:tc>
        <w:tc>
          <w:tcPr>
            <w:tcW w:w="0" w:type="dxa"/>
            <w:vAlign w:val="bottom"/>
          </w:tcPr>
          <w:p>
            <w:pPr>
              <w:spacing w:after="0"/>
              <w:rPr>
                <w:sz w:val="1"/>
                <w:szCs w:val="1"/>
                <w:color w:val="auto"/>
              </w:rPr>
            </w:pPr>
          </w:p>
        </w:tc>
      </w:tr>
      <w:tr>
        <w:trPr>
          <w:trHeight w:val="154"/>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 and Address of Beneficial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Ordinary</w:t>
            </w:r>
          </w:p>
        </w:tc>
        <w:tc>
          <w:tcPr>
            <w:tcW w:w="1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620" w:type="dxa"/>
            <w:vAlign w:val="bottom"/>
            <w:gridSpan w:val="2"/>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Ordinary</w:t>
            </w:r>
          </w:p>
        </w:tc>
        <w:tc>
          <w:tcPr>
            <w:tcW w:w="1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Ordinary</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Ordinary</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Owner</w:t>
            </w:r>
            <w:r>
              <w:rPr>
                <w:rFonts w:ascii="Times New Roman" w:cs="Times New Roman" w:eastAsia="Times New Roman" w:hAnsi="Times New Roman"/>
                <w:sz w:val="8"/>
                <w:szCs w:val="8"/>
                <w:b w:val="1"/>
                <w:bCs w:val="1"/>
                <w:color w:val="auto"/>
              </w:rPr>
              <w:t>(1)</w:t>
            </w:r>
          </w:p>
        </w:tc>
        <w:tc>
          <w:tcPr>
            <w:tcW w:w="240" w:type="dxa"/>
            <w:vAlign w:val="bottom"/>
          </w:tcPr>
          <w:p>
            <w:pPr>
              <w:spacing w:after="0"/>
              <w:rPr>
                <w:sz w:val="14"/>
                <w:szCs w:val="14"/>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8"/>
                <w:szCs w:val="8"/>
                <w:b w:val="1"/>
                <w:bCs w:val="1"/>
                <w:color w:val="auto"/>
              </w:rPr>
              <w:t>(3)</w:t>
            </w: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rPr>
              <w:t>4</w:t>
            </w:r>
            <w:r>
              <w:rPr>
                <w:rFonts w:ascii="Times New Roman" w:cs="Times New Roman" w:eastAsia="Times New Roman" w:hAnsi="Times New Roman"/>
                <w:sz w:val="8"/>
                <w:szCs w:val="8"/>
                <w:b w:val="1"/>
                <w:bCs w:val="1"/>
                <w:color w:val="auto"/>
              </w:rPr>
              <w:t>)</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rPr>
              <w:t>5</w:t>
            </w:r>
            <w:r>
              <w:rPr>
                <w:rFonts w:ascii="Times New Roman" w:cs="Times New Roman" w:eastAsia="Times New Roman" w:hAnsi="Times New Roman"/>
                <w:sz w:val="8"/>
                <w:szCs w:val="8"/>
                <w:b w:val="1"/>
                <w:bCs w:val="1"/>
                <w:color w:val="auto"/>
              </w:rPr>
              <w:t>)</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rPr>
              <w:t>Directors and Named Executive Officers:</w:t>
            </w: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Dr. Avi S. Katz</w:t>
            </w:r>
            <w:r>
              <w:rPr>
                <w:rFonts w:ascii="Times New Roman" w:cs="Times New Roman" w:eastAsia="Times New Roman" w:hAnsi="Times New Roman"/>
                <w:sz w:val="9"/>
                <w:szCs w:val="9"/>
                <w:color w:val="auto"/>
              </w:rPr>
              <w:t>(7)</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7,845,229</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99.9%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5,271,960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56.1%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 Raluca Dinu</w:t>
            </w:r>
            <w:r>
              <w:rPr>
                <w:rFonts w:ascii="Times New Roman" w:cs="Times New Roman" w:eastAsia="Times New Roman" w:hAnsi="Times New Roman"/>
                <w:sz w:val="9"/>
                <w:szCs w:val="9"/>
                <w:color w:val="auto"/>
              </w:rPr>
              <w:t>(7)</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7,845,229</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5,271,960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Christine M. Marshall .</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Raanan I. Horowitz</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47,581</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Ambassador Adrian Zuckerman</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Luis Machuca</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91,503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Rear Admiral (Ret.) Omri Dagul</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Bryan Timm</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91,503</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Admiral (Ret.) David Ben-Bashat</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Greene</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91,503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26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All directors and officers as a group(10</w:t>
            </w:r>
          </w:p>
        </w:tc>
        <w:tc>
          <w:tcPr>
            <w:tcW w:w="2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individuals)</w:t>
            </w:r>
          </w:p>
        </w:tc>
        <w:tc>
          <w:tcPr>
            <w:tcW w:w="2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45,200</w:t>
            </w: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Five Percent or Greater Holders:</w:t>
            </w: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GigAcquisitions8 Corp.</w:t>
            </w:r>
            <w:r>
              <w:rPr>
                <w:rFonts w:ascii="Times New Roman" w:cs="Times New Roman" w:eastAsia="Times New Roman" w:hAnsi="Times New Roman"/>
                <w:sz w:val="9"/>
                <w:szCs w:val="9"/>
                <w:color w:val="auto"/>
              </w:rPr>
              <w:t>(7)</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7,845,229</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5,271,960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Dr. Avi S. Katz</w:t>
            </w:r>
            <w:r>
              <w:rPr>
                <w:rFonts w:ascii="Times New Roman" w:cs="Times New Roman" w:eastAsia="Times New Roman" w:hAnsi="Times New Roman"/>
                <w:sz w:val="9"/>
                <w:szCs w:val="9"/>
                <w:color w:val="auto"/>
              </w:rPr>
              <w:t>(7)</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7,845,229</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99.9%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5,271,960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56.1%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Dr. Raluca Dinu </w:t>
            </w:r>
            <w:r>
              <w:rPr>
                <w:rFonts w:ascii="Times New Roman" w:cs="Times New Roman" w:eastAsia="Times New Roman" w:hAnsi="Times New Roman"/>
                <w:sz w:val="9"/>
                <w:szCs w:val="9"/>
                <w:color w:val="auto"/>
              </w:rPr>
              <w:t>(7)</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7,845,229</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5,271,960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Lynrock Lake Master</w:t>
            </w:r>
          </w:p>
        </w:tc>
        <w:tc>
          <w:tcPr>
            <w:tcW w:w="2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16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 LP</w:t>
            </w:r>
            <w:r>
              <w:rPr>
                <w:rFonts w:ascii="Times New Roman" w:cs="Times New Roman" w:eastAsia="Times New Roman" w:hAnsi="Times New Roman"/>
                <w:sz w:val="9"/>
                <w:szCs w:val="9"/>
                <w:color w:val="auto"/>
              </w:rPr>
              <w:t>(8)</w:t>
            </w:r>
          </w:p>
        </w:tc>
        <w:tc>
          <w:tcPr>
            <w:tcW w:w="2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1,227,236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186</w:t>
      </w:r>
    </w:p>
    <w:p>
      <w:pPr>
        <w:sectPr>
          <w:pgSz w:w="11900" w:h="16840" w:orient="portrait"/>
          <w:cols w:equalWidth="0" w:num="1">
            <w:col w:w="10140"/>
          </w:cols>
          <w:pgMar w:left="660" w:top="874" w:right="1100" w:bottom="1440" w:gutter="0" w:footer="0" w:header="0"/>
        </w:sectPr>
      </w:pPr>
    </w:p>
    <w:bookmarkStart w:id="199" w:name="page200"/>
    <w:bookmarkEnd w:id="1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253365</wp:posOffset>
            </wp:positionV>
            <wp:extent cx="66929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9290" cy="76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840" w:hanging="385"/>
        <w:spacing w:after="0"/>
        <w:tabs>
          <w:tab w:leader="none" w:pos="8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w:t>
      </w:r>
    </w:p>
    <w:p>
      <w:pPr>
        <w:spacing w:after="0" w:line="21" w:lineRule="exact"/>
        <w:rPr>
          <w:sz w:val="20"/>
          <w:szCs w:val="20"/>
          <w:color w:val="auto"/>
        </w:rPr>
      </w:pPr>
    </w:p>
    <w:p>
      <w:pPr>
        <w:ind w:left="840" w:hanging="385"/>
        <w:spacing w:after="0"/>
        <w:tabs>
          <w:tab w:leader="none" w:pos="840" w:val="left"/>
        </w:tabs>
        <w:numPr>
          <w:ilvl w:val="0"/>
          <w:numId w:val="90"/>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Unless otherwise indicated, the business address of each of the individuals is 1731 Embarcadero Rd., Suite 200, Palo Alto, CA 94303.</w:t>
      </w:r>
    </w:p>
    <w:p>
      <w:pPr>
        <w:spacing w:after="0" w:line="5" w:lineRule="exact"/>
        <w:rPr>
          <w:rFonts w:ascii="Times New Roman" w:cs="Times New Roman" w:eastAsia="Times New Roman" w:hAnsi="Times New Roman"/>
          <w:sz w:val="9"/>
          <w:szCs w:val="9"/>
          <w:color w:val="auto"/>
        </w:rPr>
      </w:pPr>
    </w:p>
    <w:p>
      <w:pPr>
        <w:ind w:left="840" w:right="380" w:hanging="385"/>
        <w:spacing w:after="0" w:line="247" w:lineRule="auto"/>
        <w:tabs>
          <w:tab w:leader="none" w:pos="840" w:val="left"/>
        </w:tabs>
        <w:numPr>
          <w:ilvl w:val="0"/>
          <w:numId w:val="90"/>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Assumes (i) no exercise of the over-allotment option and (ii) an aggregate of 1,023,943 Class B ordinary shares have been forfeited by our initial shareholders and 386,681 Class B ordinary shares have been forfeited by the non-managing investors.</w:t>
      </w:r>
    </w:p>
    <w:p>
      <w:pPr>
        <w:ind w:left="840" w:hanging="385"/>
        <w:spacing w:after="0"/>
        <w:tabs>
          <w:tab w:leader="none" w:pos="840" w:val="left"/>
        </w:tabs>
        <w:numPr>
          <w:ilvl w:val="0"/>
          <w:numId w:val="90"/>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Based on 7,850,229 ordinary shares outstanding immediately prior to this offering.</w:t>
      </w:r>
    </w:p>
    <w:p>
      <w:pPr>
        <w:spacing w:after="0" w:line="5" w:lineRule="exact"/>
        <w:rPr>
          <w:rFonts w:ascii="Times New Roman" w:cs="Times New Roman" w:eastAsia="Times New Roman" w:hAnsi="Times New Roman"/>
          <w:sz w:val="9"/>
          <w:szCs w:val="9"/>
          <w:color w:val="auto"/>
        </w:rPr>
      </w:pPr>
    </w:p>
    <w:p>
      <w:pPr>
        <w:ind w:left="840" w:hanging="385"/>
        <w:spacing w:after="0"/>
        <w:tabs>
          <w:tab w:leader="none" w:pos="840" w:val="left"/>
        </w:tabs>
        <w:numPr>
          <w:ilvl w:val="0"/>
          <w:numId w:val="90"/>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Based on 22,337,675 Class A ordinary shares outstanding immediately after this offering.</w:t>
      </w:r>
    </w:p>
    <w:p>
      <w:pPr>
        <w:spacing w:after="0" w:line="5" w:lineRule="exact"/>
        <w:rPr>
          <w:rFonts w:ascii="Times New Roman" w:cs="Times New Roman" w:eastAsia="Times New Roman" w:hAnsi="Times New Roman"/>
          <w:sz w:val="9"/>
          <w:szCs w:val="9"/>
          <w:color w:val="auto"/>
        </w:rPr>
      </w:pPr>
    </w:p>
    <w:p>
      <w:pPr>
        <w:ind w:left="840" w:hanging="385"/>
        <w:spacing w:after="0"/>
        <w:tabs>
          <w:tab w:leader="none" w:pos="840" w:val="left"/>
        </w:tabs>
        <w:numPr>
          <w:ilvl w:val="0"/>
          <w:numId w:val="90"/>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Based on 9,403,808 Class B ordinary shares outstanding immediately after this offering.</w:t>
      </w:r>
    </w:p>
    <w:p>
      <w:pPr>
        <w:spacing w:after="0" w:line="5" w:lineRule="exact"/>
        <w:rPr>
          <w:rFonts w:ascii="Times New Roman" w:cs="Times New Roman" w:eastAsia="Times New Roman" w:hAnsi="Times New Roman"/>
          <w:sz w:val="9"/>
          <w:szCs w:val="9"/>
          <w:color w:val="auto"/>
        </w:rPr>
      </w:pPr>
    </w:p>
    <w:p>
      <w:pPr>
        <w:ind w:left="840" w:hanging="385"/>
        <w:spacing w:after="0"/>
        <w:tabs>
          <w:tab w:leader="none" w:pos="840" w:val="left"/>
        </w:tabs>
        <w:numPr>
          <w:ilvl w:val="0"/>
          <w:numId w:val="90"/>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Based on 31,741,483 ordinary shares outstanding immediately after this offering.</w:t>
      </w:r>
    </w:p>
    <w:p>
      <w:pPr>
        <w:spacing w:after="0" w:line="5" w:lineRule="exact"/>
        <w:rPr>
          <w:rFonts w:ascii="Times New Roman" w:cs="Times New Roman" w:eastAsia="Times New Roman" w:hAnsi="Times New Roman"/>
          <w:sz w:val="9"/>
          <w:szCs w:val="9"/>
          <w:color w:val="auto"/>
        </w:rPr>
      </w:pPr>
    </w:p>
    <w:p>
      <w:pPr>
        <w:ind w:left="840" w:right="200" w:hanging="385"/>
        <w:spacing w:after="0" w:line="247" w:lineRule="auto"/>
        <w:tabs>
          <w:tab w:leader="none" w:pos="840" w:val="left"/>
        </w:tabs>
        <w:numPr>
          <w:ilvl w:val="0"/>
          <w:numId w:val="90"/>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Represents shares held by our sponsor. The shares held by our sponsor are beneficially owned equally (50% each) by Dr. Katz, our Chief Executive Officer and Chairman of the board of directors, and Dr. Raluca Dinu, our director, who both have the voting and dispositive power over the shares held by our sponsor. The sponsor’s business address is 1731 Embarcadero Rd., Suite 200, Palo Alto, CA 94303.</w:t>
      </w:r>
    </w:p>
    <w:p>
      <w:pPr>
        <w:ind w:left="840" w:right="20" w:hanging="385"/>
        <w:spacing w:after="0" w:line="249" w:lineRule="auto"/>
        <w:tabs>
          <w:tab w:leader="none" w:pos="840" w:val="left"/>
        </w:tabs>
        <w:numPr>
          <w:ilvl w:val="0"/>
          <w:numId w:val="90"/>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Lynrock Lake Master Fund LP is contractually obligated to acquire private placement units from us and Class B ordinary shares from our sponsor upon satisfaction of the contingency of the offering occurring, which contingency is outside the control of Lynrock Lake Master Fund LP. These securities will be issued or transferred simultaneously upon consummation of this offering. Lynrock Lake LP is the investment manager of Lynrock Lake Master Fund LP, and pursuant to an investment management agreement, Lynrock Lake LP has been delegated full voting and investment power over the shares held by Lynrock Lake Master Fund LP. Cynthia Paul, the Chief Investment Officer of Lynrock Lake LP and Sole Member of Lynrock Lake Partners LLC, the general partner of Lynrock Lake LP, may be deemed to exercise voting and investment power over the shares held by Lynrock Lake Master Fund LP. The address of the foregoing entities is c/o Lynrock Lake LP, 2 International Drive, Suite 130, Rye Brook, New York 10573.</w:t>
      </w:r>
    </w:p>
    <w:p>
      <w:pPr>
        <w:spacing w:after="0" w:line="164" w:lineRule="exact"/>
        <w:rPr>
          <w:sz w:val="20"/>
          <w:szCs w:val="20"/>
          <w:color w:val="auto"/>
        </w:rPr>
      </w:pPr>
    </w:p>
    <w:p>
      <w:pPr>
        <w:ind w:left="460" w:right="100" w:firstLine="379"/>
        <w:spacing w:after="0" w:line="254" w:lineRule="auto"/>
        <w:rPr>
          <w:sz w:val="20"/>
          <w:szCs w:val="20"/>
          <w:color w:val="auto"/>
        </w:rPr>
      </w:pPr>
      <w:r>
        <w:rPr>
          <w:rFonts w:ascii="Times New Roman" w:cs="Times New Roman" w:eastAsia="Times New Roman" w:hAnsi="Times New Roman"/>
          <w:sz w:val="15"/>
          <w:szCs w:val="15"/>
          <w:color w:val="auto"/>
        </w:rPr>
        <w:t>Immediately after this offering (without the exercise of the underwriters’ over -allotment option), our insiders and non- managing investors and any of their permitted transferees will beneficially own approximately 30.7% of our issued and outstanding shares (assuming none of our initial shareholders purchases any public units), with our sponsor beneficially owning approximately 20.7% of such issued and outstanding shares. Because of this ownership block, our sponsor, acting along with the non-managing investors, may be able to effectively influence the outcome of all matters requiring approval by our shareholders, including the election of directors, amendments to our amended and restated memorandum and articles of association and approval of significant corporate transactions.</w:t>
      </w:r>
    </w:p>
    <w:p>
      <w:pPr>
        <w:spacing w:after="0" w:line="160"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To the extent the underwriters do not exercise their over-allotment option, up to an aggregate of 1,023,943 founder shares and 386,681 private investor shares will be subject to forfeiture. Our insiders and non-managing investors will be required to forfeit only that number of founder shares and private investor shares, respectively, necessary to maintain the representation that the founder shares, together with the private investor shares held by the non-managing investors, of a 30% ownership interest in our issued and outstanding ordinary shares (without giving effect to the sale of the private placement shares and assuming none of the initial shareholders purchases public units or public shares in this offering) after consummation of this offering.</w:t>
      </w:r>
    </w:p>
    <w:p>
      <w:pPr>
        <w:spacing w:after="0" w:line="158" w:lineRule="exact"/>
        <w:rPr>
          <w:sz w:val="20"/>
          <w:szCs w:val="20"/>
          <w:color w:val="auto"/>
        </w:rPr>
      </w:pPr>
    </w:p>
    <w:p>
      <w:pPr>
        <w:ind w:left="460" w:right="100" w:firstLine="379"/>
        <w:spacing w:after="0" w:line="252" w:lineRule="auto"/>
        <w:rPr>
          <w:sz w:val="20"/>
          <w:szCs w:val="20"/>
          <w:color w:val="auto"/>
        </w:rPr>
      </w:pPr>
      <w:r>
        <w:rPr>
          <w:rFonts w:ascii="Times New Roman" w:cs="Times New Roman" w:eastAsia="Times New Roman" w:hAnsi="Times New Roman"/>
          <w:sz w:val="15"/>
          <w:szCs w:val="15"/>
          <w:color w:val="auto"/>
        </w:rPr>
        <w:t>Our initial shareholders have agreed (A) to vote their founder shares, private investor shares and private placement shares (and in case of the sponsor, executive officers and directors, any public shares) in favor of any proposed business combination, (B) not to propose an amendment to our amended and restated memorandum and articles of association with respect to our pre-business combination activities prior to the consummation of such a business combination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in which case such initial shareholders will not redeem any founder shares, private investor shares or private placement shares in connection with such shareholder approval, (C) not to redeem any founder shares, private investor shares and private placement shares</w:t>
      </w:r>
    </w:p>
    <w:p>
      <w:pPr>
        <w:spacing w:after="0" w:line="12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187</w:t>
      </w:r>
    </w:p>
    <w:p>
      <w:pPr>
        <w:sectPr>
          <w:pgSz w:w="11900" w:h="16840" w:orient="portrait"/>
          <w:cols w:equalWidth="0" w:num="1">
            <w:col w:w="10140"/>
          </w:cols>
          <w:pgMar w:left="660" w:top="874" w:right="1100" w:bottom="1440" w:gutter="0" w:footer="0" w:header="0"/>
        </w:sectPr>
      </w:pPr>
    </w:p>
    <w:bookmarkStart w:id="200" w:name="page201"/>
    <w:bookmarkEnd w:id="2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spacing w:after="0" w:line="265" w:lineRule="auto"/>
        <w:rPr>
          <w:sz w:val="20"/>
          <w:szCs w:val="20"/>
          <w:color w:val="auto"/>
        </w:rPr>
      </w:pPr>
      <w:r>
        <w:rPr>
          <w:rFonts w:ascii="Times New Roman" w:cs="Times New Roman" w:eastAsia="Times New Roman" w:hAnsi="Times New Roman"/>
          <w:sz w:val="15"/>
          <w:szCs w:val="15"/>
          <w:color w:val="auto"/>
        </w:rPr>
        <w:t>in connection with a shareholder vote to approve our proposed initial business combination and (D) that such founder shares,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w:t>
      </w:r>
    </w:p>
    <w:p>
      <w:pPr>
        <w:spacing w:after="0" w:line="151" w:lineRule="exact"/>
        <w:rPr>
          <w:sz w:val="20"/>
          <w:szCs w:val="20"/>
          <w:color w:val="auto"/>
        </w:rPr>
      </w:pPr>
    </w:p>
    <w:p>
      <w:pPr>
        <w:ind w:left="460" w:right="100" w:firstLine="379"/>
        <w:spacing w:after="0" w:line="252" w:lineRule="auto"/>
        <w:rPr>
          <w:sz w:val="20"/>
          <w:szCs w:val="20"/>
          <w:color w:val="auto"/>
        </w:rPr>
      </w:pPr>
      <w:r>
        <w:rPr>
          <w:rFonts w:ascii="Times New Roman" w:cs="Times New Roman" w:eastAsia="Times New Roman" w:hAnsi="Times New Roman"/>
          <w:sz w:val="15"/>
          <w:szCs w:val="15"/>
          <w:color w:val="auto"/>
        </w:rPr>
        <w:t>The non-managing investors have agreed (A) to vote their private investor shares and private placement shares in favor of any proposed business combination, (B) not to redeem any private investor shares and private placement shares in connection with a shareholder vote to approve our proposed initial business combination or in connection with a shareholder vote to approve an amendment to our memorandum and articles of association, (1) to modify the substance or timing of our obligation to redeem 100% of our outstanding public shares if we do not timely complete a business combination or</w:t>
      </w:r>
    </w:p>
    <w:p>
      <w:pPr>
        <w:spacing w:after="0" w:line="2" w:lineRule="exact"/>
        <w:rPr>
          <w:sz w:val="20"/>
          <w:szCs w:val="20"/>
          <w:color w:val="auto"/>
        </w:rPr>
      </w:pPr>
    </w:p>
    <w:p>
      <w:pPr>
        <w:ind w:left="460" w:right="60" w:hanging="5"/>
        <w:spacing w:after="0" w:line="254" w:lineRule="auto"/>
        <w:tabs>
          <w:tab w:leader="none" w:pos="678"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other provision relating to shareholders’ rights or pre-business combination activity and (C) that such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w:t>
      </w:r>
    </w:p>
    <w:p>
      <w:pPr>
        <w:spacing w:after="0" w:line="159" w:lineRule="exact"/>
        <w:rPr>
          <w:sz w:val="20"/>
          <w:szCs w:val="20"/>
          <w:color w:val="auto"/>
        </w:rPr>
      </w:pPr>
    </w:p>
    <w:p>
      <w:pPr>
        <w:ind w:left="460" w:firstLine="379"/>
        <w:spacing w:after="0" w:line="249" w:lineRule="auto"/>
        <w:rPr>
          <w:sz w:val="20"/>
          <w:szCs w:val="20"/>
          <w:color w:val="auto"/>
        </w:rPr>
      </w:pPr>
      <w:r>
        <w:rPr>
          <w:rFonts w:ascii="Times New Roman" w:cs="Times New Roman" w:eastAsia="Times New Roman" w:hAnsi="Times New Roman"/>
          <w:sz w:val="15"/>
          <w:szCs w:val="15"/>
          <w:color w:val="auto"/>
        </w:rPr>
        <w:t>Our initial shareholders have agreed not to transfer, assign or sell any of their respective founder shares, private investor shares, and any Class A ordinary shares issuable upon conversion thereof that is in the case of the founder shares, private investor shares, and any Class A ordinary shares issuable upon conversion thereof,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 the underlying securities) until thirty days after the date we complete our initial business combination, except as described below. We refer to such transfer restrictions throughout this prospectus as the lock-up. 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 subject to a lock -up agreement or is subject to a lock-up agreement for a shorter period of time than non- managing investors, the non-managing investors’ lock-up period shall be reduced to the shortest lock-up period or terminated, as the case may be, unless such exclusion from the lock-up obligations is required in compliance with the listing rules of Nasdaq or any other national stock exchange. Further, if any such securityholder is released from the lock-up period subsequent to the consummation of an initial business combination, our company shall release the private investor shares and private placement shares held by non-managing investors from the lock-up provisions.</w:t>
      </w:r>
    </w:p>
    <w:p>
      <w:pPr>
        <w:spacing w:after="0" w:line="169"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color w:val="auto"/>
        </w:rPr>
        <w:t>Notwithstanding the foregoing, during their respective lock-up periods, the initial shareholders may transfer, assign or sell any of the aforenamed securities (1) amongst such holders and their affiliates, to our executive officers or directors, or to any affiliate or family member of any of our executive officers or directors, (2) 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 obligations incurred in connection with purchases of our company’s securities,</w:t>
      </w:r>
    </w:p>
    <w:p>
      <w:pPr>
        <w:spacing w:after="0" w:line="4" w:lineRule="exact"/>
        <w:rPr>
          <w:sz w:val="20"/>
          <w:szCs w:val="20"/>
          <w:color w:val="auto"/>
        </w:rPr>
      </w:pPr>
    </w:p>
    <w:p>
      <w:pPr>
        <w:ind w:left="460" w:right="220" w:hanging="5"/>
        <w:spacing w:after="0" w:line="254" w:lineRule="auto"/>
        <w:tabs>
          <w:tab w:leader="none" w:pos="678"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 combination; provided that (except for clause (6)) these permitted transferees shall enter into a written agreement with us</w:t>
      </w:r>
    </w:p>
    <w:p>
      <w:pPr>
        <w:spacing w:after="0" w:line="12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188</w:t>
      </w:r>
    </w:p>
    <w:p>
      <w:pPr>
        <w:sectPr>
          <w:pgSz w:w="11900" w:h="16840" w:orient="portrait"/>
          <w:cols w:equalWidth="0" w:num="1">
            <w:col w:w="10060"/>
          </w:cols>
          <w:pgMar w:left="660" w:top="874" w:right="1180" w:bottom="1440" w:gutter="0" w:footer="0" w:header="0"/>
        </w:sectPr>
      </w:pPr>
    </w:p>
    <w:bookmarkStart w:id="201" w:name="page202"/>
    <w:bookmarkEnd w:id="2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5"/>
          <w:szCs w:val="15"/>
          <w:color w:val="auto"/>
        </w:rPr>
        <w:t>agreeing to be bound by the transfer restrictions agreed to by the original holder in connection with the purchase of the securities being transferred. In addition, the sponsor, executive officers and directors may transfer, assign or sell any of the aforenamed securities (i) in the event of our liquidation prior to the consummation of our initial business combination; (ii)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the sponsor that holds any such securities, upon liquidation or dissolution of such subsidiary; or</w:t>
      </w:r>
    </w:p>
    <w:p>
      <w:pPr>
        <w:spacing w:after="0" w:line="2" w:lineRule="exact"/>
        <w:rPr>
          <w:sz w:val="20"/>
          <w:szCs w:val="20"/>
          <w:color w:val="auto"/>
        </w:rPr>
      </w:pPr>
    </w:p>
    <w:p>
      <w:pPr>
        <w:ind w:left="460" w:right="240" w:hanging="5"/>
        <w:spacing w:after="0" w:line="254" w:lineRule="auto"/>
        <w:tabs>
          <w:tab w:leader="none" w:pos="729"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our completion of a liquidation, merger, share exchange, reorganization or other similar transaction which results in all of our shareholders having the right to exchange their ordinary shares for cash, securities or other property subsequent to the completion of our initial business combination.</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04" w:lineRule="exact"/>
        <w:rPr>
          <w:sz w:val="20"/>
          <w:szCs w:val="20"/>
          <w:color w:val="auto"/>
        </w:rPr>
      </w:pPr>
    </w:p>
    <w:p>
      <w:pPr>
        <w:ind w:left="460" w:right="80" w:firstLine="379"/>
        <w:spacing w:after="0" w:line="254" w:lineRule="auto"/>
        <w:rPr>
          <w:sz w:val="20"/>
          <w:szCs w:val="20"/>
          <w:color w:val="auto"/>
        </w:rPr>
      </w:pPr>
      <w:r>
        <w:rPr>
          <w:rFonts w:ascii="Times New Roman" w:cs="Times New Roman" w:eastAsia="Times New Roman" w:hAnsi="Times New Roman"/>
          <w:sz w:val="15"/>
          <w:szCs w:val="15"/>
          <w:color w:val="auto"/>
        </w:rPr>
        <w:t>Our initial shareholders and their permitted transferees can demand that we register the founder shares, private investor shares, private placement shares and shares that are issued upon conversion of the private placement rights upon consummation of our initial business combination.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on registration statements filed after our company’s consummation of a business combination.</w:t>
      </w:r>
    </w:p>
    <w:p>
      <w:pPr>
        <w:spacing w:after="0" w:line="1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color w:val="auto"/>
        </w:rPr>
        <w:t>189</w:t>
      </w:r>
    </w:p>
    <w:p>
      <w:pPr>
        <w:sectPr>
          <w:pgSz w:w="11900" w:h="16840" w:orient="portrait"/>
          <w:cols w:equalWidth="0" w:num="1">
            <w:col w:w="10040"/>
          </w:cols>
          <w:pgMar w:left="660" w:top="874" w:right="1200" w:bottom="1440" w:gutter="0" w:footer="0" w:header="0"/>
        </w:sectPr>
      </w:pPr>
    </w:p>
    <w:bookmarkStart w:id="202" w:name="page203"/>
    <w:bookmarkEnd w:id="2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5"/>
          <w:szCs w:val="15"/>
          <w:b w:val="1"/>
          <w:bCs w:val="1"/>
          <w:color w:val="auto"/>
        </w:rPr>
        <w:t>CERTAIN RELATIONSHIPS AND RELATED PARTY TRANSACTIONS</w:t>
      </w:r>
    </w:p>
    <w:p>
      <w:pPr>
        <w:spacing w:after="0" w:line="199" w:lineRule="exact"/>
        <w:rPr>
          <w:sz w:val="20"/>
          <w:szCs w:val="20"/>
          <w:color w:val="auto"/>
        </w:rPr>
      </w:pPr>
    </w:p>
    <w:p>
      <w:pPr>
        <w:ind w:left="460" w:right="60" w:firstLine="379"/>
        <w:spacing w:after="0" w:line="253" w:lineRule="auto"/>
        <w:rPr>
          <w:sz w:val="20"/>
          <w:szCs w:val="20"/>
          <w:color w:val="auto"/>
        </w:rPr>
      </w:pPr>
      <w:r>
        <w:rPr>
          <w:rFonts w:ascii="Times New Roman" w:cs="Times New Roman" w:eastAsia="Times New Roman" w:hAnsi="Times New Roman"/>
          <w:sz w:val="15"/>
          <w:szCs w:val="15"/>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founder shares remain subject to forfeiture depending on the extent to which the underwriters’ over-allotment option is exercised during this offering. The purchase price per founder share was determined by dividing the amount of cash contributed to our company by the number of founder shares issued. Prior to the investment of $25,000 by our sponsor (before giving effect to the sales of shares to four of our directors), our company had no assets, tangible or intangible.</w:t>
      </w:r>
    </w:p>
    <w:p>
      <w:pPr>
        <w:spacing w:after="0" w:line="160"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Our sponsor intends at the time of this offering to sell 375,397 founder shares in the aggregate to Messrs. Greene, Machuca, Timm and Horowitz at an aggregate price of $9,244, thus reducing the price paid by our sponsor for the 6,058,167 founder shares (after also giving effect to the sale of 1,416,665 founder shares to Lynrock at an aggregate price of $13,130) which it is retaining to $2,626, or $0.00433 per share. Up to 1,023,943 founder shares held by our insiders and Lynrock will remain subject to forfeiture on a pro rata basis depending on the extent to which the underwriters’ over-allotment option is exercised during this offering.</w:t>
      </w:r>
    </w:p>
    <w:p>
      <w:pPr>
        <w:spacing w:after="0" w:line="158" w:lineRule="exact"/>
        <w:rPr>
          <w:sz w:val="20"/>
          <w:szCs w:val="20"/>
          <w:color w:val="auto"/>
        </w:rPr>
      </w:pPr>
    </w:p>
    <w:p>
      <w:pPr>
        <w:ind w:left="460" w:right="60" w:firstLine="379"/>
        <w:spacing w:after="0" w:line="259" w:lineRule="auto"/>
        <w:rPr>
          <w:sz w:val="20"/>
          <w:szCs w:val="20"/>
          <w:color w:val="auto"/>
        </w:rPr>
      </w:pPr>
      <w:r>
        <w:rPr>
          <w:rFonts w:ascii="Times New Roman" w:cs="Times New Roman" w:eastAsia="Times New Roman" w:hAnsi="Times New Roman"/>
          <w:sz w:val="15"/>
          <w:szCs w:val="15"/>
          <w:color w:val="auto"/>
        </w:rPr>
        <w:t>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156" w:lineRule="exact"/>
        <w:rPr>
          <w:sz w:val="20"/>
          <w:szCs w:val="20"/>
          <w:color w:val="auto"/>
        </w:rPr>
      </w:pPr>
    </w:p>
    <w:p>
      <w:pPr>
        <w:ind w:left="460" w:right="120" w:firstLine="379"/>
        <w:spacing w:after="0" w:line="254" w:lineRule="auto"/>
        <w:rPr>
          <w:sz w:val="20"/>
          <w:szCs w:val="20"/>
          <w:color w:val="auto"/>
        </w:rPr>
      </w:pPr>
      <w:r>
        <w:rPr>
          <w:rFonts w:ascii="Times New Roman" w:cs="Times New Roman" w:eastAsia="Times New Roman" w:hAnsi="Times New Roman"/>
          <w:sz w:val="15"/>
          <w:szCs w:val="15"/>
          <w:color w:val="auto"/>
        </w:rPr>
        <w:t>The number of founder shares, and the forfeiture mechanism underlying the founder shares, has been determined in order to ensure that the founder shares, together with the private investor shares owned by the non-managing investors will collectively represent 30% of the issued and outstanding shares (assuming none of the initial shareholders purchases public units or public shares in this offering) upon completion of this offering and the exercise of the underwriters’ over-allotment option, if any. In connection with this offering, our sponsor and four of our directors hold 7,850,229 founder shares, of which up to 1,023,943 founder shares are subject to forfeiture depending on the extent to which the underwriters’ over-allotment option is exercised during this offering.</w:t>
      </w:r>
    </w:p>
    <w:p>
      <w:pPr>
        <w:spacing w:after="0" w:line="156" w:lineRule="exact"/>
        <w:rPr>
          <w:sz w:val="20"/>
          <w:szCs w:val="20"/>
          <w:color w:val="auto"/>
        </w:rPr>
      </w:pPr>
    </w:p>
    <w:p>
      <w:pPr>
        <w:ind w:left="460" w:right="160" w:firstLine="379"/>
        <w:spacing w:after="0" w:line="251" w:lineRule="auto"/>
        <w:rPr>
          <w:sz w:val="20"/>
          <w:szCs w:val="20"/>
          <w:color w:val="auto"/>
        </w:rPr>
      </w:pPr>
      <w:r>
        <w:rPr>
          <w:rFonts w:ascii="Times New Roman" w:cs="Times New Roman" w:eastAsia="Times New Roman" w:hAnsi="Times New Roman"/>
          <w:sz w:val="15"/>
          <w:szCs w:val="15"/>
          <w:color w:val="auto"/>
        </w:rPr>
        <w:t>Except with respect to permitted transferees as described herein under “</w:t>
      </w:r>
      <w:r>
        <w:rPr>
          <w:rFonts w:ascii="Times New Roman" w:cs="Times New Roman" w:eastAsia="Times New Roman" w:hAnsi="Times New Roman"/>
          <w:sz w:val="15"/>
          <w:szCs w:val="15"/>
          <w:i w:val="1"/>
          <w:iCs w:val="1"/>
          <w:color w:val="auto"/>
        </w:rPr>
        <w:t>Principal Shareholders</w:t>
      </w:r>
      <w:r>
        <w:rPr>
          <w:rFonts w:ascii="Times New Roman" w:cs="Times New Roman" w:eastAsia="Times New Roman" w:hAnsi="Times New Roman"/>
          <w:sz w:val="15"/>
          <w:szCs w:val="15"/>
          <w:color w:val="auto"/>
        </w:rPr>
        <w:t>,” our initial shareholders have agreed not to transfer, assign or sell any of their respective founder shares and private investor shares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 the underlying securities) until thirty days after the date we complete our initial business combination, except as described below. Permitted transferees would be subject to the same restrictions and other agreements of our initial shareholders with respect to any such securities.</w:t>
      </w:r>
    </w:p>
    <w:p>
      <w:pPr>
        <w:spacing w:after="0" w:line="16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On July 18, 2025, we issued a promissory note to our Sponsor with a principal amount of $100,000, all of which remained outstanding as of July 21,</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2025.</w:t>
      </w:r>
    </w:p>
    <w:p>
      <w:pPr>
        <w:spacing w:after="0" w:line="14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190</w:t>
      </w:r>
    </w:p>
    <w:p>
      <w:pPr>
        <w:sectPr>
          <w:pgSz w:w="11900" w:h="16840" w:orient="portrait"/>
          <w:cols w:equalWidth="0" w:num="1">
            <w:col w:w="10100"/>
          </w:cols>
          <w:pgMar w:left="660" w:top="874" w:right="1140" w:bottom="1440" w:gutter="0" w:footer="0" w:header="0"/>
        </w:sectPr>
      </w:pPr>
    </w:p>
    <w:bookmarkStart w:id="203" w:name="page204"/>
    <w:bookmarkEnd w:id="2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jc w:val="both"/>
        <w:ind w:left="460" w:right="180" w:firstLine="379"/>
        <w:spacing w:after="0" w:line="265" w:lineRule="auto"/>
        <w:rPr>
          <w:sz w:val="20"/>
          <w:szCs w:val="20"/>
          <w:color w:val="auto"/>
        </w:rPr>
      </w:pPr>
      <w:r>
        <w:rPr>
          <w:rFonts w:ascii="Times New Roman" w:cs="Times New Roman" w:eastAsia="Times New Roman" w:hAnsi="Times New Roman"/>
          <w:sz w:val="15"/>
          <w:szCs w:val="15"/>
          <w:color w:val="auto"/>
        </w:rPr>
        <w:t>In order to meet our working capital needs following the consummation of this offering, our sponsor, executive officers, directors or their affiliates may, but are not obligated to, loan us funds, from time to time or at any time, in whatever amount they deem reasonable in their sole discretion. Each loan would be evidenced by a promissory note.</w:t>
      </w:r>
    </w:p>
    <w:p>
      <w:pPr>
        <w:spacing w:after="0" w:line="151"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The holders of our founder shares, private investor shares and private placement shares issued and outstanding on the date of this prospectus, and the shares to be issued upon conversion of the private placement rights upon consummation of our initial business combination, as well as,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62" w:lineRule="exact"/>
        <w:rPr>
          <w:sz w:val="20"/>
          <w:szCs w:val="20"/>
          <w:color w:val="auto"/>
        </w:rPr>
      </w:pPr>
    </w:p>
    <w:p>
      <w:pPr>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w:t>
      </w:r>
    </w:p>
    <w:p>
      <w:pPr>
        <w:spacing w:after="0" w:line="151" w:lineRule="exact"/>
        <w:rPr>
          <w:sz w:val="20"/>
          <w:szCs w:val="20"/>
          <w:color w:val="auto"/>
        </w:rPr>
      </w:pPr>
    </w:p>
    <w:p>
      <w:pPr>
        <w:ind w:left="460" w:right="120" w:firstLine="379"/>
        <w:spacing w:after="0" w:line="256" w:lineRule="auto"/>
        <w:rPr>
          <w:sz w:val="20"/>
          <w:szCs w:val="20"/>
          <w:color w:val="auto"/>
        </w:rPr>
      </w:pPr>
      <w:r>
        <w:rPr>
          <w:rFonts w:ascii="Times New Roman" w:cs="Times New Roman" w:eastAsia="Times New Roman" w:hAnsi="Times New Roman"/>
          <w:sz w:val="15"/>
          <w:szCs w:val="15"/>
          <w:color w:val="auto"/>
        </w:rPr>
        <w:t>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a rights that permit us to use “Private-to-Public Equity (PPE).”</w:t>
      </w:r>
    </w:p>
    <w:p>
      <w:pPr>
        <w:spacing w:after="0" w:line="158" w:lineRule="exact"/>
        <w:rPr>
          <w:sz w:val="20"/>
          <w:szCs w:val="20"/>
          <w:color w:val="auto"/>
        </w:rPr>
      </w:pPr>
    </w:p>
    <w:p>
      <w:pPr>
        <w:ind w:left="460" w:right="60" w:firstLine="379"/>
        <w:spacing w:after="0" w:line="251" w:lineRule="auto"/>
        <w:rPr>
          <w:sz w:val="20"/>
          <w:szCs w:val="20"/>
          <w:color w:val="auto"/>
        </w:rPr>
      </w:pPr>
      <w:r>
        <w:rPr>
          <w:rFonts w:ascii="Times New Roman" w:cs="Times New Roman" w:eastAsia="Times New Roman" w:hAnsi="Times New Roman"/>
          <w:sz w:val="15"/>
          <w:szCs w:val="15"/>
          <w:color w:val="auto"/>
        </w:rPr>
        <w:t>Other than the foregoing and as described in this paragraph,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Our board of directors may also approve the payment of advisory fees for such activities, including board committee service, and extraordinary administrative and analytical services. There is no limit on the amount of out-of-pocket expenses reimbursable by us. Our independent directors will review on a quarterly basis all payments that were made to our sponsor, executive officers or our or their affiliates.</w:t>
      </w:r>
    </w:p>
    <w:p>
      <w:pPr>
        <w:spacing w:after="0" w:line="165"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After our initial business combination, members of our management team who remain with us may be paid consulting, management or other fees from the combined company with any and all amounts being fully disclosed to shareholders, to the extent then known, in the proxy solicitation materials furnished to our shareholders. It is unlikely the amount of such compensation will be known at the time of a shareholder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2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191</w:t>
      </w:r>
    </w:p>
    <w:p>
      <w:pPr>
        <w:sectPr>
          <w:pgSz w:w="11900" w:h="16840" w:orient="portrait"/>
          <w:cols w:equalWidth="0" w:num="1">
            <w:col w:w="10120"/>
          </w:cols>
          <w:pgMar w:left="660" w:top="874" w:right="1120" w:bottom="1440" w:gutter="0" w:footer="0" w:header="0"/>
        </w:sectPr>
      </w:pPr>
    </w:p>
    <w:bookmarkStart w:id="204" w:name="page205"/>
    <w:bookmarkEnd w:id="2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80" w:firstLine="379"/>
        <w:spacing w:after="0" w:line="253" w:lineRule="auto"/>
        <w:rPr>
          <w:sz w:val="20"/>
          <w:szCs w:val="20"/>
          <w:color w:val="auto"/>
        </w:rPr>
      </w:pPr>
      <w:r>
        <w:rPr>
          <w:rFonts w:ascii="Times New Roman" w:cs="Times New Roman" w:eastAsia="Times New Roman" w:hAnsi="Times New Roman"/>
          <w:sz w:val="15"/>
          <w:szCs w:val="15"/>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 In such event, neither the sponsor, nor any executive officer or director, will be entitled to receive or accept a finder’s fee or any other compensation in the event such party originates a business combination.</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Dr. Katz, our Chief Executive Officer and Chairman of the board of directors, and Dr. Dinu, one of our directors, are husband and wife.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Related Party Policy</w:t>
      </w:r>
    </w:p>
    <w:p>
      <w:pPr>
        <w:spacing w:after="0" w:line="104"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Our Code of Business Conduct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62" w:lineRule="exact"/>
        <w:rPr>
          <w:sz w:val="20"/>
          <w:szCs w:val="20"/>
          <w:color w:val="auto"/>
        </w:rPr>
      </w:pPr>
    </w:p>
    <w:p>
      <w:pPr>
        <w:ind w:left="460" w:right="80" w:firstLine="379"/>
        <w:spacing w:after="0" w:line="254" w:lineRule="auto"/>
        <w:rPr>
          <w:sz w:val="20"/>
          <w:szCs w:val="20"/>
          <w:color w:val="auto"/>
        </w:rPr>
      </w:pPr>
      <w:r>
        <w:rPr>
          <w:rFonts w:ascii="Times New Roman" w:cs="Times New Roman" w:eastAsia="Times New Roman" w:hAnsi="Times New Roman"/>
          <w:sz w:val="15"/>
          <w:szCs w:val="15"/>
          <w:color w:val="auto"/>
        </w:rPr>
        <w:t>Our audit committee, pursuant to its written charter, will be responsible for reviewing and approving related 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 party under the same or similar circumstances and the extent of the related party’s interest in the transaction. No director may participate in the approval of any transaction in which he is a related party, and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60" w:lineRule="exact"/>
        <w:rPr>
          <w:sz w:val="20"/>
          <w:szCs w:val="20"/>
          <w:color w:val="auto"/>
        </w:rPr>
      </w:pPr>
    </w:p>
    <w:p>
      <w:pPr>
        <w:ind w:left="460" w:right="60" w:firstLine="379"/>
        <w:spacing w:after="0" w:line="284" w:lineRule="auto"/>
        <w:rPr>
          <w:sz w:val="20"/>
          <w:szCs w:val="20"/>
          <w:color w:val="auto"/>
        </w:rPr>
      </w:pPr>
      <w:r>
        <w:rPr>
          <w:rFonts w:ascii="Times New Roman" w:cs="Times New Roman" w:eastAsia="Times New Roman" w:hAnsi="Times New Roman"/>
          <w:sz w:val="15"/>
          <w:szCs w:val="15"/>
          <w:color w:val="auto"/>
        </w:rPr>
        <w:t>These procedures are intended to determine whether any such related party transaction impairs the independence of a director or presents a conflict of interest on the part of a director, employee or officer.</w:t>
      </w:r>
    </w:p>
    <w:p>
      <w:pPr>
        <w:spacing w:after="0" w:line="137"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color w:val="auto"/>
        </w:rPr>
        <w:t>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w:t>
      </w:r>
    </w:p>
    <w:p>
      <w:pPr>
        <w:spacing w:after="0" w:line="2" w:lineRule="exact"/>
        <w:rPr>
          <w:sz w:val="20"/>
          <w:szCs w:val="20"/>
          <w:color w:val="auto"/>
        </w:rPr>
      </w:pPr>
    </w:p>
    <w:p>
      <w:pPr>
        <w:ind w:left="460" w:right="160" w:hanging="5"/>
        <w:spacing w:after="0" w:line="250" w:lineRule="auto"/>
        <w:tabs>
          <w:tab w:leader="none" w:pos="721"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shareholders from a financial point of view. In such event, neither the sponsor, nor any executive officer or director, will be entitled to receive or accept a finder’s fee or any other compensation in the event such party originates a business combination.</w:t>
      </w:r>
    </w:p>
    <w:p>
      <w:pPr>
        <w:spacing w:after="0" w:line="12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192</w:t>
      </w:r>
    </w:p>
    <w:p>
      <w:pPr>
        <w:sectPr>
          <w:pgSz w:w="11900" w:h="16840" w:orient="portrait"/>
          <w:cols w:equalWidth="0" w:num="1">
            <w:col w:w="10120"/>
          </w:cols>
          <w:pgMar w:left="660" w:top="874" w:right="1120" w:bottom="1440" w:gutter="0" w:footer="0" w:header="0"/>
        </w:sectPr>
      </w:pPr>
    </w:p>
    <w:bookmarkStart w:id="205" w:name="page206"/>
    <w:bookmarkEnd w:id="2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DESCRIPTION OF SECURITIES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As of the date of this prospectus, we are authorized to issue 200,000,000 Class A ordinary shares, par value $0.0001 per share, 20,000,000 Class B</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ordinary shares, par value $0.0001 per share, and 1,000,000 preferred shares, par value $0.0001 per share. As of the date of this prospectus, 7,850,229</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Class B ordinary shares are outstanding, and we expect to issue 2,964,203 Class B ordinary shares to non-managing investors prior to the public offering. We</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also expect to issue 92,500 private placement units to our sponsor and 242,475 private placement units to non-managing investors. No preferred shares are</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currently outstanding. The following description summarizes the material terms of our securities. Because it is only a summary, it may not contain all the</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information that is important to you. For a complete description, you should refer to our amended and restated memorandum and articles of association,</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which is filed as exhibits to the registration statement of which this prospectus is a part, and to the applicable provisions of the Cayman Islands law.</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Public Units</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Each public unit consists of one Class A ordinary share and one right entitle the holder thereof to receiveone-tenth of one ordinary share.</w:t>
      </w:r>
    </w:p>
    <w:p>
      <w:pPr>
        <w:spacing w:after="0" w:line="195" w:lineRule="exact"/>
        <w:rPr>
          <w:sz w:val="20"/>
          <w:szCs w:val="20"/>
          <w:color w:val="auto"/>
        </w:rPr>
      </w:pPr>
    </w:p>
    <w:p>
      <w:pPr>
        <w:jc w:val="both"/>
        <w:ind w:left="460" w:right="60" w:firstLine="379"/>
        <w:spacing w:after="0" w:line="259" w:lineRule="auto"/>
        <w:rPr>
          <w:sz w:val="20"/>
          <w:szCs w:val="20"/>
          <w:color w:val="auto"/>
        </w:rPr>
      </w:pPr>
      <w:r>
        <w:rPr>
          <w:rFonts w:ascii="Times New Roman" w:cs="Times New Roman" w:eastAsia="Times New Roman" w:hAnsi="Times New Roman"/>
          <w:sz w:val="15"/>
          <w:szCs w:val="15"/>
          <w:color w:val="auto"/>
        </w:rPr>
        <w:t>The public shares and public rights will begin to trade separately on the 52nd day after the date of this prospectus unless the underwriters inform us of their decision to allow earlier separate trading, provided that in no event may the public shares and public rights be traded separately until we have filed with the SEC a Current Report on Form 8-K which includes an audited balance sheet reflecting our receipt of the gross proceeds of this offering. Once the public shares and public rights commence separate trading, holders will have the option to continue to hold units or separate their units into the component pieces.</w:t>
      </w:r>
    </w:p>
    <w:p>
      <w:pPr>
        <w:spacing w:after="0" w:line="156" w:lineRule="exact"/>
        <w:rPr>
          <w:sz w:val="20"/>
          <w:szCs w:val="20"/>
          <w:color w:val="auto"/>
        </w:rPr>
      </w:pPr>
    </w:p>
    <w:p>
      <w:pPr>
        <w:ind w:left="460" w:right="20" w:firstLine="379"/>
        <w:spacing w:after="0" w:line="254" w:lineRule="auto"/>
        <w:rPr>
          <w:sz w:val="20"/>
          <w:szCs w:val="20"/>
          <w:color w:val="auto"/>
        </w:rPr>
      </w:pPr>
      <w:r>
        <w:rPr>
          <w:rFonts w:ascii="Times New Roman" w:cs="Times New Roman" w:eastAsia="Times New Roman" w:hAnsi="Times New Roman"/>
          <w:sz w:val="15"/>
          <w:szCs w:val="15"/>
          <w:color w:val="auto"/>
        </w:rPr>
        <w:t>We will file a Current Report on Form 8 -K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the underwriters have allowed separate trading of the public shares and public rights prior to the 52nd day after the date of this prospectus.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Ordinary Shares</w:t>
      </w:r>
    </w:p>
    <w:p>
      <w:pPr>
        <w:spacing w:after="0" w:line="104" w:lineRule="exact"/>
        <w:rPr>
          <w:sz w:val="20"/>
          <w:szCs w:val="20"/>
          <w:color w:val="auto"/>
        </w:rPr>
      </w:pPr>
    </w:p>
    <w:p>
      <w:pPr>
        <w:ind w:left="460" w:right="160" w:firstLine="379"/>
        <w:spacing w:after="0" w:line="253" w:lineRule="auto"/>
        <w:rPr>
          <w:sz w:val="20"/>
          <w:szCs w:val="20"/>
          <w:color w:val="auto"/>
        </w:rPr>
      </w:pPr>
      <w:r>
        <w:rPr>
          <w:rFonts w:ascii="Times New Roman" w:cs="Times New Roman" w:eastAsia="Times New Roman" w:hAnsi="Times New Roman"/>
          <w:sz w:val="15"/>
          <w:szCs w:val="15"/>
          <w:color w:val="auto"/>
        </w:rPr>
        <w:t>Concurrent with the consummation of this offering, there will be 7,850,229 ordinary shares outstanding held of record by our insiders and Lynrock. Our insiders will own approximately 17.8% (inclusive of the 45,200 private placement shares but not inclusive of any founder shares held by Lynrock) of our issued and outstanding shares after this offering (assuming our sponsor does not purchase any units in this offering and the over-allotment option is not exercised by the underwriters). Up to 1,023,943 of the founder shares will be forfeited by our initial shareholders depending on the extent to which the underwriters’ over-allotment option is exercised. Upon the closing of this offering, 31,741,483 of our ordinary shares will be outstanding (assuming no exercise of the underwriters’ over-allotment option and the corresponding forfeiture of 1,410,624 Class B ordinary shares by our initial shareholders) including:</w:t>
      </w:r>
    </w:p>
    <w:p>
      <w:pPr>
        <w:spacing w:after="0" w:line="89" w:lineRule="exact"/>
        <w:rPr>
          <w:sz w:val="20"/>
          <w:szCs w:val="20"/>
          <w:color w:val="auto"/>
        </w:rPr>
      </w:pPr>
    </w:p>
    <w:p>
      <w:pPr>
        <w:ind w:left="1300" w:hanging="371"/>
        <w:spacing w:after="0"/>
        <w:tabs>
          <w:tab w:leader="none" w:pos="13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22,000,000 Class A ordinary shares underlying public units issued as part of this offering;</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6,826,286 Class B ordinary shares held by the sponsor, Lynrock and the four directors;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2,577,522 Class B ordinary shares held by the non-managing investors;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337,675 Class A ordinary shares underlying private placement units.</w:t>
      </w:r>
    </w:p>
    <w:p>
      <w:pPr>
        <w:spacing w:after="0" w:line="15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193</w:t>
      </w:r>
    </w:p>
    <w:p>
      <w:pPr>
        <w:sectPr>
          <w:pgSz w:w="11900" w:h="16840" w:orient="portrait"/>
          <w:cols w:equalWidth="0" w:num="1">
            <w:col w:w="10160"/>
          </w:cols>
          <w:pgMar w:left="660" w:top="874" w:right="1080" w:bottom="1440" w:gutter="0" w:footer="0" w:header="0"/>
        </w:sectPr>
      </w:pPr>
    </w:p>
    <w:bookmarkStart w:id="206" w:name="page207"/>
    <w:bookmarkEnd w:id="2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firstLine="379"/>
        <w:spacing w:after="0" w:line="253" w:lineRule="auto"/>
        <w:rPr>
          <w:sz w:val="20"/>
          <w:szCs w:val="20"/>
          <w:color w:val="auto"/>
        </w:rPr>
      </w:pPr>
      <w:r>
        <w:rPr>
          <w:rFonts w:ascii="Times New Roman" w:cs="Times New Roman" w:eastAsia="Times New Roman" w:hAnsi="Times New Roman"/>
          <w:sz w:val="15"/>
          <w:szCs w:val="15"/>
          <w:color w:val="auto"/>
        </w:rPr>
        <w:t>If we increase or decrease the size of the offering pursuant to Rule 462(b) under the Securities Act, we will effect a share dividend or share contribution back to capital, as applicable, immediately prior to the consummation of the offering in such amount so that the founder shares and private investor shares will collectively represent 30% of the issued and outstanding ordinary shares upon completion of this offering upon the consummation of this offering, as described above. Ordinary shareholders of record are entitled to one vote for each share held on all matters to be voted on by shareholders. Unless specified in our amended and restated memorandum and articles of association, or as required by applicable provisions of Cayman Island laws or stock exchange rules, the affirmative vote of a majority of our shares that are voted is required to approve any such matter voted on by our shareholders. Our shareholders are entitled to receive ratable dividends when, as and if declared by the board of directors out of funds legally available therefor.</w:t>
      </w:r>
    </w:p>
    <w:p>
      <w:pPr>
        <w:spacing w:after="0" w:line="160" w:lineRule="exact"/>
        <w:rPr>
          <w:sz w:val="20"/>
          <w:szCs w:val="20"/>
          <w:color w:val="auto"/>
        </w:rPr>
      </w:pPr>
    </w:p>
    <w:p>
      <w:pPr>
        <w:ind w:left="460" w:firstLine="379"/>
        <w:spacing w:after="0" w:line="249" w:lineRule="auto"/>
        <w:rPr>
          <w:sz w:val="20"/>
          <w:szCs w:val="20"/>
          <w:color w:val="auto"/>
        </w:rPr>
      </w:pPr>
      <w:r>
        <w:rPr>
          <w:rFonts w:ascii="Times New Roman" w:cs="Times New Roman" w:eastAsia="Times New Roman" w:hAnsi="Times New Roman"/>
          <w:sz w:val="15"/>
          <w:szCs w:val="15"/>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otherwise specified in our amended and restated memorandum and articles of association, or as required by applicable provisions of the Companies Act or applicable stock exchange rules, the affirmative vote of a majority of our ordinary shares that are represented in person or by proxy and are voted is required to approve any such matter voted on by our shareholders. Approval of certain actions will require a special resolution under Cayman Islands law, being the affirmative vote of at least two-thirds of the votes cast by such shareholders as, being entitled to do so, vote in person or, where proxies are allowed, by proxy at the applicable general meeting of the company, and pursuant to our amended and restated memorandum and articles of association; such actions include amending our amended and restated memorandum and articles of association and approving a statutory merger or consolidation with another company. There is no cumulative voting with respect to the election of directors, with the result that the holders of more than 50% of the shares entitled to vote and voted for the election of directors can elect all of the directors. Our shareholders are entitled to receive ratable dividends when, as and if declared by the board of directors out of funds legally available therefor. Prior to our initial business combination, only holders of our Class B ordinary shares will have the right to vote on the appointment of directors. Holders of our public shares will not be entitled to vote on the election of directors during such time. Further, prior to the closing of our initial business combination, transferring the company by way of continuation in a jurisdiction outside the Cayman Islands only would require the approval of the board of directors. 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w:t>
      </w:r>
    </w:p>
    <w:p>
      <w:pPr>
        <w:spacing w:after="0" w:line="345" w:lineRule="exact"/>
        <w:rPr>
          <w:sz w:val="20"/>
          <w:szCs w:val="20"/>
          <w:color w:val="auto"/>
        </w:rPr>
      </w:pPr>
    </w:p>
    <w:p>
      <w:pPr>
        <w:ind w:left="460" w:right="200" w:firstLine="379"/>
        <w:spacing w:after="0" w:line="284" w:lineRule="auto"/>
        <w:rPr>
          <w:sz w:val="20"/>
          <w:szCs w:val="20"/>
          <w:color w:val="auto"/>
        </w:rPr>
      </w:pPr>
      <w:r>
        <w:rPr>
          <w:rFonts w:ascii="Times New Roman" w:cs="Times New Roman" w:eastAsia="Times New Roman" w:hAnsi="Times New Roman"/>
          <w:sz w:val="15"/>
          <w:szCs w:val="15"/>
          <w:color w:val="auto"/>
        </w:rPr>
        <w:t>Our board of directors is elected each year at our annual meeting of shareholders; however, we do not currently intend to hold an annual meeting of shareholders until after we consummate a business combination (unless required by Nasdaq).</w:t>
      </w:r>
    </w:p>
    <w:p>
      <w:pPr>
        <w:spacing w:after="0" w:line="137" w:lineRule="exact"/>
        <w:rPr>
          <w:sz w:val="20"/>
          <w:szCs w:val="20"/>
          <w:color w:val="auto"/>
        </w:rPr>
      </w:pPr>
    </w:p>
    <w:p>
      <w:pPr>
        <w:ind w:left="460" w:right="160" w:firstLine="379"/>
        <w:spacing w:after="0" w:line="284" w:lineRule="auto"/>
        <w:rPr>
          <w:sz w:val="20"/>
          <w:szCs w:val="20"/>
          <w:color w:val="auto"/>
        </w:rPr>
      </w:pPr>
      <w:r>
        <w:rPr>
          <w:rFonts w:ascii="Times New Roman" w:cs="Times New Roman" w:eastAsia="Times New Roman" w:hAnsi="Times New Roman"/>
          <w:sz w:val="15"/>
          <w:szCs w:val="15"/>
          <w:color w:val="auto"/>
        </w:rPr>
        <w:t>In accordance with the Nasdaq corporate governance requirements, we are not required to hold an annual meeting until one year after our first fiscal year end following our listing on Nasdaq. Our fiscal year end will be on December 31.</w:t>
      </w:r>
    </w:p>
    <w:p>
      <w:pPr>
        <w:spacing w:after="0" w:line="137" w:lineRule="exact"/>
        <w:rPr>
          <w:sz w:val="20"/>
          <w:szCs w:val="20"/>
          <w:color w:val="auto"/>
        </w:rPr>
      </w:pPr>
    </w:p>
    <w:p>
      <w:pPr>
        <w:ind w:left="460" w:firstLine="379"/>
        <w:spacing w:after="0" w:line="253" w:lineRule="auto"/>
        <w:rPr>
          <w:sz w:val="20"/>
          <w:szCs w:val="20"/>
          <w:color w:val="auto"/>
        </w:rPr>
      </w:pPr>
      <w:r>
        <w:rPr>
          <w:rFonts w:ascii="Times New Roman" w:cs="Times New Roman" w:eastAsia="Times New Roman" w:hAnsi="Times New Roman"/>
          <w:sz w:val="15"/>
          <w:szCs w:val="15"/>
          <w:color w:val="auto"/>
        </w:rPr>
        <w:t>We will provide our public shareholders with the opportunity to redeem all or a portion of their public shares upon the completion of our initial business combination at a per-share price which is payable in cash and equal to the aggregate amount then on deposit in the trust account as of two business days prior to the consummation of our initial business combination, including interest (which interest shall be net of permitted withdrawals by us) divided by the number of then outstanding public shares, subject to the limitations described in this prospectus. The amount in the trust account is initially anticipated to be approximately $10.00 per public share. Our initial shareholders will enter into agreements with us, pursuant to which they will agree to waive their redemption rights with respect to their founder shares, private investor shares and private placement shares in connection with the completion of our business combination.</w:t>
      </w:r>
    </w:p>
    <w:p>
      <w:pPr>
        <w:spacing w:after="0" w:line="30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194</w:t>
      </w:r>
    </w:p>
    <w:p>
      <w:pPr>
        <w:sectPr>
          <w:pgSz w:w="11900" w:h="16840" w:orient="portrait"/>
          <w:cols w:equalWidth="0" w:num="1">
            <w:col w:w="10120"/>
          </w:cols>
          <w:pgMar w:left="660" w:top="874" w:right="1120" w:bottom="1440" w:gutter="0" w:footer="0" w:header="0"/>
        </w:sectPr>
      </w:pPr>
    </w:p>
    <w:bookmarkStart w:id="207" w:name="page208"/>
    <w:bookmarkEnd w:id="2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firstLine="379"/>
        <w:spacing w:after="0" w:line="251" w:lineRule="auto"/>
        <w:rPr>
          <w:sz w:val="20"/>
          <w:szCs w:val="20"/>
          <w:color w:val="auto"/>
        </w:rPr>
      </w:pPr>
      <w:r>
        <w:rPr>
          <w:rFonts w:ascii="Times New Roman" w:cs="Times New Roman" w:eastAsia="Times New Roman" w:hAnsi="Times New Roman"/>
          <w:sz w:val="15"/>
          <w:szCs w:val="15"/>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requires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w:t>
      </w:r>
    </w:p>
    <w:p>
      <w:pPr>
        <w:spacing w:after="0" w:line="165"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343" w:lineRule="exact"/>
        <w:rPr>
          <w:sz w:val="20"/>
          <w:szCs w:val="20"/>
          <w:color w:val="auto"/>
        </w:rPr>
      </w:pPr>
    </w:p>
    <w:p>
      <w:pPr>
        <w:ind w:left="460" w:right="40" w:firstLine="379"/>
        <w:spacing w:after="0" w:line="250" w:lineRule="auto"/>
        <w:rPr>
          <w:sz w:val="20"/>
          <w:szCs w:val="20"/>
          <w:color w:val="auto"/>
        </w:rPr>
      </w:pPr>
      <w:r>
        <w:rPr>
          <w:rFonts w:ascii="Times New Roman" w:cs="Times New Roman" w:eastAsia="Times New Roman" w:hAnsi="Times New Roman"/>
          <w:sz w:val="15"/>
          <w:szCs w:val="15"/>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initial shareholders and each member of our management team have agreed to vote their founder shares, private investor shares and private placement shares and public shares purchased during or after this offering in favor of our initial business combination. As a result, in addition to our initial shareholders’ founder shares, private investor shares and private placement shares, we would need 6,129,259 public shares, or approximately 27.86% of the 22,000,000 public shares sold in this offering to be voted in favor of an initial business combination in order to have our initial business combination approved (assuming all issued and outstanding shares are voted and the over-allotment option is not exercised). Assuming that only the holders of one-third of our issued and outstanding ordinary shares, representing a quorum under our amended and restated memorandum and articles of association, vote their shares, we will not need any public shares in addition to our founder shares, private investor shares and private placement shares held by our initial shareholders to be voted in favor of an initial business combination in order to approve an initial business combination. Additionally, each public shareholder may elect to redeem their public shares irrespective of whether they vote for or against the proposed transaction or vote at all.</w:t>
      </w:r>
    </w:p>
    <w:p>
      <w:pPr>
        <w:spacing w:after="0" w:line="167"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If we seek shareholder approval of our initial business combination and we do not conduct redemptions in connection with our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However, we would not be restricting our shareholders’ ability to vote all of their shares for or against our business combination.</w:t>
      </w:r>
    </w:p>
    <w:p>
      <w:pPr>
        <w:spacing w:after="0" w:line="158" w:lineRule="exact"/>
        <w:rPr>
          <w:sz w:val="20"/>
          <w:szCs w:val="20"/>
          <w:color w:val="auto"/>
        </w:rPr>
      </w:pPr>
    </w:p>
    <w:p>
      <w:pPr>
        <w:ind w:left="460" w:right="380" w:firstLine="379"/>
        <w:spacing w:after="0" w:line="284" w:lineRule="auto"/>
        <w:rPr>
          <w:sz w:val="20"/>
          <w:szCs w:val="20"/>
          <w:color w:val="auto"/>
        </w:rPr>
      </w:pPr>
      <w:r>
        <w:rPr>
          <w:rFonts w:ascii="Times New Roman" w:cs="Times New Roman" w:eastAsia="Times New Roman" w:hAnsi="Times New Roman"/>
          <w:sz w:val="15"/>
          <w:szCs w:val="15"/>
          <w:color w:val="auto"/>
        </w:rPr>
        <w:t>Pursuant to our amended and restated memorandum and articles of association, if we are unable to complete our business combination within 24 months from the closing of this offering, we will (i) cease all operations</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195</w:t>
      </w:r>
    </w:p>
    <w:p>
      <w:pPr>
        <w:sectPr>
          <w:pgSz w:w="11900" w:h="16840" w:orient="portrait"/>
          <w:cols w:equalWidth="0" w:num="1">
            <w:col w:w="10120"/>
          </w:cols>
          <w:pgMar w:left="660" w:top="874" w:right="1120" w:bottom="1440" w:gutter="0" w:footer="0" w:header="0"/>
        </w:sectPr>
      </w:pPr>
    </w:p>
    <w:bookmarkStart w:id="208" w:name="page209"/>
    <w:bookmarkEnd w:id="2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50" w:lineRule="auto"/>
        <w:rPr>
          <w:sz w:val="20"/>
          <w:szCs w:val="20"/>
          <w:color w:val="auto"/>
        </w:rPr>
      </w:pPr>
      <w:r>
        <w:rPr>
          <w:rFonts w:ascii="Times New Roman" w:cs="Times New Roman" w:eastAsia="Times New Roman" w:hAnsi="Times New Roman"/>
          <w:sz w:val="15"/>
          <w:szCs w:val="15"/>
          <w:color w:val="auto"/>
        </w:rPr>
        <w:t>except for the purpose of winding up, (ii) as promptly as reasonably possible but no more than 10 business days thereafter, subject to lawfully available funds therefor, redeem the public shares, at a per-share price which is payable in cash and equal to the aggregate amount then on deposit in the trust account, including interest (which interest shall be net of permitted withdrawals by us and up to $ 100,000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or subscription agreements with us, pursuant to which they have agreed to waive their rights to liquidating distributions from the trust account with respect to their founder shares, private investor shares and private placement shares if we fail to complete our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business combination within the prescribed time period.</w:t>
      </w:r>
    </w:p>
    <w:p>
      <w:pPr>
        <w:spacing w:after="0" w:line="167"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equal to their pro rata share of the aggregate amount then on deposit in the trust account, including interest (which interest shall be net of permitted withdrawals by us) upon the completion of our initial business combination, subject to the limitations described in this prospectus.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Rights</w:t>
      </w:r>
    </w:p>
    <w:p>
      <w:pPr>
        <w:spacing w:after="0" w:line="104" w:lineRule="exact"/>
        <w:rPr>
          <w:sz w:val="20"/>
          <w:szCs w:val="20"/>
          <w:color w:val="auto"/>
        </w:rPr>
      </w:pPr>
    </w:p>
    <w:p>
      <w:pPr>
        <w:ind w:left="460" w:right="20" w:firstLine="379"/>
        <w:spacing w:after="0" w:line="251" w:lineRule="auto"/>
        <w:rPr>
          <w:sz w:val="20"/>
          <w:szCs w:val="20"/>
          <w:color w:val="auto"/>
        </w:rPr>
      </w:pPr>
      <w:r>
        <w:rPr>
          <w:rFonts w:ascii="Times New Roman" w:cs="Times New Roman" w:eastAsia="Times New Roman" w:hAnsi="Times New Roman"/>
          <w:sz w:val="15"/>
          <w:szCs w:val="15"/>
          <w:color w:val="auto"/>
        </w:rPr>
        <w:t>Except in cases where we are not the surviving company in a business combination, each holder of a right will automatically receive one tenth (1/10</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of one ordinary share upon consummation of our initial business combination, even if the holder of a public right redeemed all ordinary shares held by him, her or it in connection with the initial business combination or an amendment to our amended and restated memorandum and articles of association with respect to our pre-initial business combination activities. In the event we will not be the surviving company upon completion of our initial business combination, each holder of a right will be required to affirmatively convert his, her or its rights in order to receive the one tenth (1/10</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of one ordinary share underlying each right upon consummation of the business combination. No additional consideration will be required to be paid by a holder of rights in order to receive his, her or its additional ordinary shares upon consummation of an initial business combination. The ordinary shares issuable upon conversion of the rights will be freely tradable (except to the extent held by affiliates of ours). If we enter into a definitive agreement for a business combination in which we will not be the surviving entity, the definitive agreement will provide for the holders of rights to receive the same consideration per ordinary share the holders of the ordinary shares will receive in the transaction on an as-converted into ordinary shares basis.</w:t>
      </w:r>
    </w:p>
    <w:p>
      <w:pPr>
        <w:spacing w:after="0" w:line="162" w:lineRule="exact"/>
        <w:rPr>
          <w:sz w:val="20"/>
          <w:szCs w:val="20"/>
          <w:color w:val="auto"/>
        </w:rPr>
      </w:pPr>
    </w:p>
    <w:p>
      <w:pPr>
        <w:ind w:left="460" w:right="20" w:firstLine="379"/>
        <w:spacing w:after="0" w:line="253" w:lineRule="auto"/>
        <w:rPr>
          <w:sz w:val="20"/>
          <w:szCs w:val="20"/>
          <w:color w:val="auto"/>
        </w:rPr>
      </w:pPr>
      <w:r>
        <w:rPr>
          <w:rFonts w:ascii="Times New Roman" w:cs="Times New Roman" w:eastAsia="Times New Roman" w:hAnsi="Times New Roman"/>
          <w:sz w:val="15"/>
          <w:szCs w:val="15"/>
          <w:color w:val="auto"/>
        </w:rPr>
        <w:t>We will not issue fractional ordinary shares in connection with an exchange of rights. Fractional shares will either be rounded down to the nearest whole share or otherwise addressed in accordance with Cayman Islands law. As a result, you must hold rights in multiples of ten in order to receive ordinary shares for all of your rights upon closing of a business combination. 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Further,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1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196</w:t>
      </w:r>
    </w:p>
    <w:p>
      <w:pPr>
        <w:sectPr>
          <w:pgSz w:w="11900" w:h="16840" w:orient="portrait"/>
          <w:cols w:equalWidth="0" w:num="1">
            <w:col w:w="10140"/>
          </w:cols>
          <w:pgMar w:left="660" w:top="874" w:right="1100" w:bottom="1440" w:gutter="0" w:footer="0" w:header="0"/>
        </w:sectPr>
      </w:pPr>
    </w:p>
    <w:bookmarkStart w:id="209" w:name="page210"/>
    <w:bookmarkEnd w:id="2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w:t>
      </w:r>
    </w:p>
    <w:p>
      <w:pPr>
        <w:spacing w:after="0" w:line="156" w:lineRule="exact"/>
        <w:rPr>
          <w:sz w:val="20"/>
          <w:szCs w:val="20"/>
          <w:color w:val="auto"/>
        </w:rPr>
      </w:pPr>
    </w:p>
    <w:p>
      <w:pPr>
        <w:ind w:left="460" w:right="100" w:firstLine="379"/>
        <w:spacing w:after="0" w:line="252" w:lineRule="auto"/>
        <w:rPr>
          <w:sz w:val="20"/>
          <w:szCs w:val="20"/>
          <w:color w:val="auto"/>
        </w:rPr>
      </w:pPr>
      <w:r>
        <w:rPr>
          <w:rFonts w:ascii="Times New Roman" w:cs="Times New Roman" w:eastAsia="Times New Roman" w:hAnsi="Times New Roman"/>
          <w:sz w:val="15"/>
          <w:szCs w:val="15"/>
          <w:color w:val="auto"/>
        </w:rPr>
        <w:t>Our rights agreement will provide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2"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Private Placement Rights</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private placement rights have terms and provisions that are identical to those of the rights being sold as part of the units in this offering.</w:t>
      </w:r>
    </w:p>
    <w:p>
      <w:pPr>
        <w:spacing w:after="0" w:line="195" w:lineRule="exact"/>
        <w:rPr>
          <w:sz w:val="20"/>
          <w:szCs w:val="20"/>
          <w:color w:val="auto"/>
        </w:rPr>
      </w:pPr>
    </w:p>
    <w:p>
      <w:pPr>
        <w:ind w:left="460" w:right="80" w:firstLine="379"/>
        <w:spacing w:after="0" w:line="284" w:lineRule="auto"/>
        <w:rPr>
          <w:sz w:val="20"/>
          <w:szCs w:val="20"/>
          <w:color w:val="auto"/>
        </w:rPr>
      </w:pPr>
      <w:r>
        <w:rPr>
          <w:rFonts w:ascii="Times New Roman" w:cs="Times New Roman" w:eastAsia="Times New Roman" w:hAnsi="Times New Roman"/>
          <w:sz w:val="15"/>
          <w:szCs w:val="15"/>
          <w:color w:val="auto"/>
        </w:rPr>
        <w:t>The private placement rights (including the ordinary shares issuable upon conversion of the rights) will not be transferable, assignable, or salable until the completion of our initial business combination (except as described herein).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Preferred Shares</w:t>
      </w:r>
    </w:p>
    <w:p>
      <w:pPr>
        <w:spacing w:after="0" w:line="104" w:lineRule="exact"/>
        <w:rPr>
          <w:sz w:val="20"/>
          <w:szCs w:val="20"/>
          <w:color w:val="auto"/>
        </w:rPr>
      </w:pPr>
    </w:p>
    <w:p>
      <w:pPr>
        <w:ind w:left="460" w:right="60" w:firstLine="379"/>
        <w:spacing w:after="0" w:line="252" w:lineRule="auto"/>
        <w:rPr>
          <w:sz w:val="20"/>
          <w:szCs w:val="20"/>
          <w:color w:val="auto"/>
        </w:rPr>
      </w:pPr>
      <w:r>
        <w:rPr>
          <w:rFonts w:ascii="Times New Roman" w:cs="Times New Roman" w:eastAsia="Times New Roman" w:hAnsi="Times New Roman"/>
          <w:sz w:val="15"/>
          <w:szCs w:val="15"/>
          <w:color w:val="auto"/>
        </w:rPr>
        <w:t>There are no preferred shares outstanding. Our amended and restated memorandum and articles of association will authorize the issuance of 1,000,000 preferred shares with such designation, rights and preferences as may be determined from time to time by our board of directors. No preferred shares are being issued or registered in this offering. Accordingly, our board of directors is empowered, without shareholder approval, to issue preferred shares with dividend, liquidation, conversion, voting or other rights which could adversely affect the voting power or other rights of the holders of ordinary shares. However, the underwriting agreement prohibits us, prior to a business combination, from issuing preferred shares which participates in any manner in the proceeds of the trust account, or which votes as a class with the ordinary shares on a business combination. We may issue some or all of the preferred shares to effect a business combination. In addition, the preferred shares could be utilized as a method of discouraging, delaying or preventing a change in control of us.</w:t>
      </w:r>
    </w:p>
    <w:p>
      <w:pPr>
        <w:spacing w:after="0" w:line="3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197</w:t>
      </w:r>
    </w:p>
    <w:p>
      <w:pPr>
        <w:sectPr>
          <w:pgSz w:w="11900" w:h="16840" w:orient="portrait"/>
          <w:cols w:equalWidth="0" w:num="1">
            <w:col w:w="10160"/>
          </w:cols>
          <w:pgMar w:left="660" w:top="874" w:right="1080" w:bottom="1440" w:gutter="0" w:footer="0" w:header="0"/>
        </w:sectPr>
      </w:pPr>
    </w:p>
    <w:bookmarkStart w:id="210" w:name="page211"/>
    <w:bookmarkEnd w:id="2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Although we do not currently intend to issue any preferred shares, we cannot assure you that we will not do so in the future.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Register of Members</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Under the Companies Act, we must keep a register of members and there should be entered therein:</w:t>
      </w:r>
    </w:p>
    <w:p>
      <w:pPr>
        <w:spacing w:after="0" w:line="124" w:lineRule="exact"/>
        <w:rPr>
          <w:sz w:val="20"/>
          <w:szCs w:val="20"/>
          <w:color w:val="auto"/>
        </w:rPr>
      </w:pPr>
    </w:p>
    <w:p>
      <w:pPr>
        <w:ind w:left="1300" w:hanging="371"/>
        <w:spacing w:after="0"/>
        <w:tabs>
          <w:tab w:leader="none" w:pos="13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names and addresses of the members of the company, a statement of the shares held by each member, which:</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distinguishes each share by its number (so long as the share has a number);</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confirms the amount paid, or agreed to be considered as paid, on the shares of each member;</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confirms the number and category of shares held by each member; and</w:t>
      </w:r>
    </w:p>
    <w:p>
      <w:pPr>
        <w:spacing w:after="0" w:line="230" w:lineRule="exact"/>
        <w:rPr>
          <w:rFonts w:ascii="Times New Roman" w:cs="Times New Roman" w:eastAsia="Times New Roman" w:hAnsi="Times New Roman"/>
          <w:sz w:val="15"/>
          <w:szCs w:val="15"/>
          <w:color w:val="auto"/>
        </w:rPr>
      </w:pPr>
    </w:p>
    <w:p>
      <w:pPr>
        <w:ind w:left="1300" w:right="260" w:hanging="371"/>
        <w:spacing w:after="0" w:line="284" w:lineRule="auto"/>
        <w:tabs>
          <w:tab w:leader="none" w:pos="13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confirms whether each relevant category of shares held by a member carries voting rights under the Articles, and if so, whether such voting rights are conditional;</w:t>
      </w:r>
    </w:p>
    <w:p>
      <w:pPr>
        <w:spacing w:after="0" w:line="172"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name of any person was entered on the register as a member; and</w:t>
      </w:r>
    </w:p>
    <w:p>
      <w:pPr>
        <w:spacing w:after="0" w:line="230"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any person ceased to be a member.</w:t>
      </w:r>
    </w:p>
    <w:p>
      <w:pPr>
        <w:spacing w:after="0" w:line="195" w:lineRule="exact"/>
        <w:rPr>
          <w:sz w:val="20"/>
          <w:szCs w:val="20"/>
          <w:color w:val="auto"/>
        </w:rPr>
      </w:pPr>
    </w:p>
    <w:p>
      <w:pPr>
        <w:jc w:val="both"/>
        <w:ind w:left="460" w:right="60" w:firstLine="379"/>
        <w:spacing w:after="0" w:line="284" w:lineRule="auto"/>
        <w:rPr>
          <w:sz w:val="20"/>
          <w:szCs w:val="20"/>
          <w:color w:val="auto"/>
        </w:rPr>
      </w:pPr>
      <w:r>
        <w:rPr>
          <w:rFonts w:ascii="Times New Roman" w:cs="Times New Roman" w:eastAsia="Times New Roman" w:hAnsi="Times New Roman"/>
          <w:sz w:val="15"/>
          <w:szCs w:val="15"/>
          <w:color w:val="auto"/>
        </w:rPr>
        <w:t>For these purposes, “voting rights” means rights conferred on shareholders, including the right to appoint directors, in respect of their shares to vote at general meetings of the company on all or substantially all matters. A voting right is conditional where the voting right arises only in certain circumstances.</w:t>
      </w:r>
    </w:p>
    <w:p>
      <w:pPr>
        <w:spacing w:after="0" w:line="137" w:lineRule="exact"/>
        <w:rPr>
          <w:sz w:val="20"/>
          <w:szCs w:val="20"/>
          <w:color w:val="auto"/>
        </w:rPr>
      </w:pPr>
    </w:p>
    <w:p>
      <w:pPr>
        <w:ind w:left="460" w:right="60" w:firstLine="379"/>
        <w:spacing w:after="0" w:line="251" w:lineRule="auto"/>
        <w:rPr>
          <w:sz w:val="20"/>
          <w:szCs w:val="20"/>
          <w:color w:val="auto"/>
        </w:rPr>
      </w:pPr>
      <w:r>
        <w:rPr>
          <w:rFonts w:ascii="Times New Roman" w:cs="Times New Roman" w:eastAsia="Times New Roman" w:hAnsi="Times New Roman"/>
          <w:sz w:val="15"/>
          <w:szCs w:val="15"/>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104"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We have not paid any cash dividends on our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Our Transfer Agent</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transfer agent for our shares will be Continental Stock Transfer &amp; Trust Company.</w:t>
      </w:r>
    </w:p>
    <w:p>
      <w:pPr>
        <w:spacing w:after="0" w:line="15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198</w:t>
      </w:r>
    </w:p>
    <w:p>
      <w:pPr>
        <w:sectPr>
          <w:pgSz w:w="11900" w:h="16840" w:orient="portrait"/>
          <w:cols w:equalWidth="0" w:num="1">
            <w:col w:w="10140"/>
          </w:cols>
          <w:pgMar w:left="660" w:top="874" w:right="1100" w:bottom="1440" w:gutter="0" w:footer="0" w:header="0"/>
        </w:sectPr>
      </w:pPr>
    </w:p>
    <w:bookmarkStart w:id="211" w:name="page212"/>
    <w:bookmarkEnd w:id="2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Listing of Securities</w:t>
      </w:r>
    </w:p>
    <w:p>
      <w:pPr>
        <w:spacing w:after="0" w:line="104" w:lineRule="exact"/>
        <w:rPr>
          <w:sz w:val="20"/>
          <w:szCs w:val="20"/>
          <w:color w:val="auto"/>
        </w:rPr>
      </w:pPr>
    </w:p>
    <w:p>
      <w:pPr>
        <w:ind w:left="460" w:right="160" w:firstLine="379"/>
        <w:spacing w:after="0" w:line="284" w:lineRule="auto"/>
        <w:rPr>
          <w:sz w:val="20"/>
          <w:szCs w:val="20"/>
          <w:color w:val="auto"/>
        </w:rPr>
      </w:pPr>
      <w:r>
        <w:rPr>
          <w:rFonts w:ascii="Times New Roman" w:cs="Times New Roman" w:eastAsia="Times New Roman" w:hAnsi="Times New Roman"/>
          <w:sz w:val="15"/>
          <w:szCs w:val="15"/>
          <w:color w:val="auto"/>
        </w:rPr>
        <w:t>We anticipate that the public units, as well as the public shares and public rights underlying the public units (once they begin separate trading), will be listed on Nasdaq under the symbols “GIWWU,” “GIW,” and “GIWWR,” respectively.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Certain Differences in Corporate Law</w:t>
      </w:r>
    </w:p>
    <w:p>
      <w:pPr>
        <w:spacing w:after="0" w:line="104"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52" w:lineRule="exact"/>
        <w:rPr>
          <w:sz w:val="20"/>
          <w:szCs w:val="20"/>
          <w:color w:val="auto"/>
        </w:rPr>
      </w:pPr>
    </w:p>
    <w:p>
      <w:pPr>
        <w:jc w:val="both"/>
        <w:ind w:left="460" w:right="40" w:firstLine="379"/>
        <w:spacing w:after="0" w:line="268" w:lineRule="auto"/>
        <w:rPr>
          <w:sz w:val="20"/>
          <w:szCs w:val="20"/>
          <w:color w:val="auto"/>
        </w:rPr>
      </w:pPr>
      <w:r>
        <w:rPr>
          <w:rFonts w:ascii="Times New Roman" w:cs="Times New Roman" w:eastAsia="Times New Roman" w:hAnsi="Times New Roman"/>
          <w:sz w:val="15"/>
          <w:szCs w:val="15"/>
          <w:i w:val="1"/>
          <w:iCs w:val="1"/>
          <w:color w:val="auto"/>
        </w:rPr>
        <w:t>Mergers and Similar Arrangements</w:t>
      </w:r>
      <w:r>
        <w:rPr>
          <w:rFonts w:ascii="Times New Roman" w:cs="Times New Roman" w:eastAsia="Times New Roman" w:hAnsi="Times New Roman"/>
          <w:sz w:val="15"/>
          <w:szCs w:val="15"/>
          <w:color w:val="auto"/>
        </w:rPr>
        <w:t>. In certain circumstances, the Companies Act allows for mergers or consolidations between two Cayman Islands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companies, or between a Cayman Islands exempted company and a company incorporated in another jurisdiction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is facilitated by the laws of that other jurisdiction) so as to form a single surviving company.</w:t>
      </w:r>
    </w:p>
    <w:p>
      <w:pPr>
        <w:spacing w:after="0" w:line="149" w:lineRule="exact"/>
        <w:rPr>
          <w:sz w:val="20"/>
          <w:szCs w:val="20"/>
          <w:color w:val="auto"/>
        </w:rPr>
      </w:pPr>
    </w:p>
    <w:p>
      <w:pPr>
        <w:ind w:left="460" w:right="120" w:firstLine="379"/>
        <w:spacing w:after="0" w:line="254" w:lineRule="auto"/>
        <w:rPr>
          <w:sz w:val="20"/>
          <w:szCs w:val="20"/>
          <w:color w:val="auto"/>
        </w:rPr>
      </w:pPr>
      <w:r>
        <w:rPr>
          <w:rFonts w:ascii="Times New Roman" w:cs="Times New Roman" w:eastAsia="Times New Roman" w:hAnsi="Times New Roman"/>
          <w:sz w:val="15"/>
          <w:szCs w:val="15"/>
          <w:color w:val="auto"/>
        </w:rPr>
        <w:t>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two-thirds in value of the voting shares voted at a shareholder meeting) of the shareholders of each company; or</w:t>
      </w:r>
    </w:p>
    <w:p>
      <w:pPr>
        <w:spacing w:after="0" w:line="1" w:lineRule="exact"/>
        <w:rPr>
          <w:sz w:val="20"/>
          <w:szCs w:val="20"/>
          <w:color w:val="auto"/>
        </w:rPr>
      </w:pPr>
    </w:p>
    <w:p>
      <w:pPr>
        <w:ind w:left="460" w:right="220" w:hanging="5"/>
        <w:spacing w:after="0" w:line="250" w:lineRule="auto"/>
        <w:tabs>
          <w:tab w:leader="none" w:pos="678"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63" w:lineRule="exact"/>
        <w:rPr>
          <w:sz w:val="20"/>
          <w:szCs w:val="20"/>
          <w:color w:val="auto"/>
        </w:rPr>
      </w:pPr>
    </w:p>
    <w:p>
      <w:pPr>
        <w:ind w:left="460" w:right="40" w:firstLine="379"/>
        <w:spacing w:after="0" w:line="251" w:lineRule="auto"/>
        <w:rPr>
          <w:sz w:val="20"/>
          <w:szCs w:val="20"/>
          <w:color w:val="auto"/>
        </w:rPr>
      </w:pPr>
      <w:r>
        <w:rPr>
          <w:rFonts w:ascii="Times New Roman" w:cs="Times New Roman" w:eastAsia="Times New Roman" w:hAnsi="Times New Roman"/>
          <w:sz w:val="15"/>
          <w:szCs w:val="15"/>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 and (v) there is no other reason why it would be against the public interest to permit the merger or consolidation.</w:t>
      </w:r>
    </w:p>
    <w:p>
      <w:pPr>
        <w:spacing w:after="0" w:line="165"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w:t>
      </w:r>
    </w:p>
    <w:p>
      <w:pPr>
        <w:spacing w:after="0" w:line="2" w:lineRule="exact"/>
        <w:rPr>
          <w:sz w:val="20"/>
          <w:szCs w:val="20"/>
          <w:color w:val="auto"/>
        </w:rPr>
      </w:pPr>
    </w:p>
    <w:p>
      <w:pPr>
        <w:ind w:left="660" w:hanging="205"/>
        <w:spacing w:after="0"/>
        <w:tabs>
          <w:tab w:leader="none" w:pos="66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 or approval to the transfer has been obtained, released or waived; (b) the transfer is permitted by and has been approved in accordance with the</w:t>
      </w:r>
    </w:p>
    <w:p>
      <w:pPr>
        <w:spacing w:after="0" w:line="143" w:lineRule="exact"/>
        <w:rPr>
          <w:rFonts w:ascii="Times New Roman" w:cs="Times New Roman" w:eastAsia="Times New Roman" w:hAnsi="Times New Roman"/>
          <w:sz w:val="15"/>
          <w:szCs w:val="15"/>
          <w:color w:val="auto"/>
        </w:rPr>
      </w:pPr>
    </w:p>
    <w:p>
      <w:pPr>
        <w:ind w:left="51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199</w:t>
      </w:r>
    </w:p>
    <w:p>
      <w:pPr>
        <w:sectPr>
          <w:pgSz w:w="11900" w:h="16840" w:orient="portrait"/>
          <w:cols w:equalWidth="0" w:num="1">
            <w:col w:w="10060"/>
          </w:cols>
          <w:pgMar w:left="660" w:top="874" w:right="1180" w:bottom="1440" w:gutter="0" w:footer="0" w:header="0"/>
        </w:sectPr>
      </w:pPr>
    </w:p>
    <w:bookmarkStart w:id="212" w:name="page213"/>
    <w:bookmarkEnd w:id="2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5"/>
          <w:szCs w:val="15"/>
          <w:color w:val="auto"/>
        </w:rPr>
        <w:t>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335" w:lineRule="exact"/>
        <w:rPr>
          <w:sz w:val="20"/>
          <w:szCs w:val="20"/>
          <w:color w:val="auto"/>
        </w:rPr>
      </w:pPr>
    </w:p>
    <w:p>
      <w:pPr>
        <w:ind w:left="460" w:right="20" w:firstLine="379"/>
        <w:spacing w:after="0" w:line="252" w:lineRule="auto"/>
        <w:rPr>
          <w:sz w:val="20"/>
          <w:szCs w:val="20"/>
          <w:color w:val="auto"/>
        </w:rPr>
      </w:pPr>
      <w:r>
        <w:rPr>
          <w:rFonts w:ascii="Times New Roman" w:cs="Times New Roman" w:eastAsia="Times New Roman" w:hAnsi="Times New Roman"/>
          <w:sz w:val="15"/>
          <w:szCs w:val="15"/>
          <w:color w:val="auto"/>
        </w:rPr>
        <w:t>Where the above procedures are adopted, the Companies Act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w:t>
      </w:r>
    </w:p>
    <w:p>
      <w:pPr>
        <w:spacing w:after="0" w:line="2" w:lineRule="exact"/>
        <w:rPr>
          <w:sz w:val="20"/>
          <w:szCs w:val="20"/>
          <w:color w:val="auto"/>
        </w:rPr>
      </w:pPr>
    </w:p>
    <w:p>
      <w:pPr>
        <w:ind w:left="460" w:right="40" w:hanging="5"/>
        <w:spacing w:after="0" w:line="248" w:lineRule="auto"/>
        <w:tabs>
          <w:tab w:leader="none" w:pos="678"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A shareholder who dissents must do so in respect of all shares that such person holds in the constituent company. Upon the giving of a notice of dissent under paragraph (c) above, the shareholder to whom the notice relates shall cease to have any of the rights of a shareholder except the right to be paid the fair value of that person’s shares and certain rights specified in the Companies Act.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341" w:lineRule="exact"/>
        <w:rPr>
          <w:sz w:val="20"/>
          <w:szCs w:val="20"/>
          <w:color w:val="auto"/>
        </w:rPr>
      </w:pPr>
    </w:p>
    <w:p>
      <w:pPr>
        <w:ind w:left="460" w:right="20" w:firstLine="379"/>
        <w:spacing w:after="0" w:line="251" w:lineRule="auto"/>
        <w:rPr>
          <w:sz w:val="20"/>
          <w:szCs w:val="20"/>
          <w:color w:val="auto"/>
        </w:rPr>
      </w:pPr>
      <w:r>
        <w:rPr>
          <w:rFonts w:ascii="Times New Roman" w:cs="Times New Roman" w:eastAsia="Times New Roman" w:hAnsi="Times New Roman"/>
          <w:sz w:val="15"/>
          <w:szCs w:val="15"/>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and in relation to a compromise or arrangement between a company and its shareholders or any class of them, shareholders who represent 75% in value of the company’s shareholders or class of shareholders, as the case may be, that are present and voting either in person or by proxy at a meeting summoned for that purpose.</w:t>
      </w:r>
    </w:p>
    <w:p>
      <w:pPr>
        <w:spacing w:after="0" w:line="1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200</w:t>
      </w:r>
    </w:p>
    <w:p>
      <w:pPr>
        <w:sectPr>
          <w:pgSz w:w="11900" w:h="16840" w:orient="portrait"/>
          <w:cols w:equalWidth="0" w:num="1">
            <w:col w:w="10120"/>
          </w:cols>
          <w:pgMar w:left="660" w:top="874" w:right="1120" w:bottom="1440" w:gutter="0" w:footer="0" w:header="0"/>
        </w:sectPr>
      </w:pPr>
    </w:p>
    <w:bookmarkStart w:id="213" w:name="page214"/>
    <w:bookmarkEnd w:id="2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0" w:lineRule="exact"/>
        <w:rPr>
          <w:sz w:val="20"/>
          <w:szCs w:val="20"/>
          <w:color w:val="auto"/>
        </w:rPr>
      </w:pPr>
    </w:p>
    <w:p>
      <w:pPr>
        <w:ind w:left="1300" w:right="60" w:hanging="371"/>
        <w:spacing w:after="0" w:line="284" w:lineRule="auto"/>
        <w:tabs>
          <w:tab w:leader="none" w:pos="13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not proposing to act illegally or beyond the scope of our corporate authority and the statutory provisions as to majority vote have been complied with;</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shareholders have been fairly represented at the meeting in question;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such as a businessman would reasonably approve; and</w:t>
      </w:r>
    </w:p>
    <w:p>
      <w:pPr>
        <w:spacing w:after="0" w:line="123" w:lineRule="exact"/>
        <w:rPr>
          <w:rFonts w:ascii="Times New Roman" w:cs="Times New Roman" w:eastAsia="Times New Roman" w:hAnsi="Times New Roman"/>
          <w:sz w:val="15"/>
          <w:szCs w:val="15"/>
          <w:color w:val="auto"/>
        </w:rPr>
      </w:pPr>
    </w:p>
    <w:p>
      <w:pPr>
        <w:ind w:left="1300" w:right="20" w:hanging="371"/>
        <w:spacing w:after="0" w:line="284" w:lineRule="auto"/>
        <w:tabs>
          <w:tab w:leader="none" w:pos="13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not one that would more properly be sanctioned under some other provision of the Companies Act or that would amount to a “fraud on the minority.”</w:t>
      </w:r>
    </w:p>
    <w:p>
      <w:pPr>
        <w:spacing w:after="0" w:line="137" w:lineRule="exact"/>
        <w:rPr>
          <w:sz w:val="20"/>
          <w:szCs w:val="20"/>
          <w:color w:val="auto"/>
        </w:rPr>
      </w:pPr>
    </w:p>
    <w:p>
      <w:pPr>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If a scheme of arrangement or takeover offer (as described below) is approved, any dissenting shareholder would have no rights comparable to dissenters’ rights or appraisal rights (providing rights to receive payment in cash for the judicially determined value of the shares), which would otherwise ordinarily be available to dissenting shareholders of United States corporations.</w:t>
      </w:r>
    </w:p>
    <w:p>
      <w:pPr>
        <w:spacing w:after="0" w:line="147" w:lineRule="exact"/>
        <w:rPr>
          <w:sz w:val="20"/>
          <w:szCs w:val="20"/>
          <w:color w:val="auto"/>
        </w:rPr>
      </w:pPr>
    </w:p>
    <w:p>
      <w:pPr>
        <w:ind w:left="460" w:right="20" w:firstLine="379"/>
        <w:spacing w:after="0" w:line="255" w:lineRule="auto"/>
        <w:rPr>
          <w:sz w:val="20"/>
          <w:szCs w:val="20"/>
          <w:color w:val="auto"/>
        </w:rPr>
      </w:pPr>
      <w:r>
        <w:rPr>
          <w:rFonts w:ascii="Times New Roman" w:cs="Times New Roman" w:eastAsia="Times New Roman" w:hAnsi="Times New Roman"/>
          <w:sz w:val="15"/>
          <w:szCs w:val="15"/>
          <w:i w:val="1"/>
          <w:iCs w:val="1"/>
          <w:color w:val="auto"/>
        </w:rPr>
        <w:t>Squeeze-out Provisions</w:t>
      </w:r>
      <w:r>
        <w:rPr>
          <w:rFonts w:ascii="Times New Roman" w:cs="Times New Roman" w:eastAsia="Times New Roman" w:hAnsi="Times New Roman"/>
          <w:sz w:val="15"/>
          <w:szCs w:val="15"/>
          <w:color w:val="auto"/>
        </w:rPr>
        <w:t>. When a tender offer is made and accepted by holders of 90% of the shares to whom the offer relates within four months,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offeror may, within a two -month period after the expiration of the initial four- 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 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56" w:lineRule="exact"/>
        <w:rPr>
          <w:sz w:val="20"/>
          <w:szCs w:val="20"/>
          <w:color w:val="auto"/>
        </w:rPr>
      </w:pPr>
    </w:p>
    <w:p>
      <w:pPr>
        <w:ind w:left="460" w:firstLine="379"/>
        <w:spacing w:after="0" w:line="257" w:lineRule="auto"/>
        <w:rPr>
          <w:sz w:val="20"/>
          <w:szCs w:val="20"/>
          <w:color w:val="auto"/>
        </w:rPr>
      </w:pPr>
      <w:r>
        <w:rPr>
          <w:rFonts w:ascii="Times New Roman" w:cs="Times New Roman" w:eastAsia="Times New Roman" w:hAnsi="Times New Roman"/>
          <w:sz w:val="15"/>
          <w:szCs w:val="15"/>
          <w:i w:val="1"/>
          <w:iCs w:val="1"/>
          <w:color w:val="auto"/>
        </w:rPr>
        <w:t>Shareholders’ Suits</w:t>
      </w:r>
      <w:r>
        <w:rPr>
          <w:rFonts w:ascii="Times New Roman" w:cs="Times New Roman" w:eastAsia="Times New Roman" w:hAnsi="Times New Roman"/>
          <w:sz w:val="15"/>
          <w:szCs w:val="15"/>
          <w:color w:val="auto"/>
        </w:rPr>
        <w:t>. Our Cayman Islands counsel is not aware of any reported class action having been brought in a Cayman Islands court. Derivative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87" w:lineRule="exact"/>
        <w:rPr>
          <w:sz w:val="20"/>
          <w:szCs w:val="20"/>
          <w:color w:val="auto"/>
        </w:rPr>
      </w:pPr>
    </w:p>
    <w:p>
      <w:pPr>
        <w:ind w:left="1300" w:hanging="371"/>
        <w:spacing w:after="0"/>
        <w:tabs>
          <w:tab w:leader="none" w:pos="13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company is acting, or proposing to act, illegally or ultra vires (beyond the scope of its authority);</w:t>
      </w:r>
    </w:p>
    <w:p>
      <w:pPr>
        <w:spacing w:after="0" w:line="123" w:lineRule="exact"/>
        <w:rPr>
          <w:rFonts w:ascii="Times New Roman" w:cs="Times New Roman" w:eastAsia="Times New Roman" w:hAnsi="Times New Roman"/>
          <w:sz w:val="15"/>
          <w:szCs w:val="15"/>
          <w:color w:val="auto"/>
        </w:rPr>
      </w:pPr>
    </w:p>
    <w:p>
      <w:pPr>
        <w:ind w:left="1300" w:right="120" w:hanging="371"/>
        <w:spacing w:after="0" w:line="284" w:lineRule="auto"/>
        <w:tabs>
          <w:tab w:leader="none" w:pos="13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act complained of, although not beyond the scope of the authority, could be effected if duly authorized by more than the number of votes which have actually been obtained; or</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those who control the company are perpetrating a “fraud on the minority.”</w:t>
      </w:r>
    </w:p>
    <w:p>
      <w:pPr>
        <w:spacing w:after="0" w:line="100" w:lineRule="exact"/>
        <w:rPr>
          <w:sz w:val="20"/>
          <w:szCs w:val="20"/>
          <w:color w:val="auto"/>
        </w:rPr>
      </w:pPr>
    </w:p>
    <w:p>
      <w:pPr>
        <w:ind w:left="460" w:right="420" w:firstLine="379"/>
        <w:spacing w:after="0" w:line="284" w:lineRule="auto"/>
        <w:rPr>
          <w:sz w:val="20"/>
          <w:szCs w:val="20"/>
          <w:color w:val="auto"/>
        </w:rPr>
      </w:pPr>
      <w:r>
        <w:rPr>
          <w:rFonts w:ascii="Times New Roman" w:cs="Times New Roman" w:eastAsia="Times New Roman" w:hAnsi="Times New Roman"/>
          <w:sz w:val="15"/>
          <w:szCs w:val="15"/>
          <w:color w:val="auto"/>
        </w:rPr>
        <w:t>A shareholder may have a direct right of action against us where the individual rights of that shareholder have been infringed or are about to be infringed.</w:t>
      </w:r>
    </w:p>
    <w:p>
      <w:pPr>
        <w:spacing w:after="0" w:line="133" w:lineRule="exact"/>
        <w:rPr>
          <w:sz w:val="20"/>
          <w:szCs w:val="20"/>
          <w:color w:val="auto"/>
        </w:rPr>
      </w:pPr>
    </w:p>
    <w:p>
      <w:pPr>
        <w:ind w:left="460" w:right="440" w:firstLine="379"/>
        <w:spacing w:after="0" w:line="289" w:lineRule="auto"/>
        <w:rPr>
          <w:sz w:val="20"/>
          <w:szCs w:val="20"/>
          <w:color w:val="auto"/>
        </w:rPr>
      </w:pPr>
      <w:r>
        <w:rPr>
          <w:rFonts w:ascii="Times New Roman" w:cs="Times New Roman" w:eastAsia="Times New Roman" w:hAnsi="Times New Roman"/>
          <w:sz w:val="15"/>
          <w:szCs w:val="15"/>
          <w:i w:val="1"/>
          <w:iCs w:val="1"/>
          <w:color w:val="auto"/>
        </w:rPr>
        <w:t>Enforcement of Civil Liabilities</w:t>
      </w:r>
      <w:r>
        <w:rPr>
          <w:rFonts w:ascii="Times New Roman" w:cs="Times New Roman" w:eastAsia="Times New Roman" w:hAnsi="Times New Roman"/>
          <w:sz w:val="15"/>
          <w:szCs w:val="15"/>
          <w:color w:val="auto"/>
        </w:rPr>
        <w:t>. The Cayman Islands has a different body of securities laws as compared to the United States and provides less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protection to investors. Additionally, Cayman Islands companies may not have standing to sue before the Federal courts of the United States.</w:t>
      </w:r>
    </w:p>
    <w:p>
      <w:pPr>
        <w:spacing w:after="0" w:line="133" w:lineRule="exact"/>
        <w:rPr>
          <w:sz w:val="20"/>
          <w:szCs w:val="20"/>
          <w:color w:val="auto"/>
        </w:rPr>
      </w:pPr>
    </w:p>
    <w:p>
      <w:pPr>
        <w:ind w:left="460" w:right="160" w:firstLine="379"/>
        <w:spacing w:after="0" w:line="258" w:lineRule="auto"/>
        <w:rPr>
          <w:sz w:val="20"/>
          <w:szCs w:val="20"/>
          <w:color w:val="auto"/>
        </w:rPr>
      </w:pPr>
      <w:r>
        <w:rPr>
          <w:rFonts w:ascii="Times New Roman" w:cs="Times New Roman" w:eastAsia="Times New Roman" w:hAnsi="Times New Roman"/>
          <w:sz w:val="15"/>
          <w:szCs w:val="15"/>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w:t>
      </w:r>
    </w:p>
    <w:p>
      <w:pPr>
        <w:ind w:left="460" w:right="180" w:hanging="5"/>
        <w:spacing w:after="0" w:line="262" w:lineRule="auto"/>
        <w:tabs>
          <w:tab w:leader="none" w:pos="687"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original actions brought in the Cayman Islands, to impose liabilities against us predicated upon the civil liability provisions of the federal securities laws of the United States or any state, so far as the liabilities imposed by those provisions are</w:t>
      </w:r>
    </w:p>
    <w:p>
      <w:pPr>
        <w:spacing w:after="0" w:line="1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201</w:t>
      </w:r>
    </w:p>
    <w:p>
      <w:pPr>
        <w:sectPr>
          <w:pgSz w:w="11900" w:h="16840" w:orient="portrait"/>
          <w:cols w:equalWidth="0" w:num="1">
            <w:col w:w="10080"/>
          </w:cols>
          <w:pgMar w:left="660" w:top="874" w:right="1160" w:bottom="1440" w:gutter="0" w:footer="0" w:header="0"/>
        </w:sectPr>
      </w:pPr>
    </w:p>
    <w:bookmarkStart w:id="214" w:name="page215"/>
    <w:bookmarkEnd w:id="2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52" w:lineRule="auto"/>
        <w:rPr>
          <w:sz w:val="20"/>
          <w:szCs w:val="20"/>
          <w:color w:val="auto"/>
        </w:rPr>
      </w:pPr>
      <w:r>
        <w:rPr>
          <w:rFonts w:ascii="Times New Roman" w:cs="Times New Roman" w:eastAsia="Times New Roman" w:hAnsi="Times New Roman"/>
          <w:sz w:val="15"/>
          <w:szCs w:val="15"/>
          <w:color w:val="auto"/>
        </w:rPr>
        <w:t xml:space="preserve">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58" w:lineRule="exact"/>
        <w:rPr>
          <w:sz w:val="20"/>
          <w:szCs w:val="20"/>
          <w:color w:val="auto"/>
        </w:rPr>
      </w:pPr>
    </w:p>
    <w:p>
      <w:pPr>
        <w:ind w:left="460" w:right="140" w:firstLine="379"/>
        <w:spacing w:after="0" w:line="257" w:lineRule="auto"/>
        <w:rPr>
          <w:sz w:val="20"/>
          <w:szCs w:val="20"/>
          <w:color w:val="auto"/>
        </w:rPr>
      </w:pPr>
      <w:r>
        <w:rPr>
          <w:rFonts w:ascii="Times New Roman" w:cs="Times New Roman" w:eastAsia="Times New Roman" w:hAnsi="Times New Roman"/>
          <w:sz w:val="15"/>
          <w:szCs w:val="15"/>
          <w:i w:val="1"/>
          <w:iCs w:val="1"/>
          <w:color w:val="auto"/>
        </w:rPr>
        <w:t>Special Considerations for Exempted Companies</w:t>
      </w:r>
      <w:r>
        <w:rPr>
          <w:rFonts w:ascii="Times New Roman" w:cs="Times New Roman" w:eastAsia="Times New Roman" w:hAnsi="Times New Roman"/>
          <w:sz w:val="15"/>
          <w:szCs w:val="15"/>
          <w:color w:val="auto"/>
        </w:rPr>
        <w:t>. We are an exempted company with limited liability (meaning our public shareholders have no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7" w:lineRule="exact"/>
        <w:rPr>
          <w:sz w:val="20"/>
          <w:szCs w:val="20"/>
          <w:color w:val="auto"/>
        </w:rPr>
      </w:pPr>
    </w:p>
    <w:p>
      <w:pPr>
        <w:ind w:left="1300" w:right="120" w:hanging="371"/>
        <w:spacing w:after="0" w:line="284" w:lineRule="auto"/>
        <w:tabs>
          <w:tab w:leader="none" w:pos="13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reporting requirements are minimal and consist mainly of a statement that the company has conducted its operations mainly outside of the Cayman Islands and has complied with the provisions of the Companies Act;</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company’s register of members is not open to inspection;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does not have to hold an annual shareholder meeting;</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issue negotiable or bearer shares or shares with no par value;</w:t>
      </w:r>
    </w:p>
    <w:p>
      <w:pPr>
        <w:spacing w:after="0" w:line="123" w:lineRule="exact"/>
        <w:rPr>
          <w:rFonts w:ascii="Times New Roman" w:cs="Times New Roman" w:eastAsia="Times New Roman" w:hAnsi="Times New Roman"/>
          <w:sz w:val="15"/>
          <w:szCs w:val="15"/>
          <w:color w:val="auto"/>
        </w:rPr>
      </w:pPr>
    </w:p>
    <w:p>
      <w:pPr>
        <w:ind w:left="1300" w:right="300" w:hanging="371"/>
        <w:spacing w:after="0" w:line="284" w:lineRule="auto"/>
        <w:tabs>
          <w:tab w:leader="none" w:pos="13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obtain an undertaking against the imposition of any future taxation (such undertakings are usually given for 20 years in the first instance);</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register by way of continuation in another jurisdiction and be deregistered in the Cayman Islands;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register as a limited duration company;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register as a segregated portfolio company.</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Amended and Restated Memorandum and Articles of Association</w:t>
      </w:r>
    </w:p>
    <w:p>
      <w:pPr>
        <w:spacing w:after="0" w:line="104"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the votes cast by such shareholders as, being entitled to do so, vote in person or, where proxies are allowed, by proxy at a shareholder meeting of the company (i.e., the lowest threshold permissible under Cayman Islands law), or by a unanimous written resolution of all of our shareholders. Further, our amended and restated memorandum and articles of association will provide that a quorum at our shareholder meetings will consist of one or more shareholders who together hold not less than one-third of the ordinary shares entitled to vote at such meeting being individuals present in person or by proxy.</w:t>
      </w:r>
    </w:p>
    <w:p>
      <w:pPr>
        <w:spacing w:after="0" w:line="1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202</w:t>
      </w:r>
    </w:p>
    <w:p>
      <w:pPr>
        <w:sectPr>
          <w:pgSz w:w="11900" w:h="16840" w:orient="portrait"/>
          <w:cols w:equalWidth="0" w:num="1">
            <w:col w:w="10140"/>
          </w:cols>
          <w:pgMar w:left="660" w:top="874" w:right="1100" w:bottom="1440" w:gutter="0" w:footer="0" w:header="0"/>
        </w:sectPr>
      </w:pPr>
    </w:p>
    <w:bookmarkStart w:id="215" w:name="page216"/>
    <w:bookmarkEnd w:id="2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Our initial shareholders, and their permitted transferees, if any, who will collectively beneficially own, on anas-converted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 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 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Specifically, our amended and restated memorandum and articles of association will provide, among other things, that:</w:t>
      </w:r>
    </w:p>
    <w:p>
      <w:pPr>
        <w:spacing w:after="0" w:line="269" w:lineRule="exact"/>
        <w:rPr>
          <w:sz w:val="20"/>
          <w:szCs w:val="20"/>
          <w:color w:val="auto"/>
        </w:rPr>
      </w:pPr>
    </w:p>
    <w:p>
      <w:pPr>
        <w:ind w:left="1300" w:right="20" w:hanging="371"/>
        <w:spacing w:after="0" w:line="252" w:lineRule="auto"/>
        <w:tabs>
          <w:tab w:leader="none" w:pos="13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for permitted withdrawals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268" w:lineRule="exact"/>
        <w:rPr>
          <w:rFonts w:ascii="Times New Roman" w:cs="Times New Roman" w:eastAsia="Times New Roman" w:hAnsi="Times New Roman"/>
          <w:sz w:val="15"/>
          <w:szCs w:val="15"/>
          <w:color w:val="auto"/>
        </w:rPr>
      </w:pPr>
    </w:p>
    <w:p>
      <w:pPr>
        <w:ind w:left="1300" w:right="140" w:hanging="371"/>
        <w:spacing w:after="0" w:line="253" w:lineRule="auto"/>
        <w:tabs>
          <w:tab w:leader="none" w:pos="13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completion of our initial business combination, we may not, except in connection with the conversion of Class B ordinary shares into Class A ordinary shares where the holders of such shares have waived any rights to receive funds from the trust account,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271" w:lineRule="exact"/>
        <w:rPr>
          <w:rFonts w:ascii="Times New Roman" w:cs="Times New Roman" w:eastAsia="Times New Roman" w:hAnsi="Times New Roman"/>
          <w:sz w:val="15"/>
          <w:szCs w:val="15"/>
          <w:color w:val="auto"/>
        </w:rPr>
      </w:pPr>
    </w:p>
    <w:p>
      <w:pPr>
        <w:ind w:left="1300" w:right="140" w:hanging="371"/>
        <w:spacing w:after="0" w:line="265" w:lineRule="auto"/>
        <w:tabs>
          <w:tab w:leader="none" w:pos="13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we enter into a business combination with a target business that is affiliated with our sponsor, our directors or our executive officers, we, or a committee of independent directors, will obtain an opinion from an independent investment banking firm or an independent valuation or accounting firm that such a business combination or transaction is fair to our company from a financial point of view;</w:t>
      </w:r>
    </w:p>
    <w:p>
      <w:pPr>
        <w:spacing w:after="0" w:line="80" w:lineRule="exact"/>
        <w:rPr>
          <w:rFonts w:ascii="Times New Roman" w:cs="Times New Roman" w:eastAsia="Times New Roman" w:hAnsi="Times New Roman"/>
          <w:sz w:val="15"/>
          <w:szCs w:val="15"/>
          <w:color w:val="auto"/>
        </w:rPr>
      </w:pPr>
    </w:p>
    <w:p>
      <w:pPr>
        <w:ind w:left="1300" w:right="80" w:hanging="371"/>
        <w:spacing w:after="0" w:line="256" w:lineRule="auto"/>
        <w:tabs>
          <w:tab w:leader="none" w:pos="13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shareholder vote on our initial business combination is not required by applicable law or stock exchange rule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86" w:lineRule="exact"/>
        <w:rPr>
          <w:rFonts w:ascii="Times New Roman" w:cs="Times New Roman" w:eastAsia="Times New Roman" w:hAnsi="Times New Roman"/>
          <w:sz w:val="15"/>
          <w:szCs w:val="15"/>
          <w:color w:val="auto"/>
        </w:rPr>
      </w:pPr>
    </w:p>
    <w:p>
      <w:pPr>
        <w:ind w:left="1300" w:right="180" w:hanging="371"/>
        <w:spacing w:after="0" w:line="284" w:lineRule="auto"/>
        <w:tabs>
          <w:tab w:leader="none" w:pos="13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complete one or more business combinations that together have an aggregate fair market value of at least 80% of the net assets held in the trust account (excluding permitted withdrawals) at the time of signing the agreement to enter into the initial business combination;</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203</w:t>
      </w:r>
    </w:p>
    <w:p>
      <w:pPr>
        <w:sectPr>
          <w:pgSz w:w="11900" w:h="16840" w:orient="portrait"/>
          <w:cols w:equalWidth="0" w:num="1">
            <w:col w:w="10140"/>
          </w:cols>
          <w:pgMar w:left="660" w:top="874" w:right="1100" w:bottom="1440" w:gutter="0" w:footer="0" w:header="0"/>
        </w:sectPr>
      </w:pPr>
    </w:p>
    <w:bookmarkStart w:id="216" w:name="page217"/>
    <w:bookmarkEnd w:id="2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hanging="371"/>
        <w:spacing w:after="0"/>
        <w:tabs>
          <w:tab w:leader="none" w:pos="13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initial business combination must be approved by a majority of our independent directors;</w:t>
      </w:r>
    </w:p>
    <w:p>
      <w:pPr>
        <w:spacing w:after="0" w:line="123" w:lineRule="exact"/>
        <w:rPr>
          <w:rFonts w:ascii="Times New Roman" w:cs="Times New Roman" w:eastAsia="Times New Roman" w:hAnsi="Times New Roman"/>
          <w:sz w:val="15"/>
          <w:szCs w:val="15"/>
          <w:color w:val="auto"/>
        </w:rPr>
      </w:pPr>
    </w:p>
    <w:p>
      <w:pPr>
        <w:ind w:left="1300" w:right="60" w:hanging="371"/>
        <w:spacing w:after="0" w:line="252" w:lineRule="auto"/>
        <w:tabs>
          <w:tab w:leader="none" w:pos="13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our directors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we will provide our public shareholders with the opportunity to redeem all or a portion of their public shares upon such approval at a per-share price, payable in cash, equal to the aggregate amount then on deposit in the trust account, including interest earned on the funds held in the trust account and not previously released to us for permitted withdrawals, divided by the number of the then-outstanding public shares, subject to the limitations described herein;</w:t>
      </w:r>
    </w:p>
    <w:p>
      <w:pPr>
        <w:spacing w:after="0" w:line="90" w:lineRule="exact"/>
        <w:rPr>
          <w:rFonts w:ascii="Times New Roman" w:cs="Times New Roman" w:eastAsia="Times New Roman" w:hAnsi="Times New Roman"/>
          <w:sz w:val="15"/>
          <w:szCs w:val="15"/>
          <w:color w:val="auto"/>
        </w:rPr>
      </w:pPr>
    </w:p>
    <w:p>
      <w:pPr>
        <w:ind w:left="1300" w:right="700" w:hanging="371"/>
        <w:spacing w:after="0" w:line="284" w:lineRule="auto"/>
        <w:tabs>
          <w:tab w:leader="none" w:pos="13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not effectuate our initial business combination solely with another blank check company or a similar company with nominal operations; and</w:t>
      </w:r>
    </w:p>
    <w:p>
      <w:pPr>
        <w:spacing w:after="0" w:line="65" w:lineRule="exact"/>
        <w:rPr>
          <w:rFonts w:ascii="Times New Roman" w:cs="Times New Roman" w:eastAsia="Times New Roman" w:hAnsi="Times New Roman"/>
          <w:sz w:val="15"/>
          <w:szCs w:val="15"/>
          <w:color w:val="auto"/>
        </w:rPr>
      </w:pPr>
    </w:p>
    <w:p>
      <w:pPr>
        <w:ind w:left="1300" w:hanging="371"/>
        <w:spacing w:after="0" w:line="248" w:lineRule="auto"/>
        <w:tabs>
          <w:tab w:leader="none" w:pos="13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354" w:lineRule="exact"/>
        <w:rPr>
          <w:sz w:val="20"/>
          <w:szCs w:val="20"/>
          <w:color w:val="auto"/>
        </w:rPr>
      </w:pPr>
    </w:p>
    <w:p>
      <w:pPr>
        <w:ind w:left="460" w:right="60" w:firstLine="379"/>
        <w:spacing w:after="0" w:line="265" w:lineRule="auto"/>
        <w:rPr>
          <w:sz w:val="20"/>
          <w:szCs w:val="20"/>
          <w:color w:val="auto"/>
        </w:rPr>
      </w:pPr>
      <w:r>
        <w:rPr>
          <w:rFonts w:ascii="Times New Roman" w:cs="Times New Roman" w:eastAsia="Times New Roman" w:hAnsi="Times New Roman"/>
          <w:sz w:val="15"/>
          <w:szCs w:val="15"/>
          <w:color w:val="auto"/>
        </w:rPr>
        <w:t xml:space="preserve">The Companies Act permits a company incorporated in the Cayman Islands to amend its memorandum and articles of association with the approval of a special resolution. A company’s articles of association may specify that the approval of a higher majority is required but,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the approval of the required majority is obtained,</w:t>
      </w:r>
    </w:p>
    <w:p>
      <w:pPr>
        <w:spacing w:after="0" w:line="1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204</w:t>
      </w:r>
    </w:p>
    <w:p>
      <w:pPr>
        <w:sectPr>
          <w:pgSz w:w="11900" w:h="16840" w:orient="portrait"/>
          <w:cols w:equalWidth="0" w:num="1">
            <w:col w:w="10160"/>
          </w:cols>
          <w:pgMar w:left="660" w:top="874" w:right="1080" w:bottom="1440" w:gutter="0" w:footer="0" w:header="0"/>
        </w:sectPr>
      </w:pPr>
    </w:p>
    <w:bookmarkStart w:id="217" w:name="page218"/>
    <w:bookmarkEnd w:id="2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5"/>
          <w:szCs w:val="15"/>
          <w:color w:val="auto"/>
        </w:rPr>
        <w:t>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Anti-Money Laundering — Cayman Islands</w:t>
      </w:r>
    </w:p>
    <w:p>
      <w:pPr>
        <w:spacing w:after="0" w:line="104"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56"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(As revised) of the Cayman Islands, as amended and revised from time to time (the “Regulations”). Depending on the circumstances of each application, a detailed verification of identity might not be required where:</w:t>
      </w:r>
    </w:p>
    <w:p>
      <w:pPr>
        <w:spacing w:after="0" w:line="85" w:lineRule="exact"/>
        <w:rPr>
          <w:sz w:val="20"/>
          <w:szCs w:val="20"/>
          <w:color w:val="auto"/>
        </w:rPr>
      </w:pPr>
    </w:p>
    <w:p>
      <w:pPr>
        <w:ind w:left="1300" w:hanging="466"/>
        <w:spacing w:after="0"/>
        <w:tabs>
          <w:tab w:leader="none" w:pos="13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subscriber makes the payment for their investment from an account held in the subscriber’s name at a recognized financial institution;</w:t>
      </w:r>
    </w:p>
    <w:p>
      <w:pPr>
        <w:spacing w:after="0" w:line="123" w:lineRule="exact"/>
        <w:rPr>
          <w:rFonts w:ascii="Times New Roman" w:cs="Times New Roman" w:eastAsia="Times New Roman" w:hAnsi="Times New Roman"/>
          <w:sz w:val="15"/>
          <w:szCs w:val="15"/>
          <w:color w:val="auto"/>
        </w:rPr>
      </w:pPr>
    </w:p>
    <w:p>
      <w:pPr>
        <w:ind w:left="1300" w:right="420" w:hanging="466"/>
        <w:spacing w:after="0" w:line="284" w:lineRule="auto"/>
        <w:tabs>
          <w:tab w:leader="none" w:pos="13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subscriber is regulated by a recognized regulatory authority and is based or incorporated in, or formed under the law of, a recognized jurisdiction; or</w:t>
      </w:r>
    </w:p>
    <w:p>
      <w:pPr>
        <w:spacing w:after="0" w:line="65" w:lineRule="exact"/>
        <w:rPr>
          <w:rFonts w:ascii="Times New Roman" w:cs="Times New Roman" w:eastAsia="Times New Roman" w:hAnsi="Times New Roman"/>
          <w:sz w:val="15"/>
          <w:szCs w:val="15"/>
          <w:color w:val="auto"/>
        </w:rPr>
      </w:pPr>
    </w:p>
    <w:p>
      <w:pPr>
        <w:ind w:left="1300" w:right="140" w:hanging="466"/>
        <w:spacing w:after="0" w:line="265" w:lineRule="auto"/>
        <w:tabs>
          <w:tab w:leader="none" w:pos="13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51" w:lineRule="exact"/>
        <w:rPr>
          <w:sz w:val="20"/>
          <w:szCs w:val="20"/>
          <w:color w:val="auto"/>
        </w:rPr>
      </w:pPr>
    </w:p>
    <w:p>
      <w:pPr>
        <w:ind w:left="460" w:right="160" w:firstLine="379"/>
        <w:spacing w:after="0" w:line="265" w:lineRule="auto"/>
        <w:rPr>
          <w:sz w:val="20"/>
          <w:szCs w:val="20"/>
          <w:color w:val="auto"/>
        </w:rPr>
      </w:pPr>
      <w:r>
        <w:rPr>
          <w:rFonts w:ascii="Times New Roman" w:cs="Times New Roman" w:eastAsia="Times New Roman" w:hAnsi="Times New Roman"/>
          <w:sz w:val="15"/>
          <w:szCs w:val="15"/>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51" w:lineRule="exact"/>
        <w:rPr>
          <w:sz w:val="20"/>
          <w:szCs w:val="20"/>
          <w:color w:val="auto"/>
        </w:rPr>
      </w:pPr>
    </w:p>
    <w:p>
      <w:pPr>
        <w:ind w:left="460" w:right="160" w:firstLine="379"/>
        <w:spacing w:after="0" w:line="284" w:lineRule="auto"/>
        <w:rPr>
          <w:sz w:val="20"/>
          <w:szCs w:val="20"/>
          <w:color w:val="auto"/>
        </w:rPr>
      </w:pPr>
      <w:r>
        <w:rPr>
          <w:rFonts w:ascii="Times New Roman" w:cs="Times New Roman" w:eastAsia="Times New Roman" w:hAnsi="Times New Roman"/>
          <w:sz w:val="15"/>
          <w:szCs w:val="15"/>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37" w:lineRule="exact"/>
        <w:rPr>
          <w:sz w:val="20"/>
          <w:szCs w:val="20"/>
          <w:color w:val="auto"/>
        </w:rPr>
      </w:pPr>
    </w:p>
    <w:p>
      <w:pPr>
        <w:ind w:left="460" w:right="120" w:firstLine="379"/>
        <w:spacing w:after="0" w:line="259" w:lineRule="auto"/>
        <w:rPr>
          <w:sz w:val="20"/>
          <w:szCs w:val="20"/>
          <w:color w:val="auto"/>
        </w:rPr>
      </w:pPr>
      <w:r>
        <w:rPr>
          <w:rFonts w:ascii="Times New Roman" w:cs="Times New Roman" w:eastAsia="Times New Roman" w:hAnsi="Times New Roman"/>
          <w:sz w:val="15"/>
          <w:szCs w:val="15"/>
          <w:color w:val="auto"/>
        </w:rPr>
        <w:t>We also reserve the right to refuse to make any distribution payment to a shareholder if our directors or officers suspect or are advised that the payment of such distribution to such shareholder might result in a breach of applicable anti -money laundering or other laws or regulations by any person in any relevant jurisdiction, or if such refusal is considered necessary or appropriate to ensure our compliance with any such laws or regulations in any applicable jurisdiction.</w:t>
      </w:r>
    </w:p>
    <w:p>
      <w:pPr>
        <w:spacing w:after="0" w:line="156" w:lineRule="exact"/>
        <w:rPr>
          <w:sz w:val="20"/>
          <w:szCs w:val="20"/>
          <w:color w:val="auto"/>
        </w:rPr>
      </w:pPr>
    </w:p>
    <w:p>
      <w:pPr>
        <w:ind w:left="460" w:right="120" w:firstLine="379"/>
        <w:spacing w:after="0" w:line="254" w:lineRule="auto"/>
        <w:rPr>
          <w:sz w:val="20"/>
          <w:szCs w:val="20"/>
          <w:color w:val="auto"/>
        </w:rPr>
      </w:pPr>
      <w:r>
        <w:rPr>
          <w:rFonts w:ascii="Times New Roman" w:cs="Times New Roman" w:eastAsia="Times New Roman" w:hAnsi="Times New Roman"/>
          <w:sz w:val="15"/>
          <w:szCs w:val="15"/>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(“FRA”) or a nominated officer (appointed in accordance with the Proceeds of Crime Act (As Revised) of the Cayman Islands) if the disclosure relates to criminal conduct or money laundering, or (ii) the FRA or a police constable or a nominated officer, pursuant to the Terrorism Act (As Revised) of the Cayman Islands, if the disclosure relates to</w:t>
      </w:r>
    </w:p>
    <w:p>
      <w:pPr>
        <w:spacing w:after="0" w:line="1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205</w:t>
      </w:r>
    </w:p>
    <w:p>
      <w:pPr>
        <w:sectPr>
          <w:pgSz w:w="11900" w:h="16840" w:orient="portrait"/>
          <w:cols w:equalWidth="0" w:num="1">
            <w:col w:w="10140"/>
          </w:cols>
          <w:pgMar w:left="660" w:top="874" w:right="1100" w:bottom="1440" w:gutter="0" w:footer="0" w:header="0"/>
        </w:sectPr>
      </w:pPr>
    </w:p>
    <w:bookmarkStart w:id="218" w:name="page219"/>
    <w:bookmarkEnd w:id="2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5"/>
          <w:szCs w:val="15"/>
          <w:color w:val="auto"/>
        </w:rPr>
        <w:t>involvement with terrorism or terrorist financing and terrorist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 -money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158" w:lineRule="exact"/>
        <w:rPr>
          <w:sz w:val="20"/>
          <w:szCs w:val="20"/>
          <w:color w:val="auto"/>
        </w:rPr>
      </w:pPr>
    </w:p>
    <w:p>
      <w:pPr>
        <w:ind w:left="460" w:right="20" w:firstLine="379"/>
        <w:spacing w:after="0" w:line="249" w:lineRule="auto"/>
        <w:rPr>
          <w:sz w:val="20"/>
          <w:szCs w:val="20"/>
          <w:color w:val="auto"/>
        </w:rPr>
      </w:pPr>
      <w:r>
        <w:rPr>
          <w:rFonts w:ascii="Times New Roman" w:cs="Times New Roman" w:eastAsia="Times New Roman" w:hAnsi="Times New Roman"/>
          <w:sz w:val="15"/>
          <w:szCs w:val="15"/>
          <w:color w:val="auto"/>
        </w:rPr>
        <w:t>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Cayman Islands by Orders in Council) or the Cayman Islands or any similar list maintained under applicable law or is otherwise subject to applicable sanctions in the Cayman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Cayman Islands Monetary Authority, the Cayman Islands Financial Reporting Authority,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w:t>
      </w: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Data Protection in the Cayman Islands — Privacy Notice</w:t>
      </w:r>
    </w:p>
    <w:p>
      <w:pPr>
        <w:spacing w:after="0" w:line="104" w:lineRule="exact"/>
        <w:rPr>
          <w:sz w:val="20"/>
          <w:szCs w:val="20"/>
          <w:color w:val="auto"/>
        </w:rPr>
      </w:pPr>
    </w:p>
    <w:p>
      <w:pPr>
        <w:jc w:val="both"/>
        <w:ind w:left="460" w:right="520" w:firstLine="379"/>
        <w:spacing w:after="0" w:line="265" w:lineRule="auto"/>
        <w:rPr>
          <w:sz w:val="20"/>
          <w:szCs w:val="20"/>
          <w:color w:val="auto"/>
        </w:rPr>
      </w:pPr>
      <w:r>
        <w:rPr>
          <w:rFonts w:ascii="Times New Roman" w:cs="Times New Roman" w:eastAsia="Times New Roman" w:hAnsi="Times New Roman"/>
          <w:sz w:val="15"/>
          <w:szCs w:val="15"/>
          <w:color w:val="auto"/>
        </w:rPr>
        <w:t>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(“DPL”).</w:t>
      </w:r>
    </w:p>
    <w:p>
      <w:pPr>
        <w:spacing w:after="0" w:line="151" w:lineRule="exact"/>
        <w:rPr>
          <w:sz w:val="20"/>
          <w:szCs w:val="20"/>
          <w:color w:val="auto"/>
        </w:rPr>
      </w:pPr>
    </w:p>
    <w:p>
      <w:pPr>
        <w:ind w:left="460" w:right="100" w:firstLine="379"/>
        <w:spacing w:after="0" w:line="265" w:lineRule="auto"/>
        <w:rPr>
          <w:sz w:val="20"/>
          <w:szCs w:val="20"/>
          <w:color w:val="auto"/>
        </w:rPr>
      </w:pPr>
      <w:r>
        <w:rPr>
          <w:rFonts w:ascii="Times New Roman" w:cs="Times New Roman" w:eastAsia="Times New Roman" w:hAnsi="Times New Roman"/>
          <w:sz w:val="15"/>
          <w:szCs w:val="15"/>
          <w:color w:val="auto"/>
        </w:rPr>
        <w:t>The company is committed to processing personal data in accordance with the DPL. In its use of personal data, the company will be characterized under the DPL as a ‘data controller’, whilst certain of the company’s service providers, affiliates and delegates may act as ‘data processors’ under the DPL. These service providers may process personal information for their own lawful purposes in connection with services provided to the company.</w:t>
      </w:r>
    </w:p>
    <w:p>
      <w:pPr>
        <w:spacing w:after="0" w:line="151" w:lineRule="exact"/>
        <w:rPr>
          <w:sz w:val="20"/>
          <w:szCs w:val="20"/>
          <w:color w:val="auto"/>
        </w:rPr>
      </w:pPr>
    </w:p>
    <w:p>
      <w:pPr>
        <w:ind w:left="460" w:right="220" w:firstLine="379"/>
        <w:spacing w:after="0" w:line="284" w:lineRule="auto"/>
        <w:rPr>
          <w:sz w:val="20"/>
          <w:szCs w:val="20"/>
          <w:color w:val="auto"/>
        </w:rPr>
      </w:pPr>
      <w:r>
        <w:rPr>
          <w:rFonts w:ascii="Times New Roman" w:cs="Times New Roman" w:eastAsia="Times New Roman" w:hAnsi="Times New Roman"/>
          <w:sz w:val="15"/>
          <w:szCs w:val="15"/>
          <w:color w:val="auto"/>
        </w:rPr>
        <w:t>By virtue of making an investment in the company, the company and certain of the company’s service providers may collect, record, store, transfer and otherwise process personal data by which individuals may be directly or indirectly identified.</w:t>
      </w:r>
    </w:p>
    <w:p>
      <w:pPr>
        <w:spacing w:after="0" w:line="137" w:lineRule="exact"/>
        <w:rPr>
          <w:sz w:val="20"/>
          <w:szCs w:val="20"/>
          <w:color w:val="auto"/>
        </w:rPr>
      </w:pPr>
    </w:p>
    <w:p>
      <w:pPr>
        <w:ind w:left="460" w:right="40" w:firstLine="379"/>
        <w:spacing w:after="0" w:line="259" w:lineRule="auto"/>
        <w:rPr>
          <w:sz w:val="20"/>
          <w:szCs w:val="20"/>
          <w:color w:val="auto"/>
        </w:rPr>
      </w:pPr>
      <w:r>
        <w:rPr>
          <w:rFonts w:ascii="Times New Roman" w:cs="Times New Roman" w:eastAsia="Times New Roman" w:hAnsi="Times New Roman"/>
          <w:sz w:val="15"/>
          <w:szCs w:val="15"/>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(c) where the processing is for the purposes of legitimate interests pursued by the company or by a service provider to whom the data are disclosed, or (d) where you otherwise consent to the</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206</w:t>
      </w:r>
    </w:p>
    <w:p>
      <w:pPr>
        <w:sectPr>
          <w:pgSz w:w="11900" w:h="16840" w:orient="portrait"/>
          <w:cols w:equalWidth="0" w:num="1">
            <w:col w:w="10120"/>
          </w:cols>
          <w:pgMar w:left="660" w:top="874" w:right="1120" w:bottom="1440" w:gutter="0" w:footer="0" w:header="0"/>
        </w:sectPr>
      </w:pPr>
    </w:p>
    <w:bookmarkStart w:id="219" w:name="page220"/>
    <w:bookmarkEnd w:id="2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80"/>
        <w:spacing w:after="0" w:line="284" w:lineRule="auto"/>
        <w:rPr>
          <w:sz w:val="20"/>
          <w:szCs w:val="20"/>
          <w:color w:val="auto"/>
        </w:rPr>
      </w:pPr>
      <w:r>
        <w:rPr>
          <w:rFonts w:ascii="Times New Roman" w:cs="Times New Roman" w:eastAsia="Times New Roman" w:hAnsi="Times New Roman"/>
          <w:sz w:val="15"/>
          <w:szCs w:val="15"/>
          <w:color w:val="auto"/>
        </w:rPr>
        <w:t>processing of personal data for any other specific purpose. As a data controller, we will only use your personal data for the purposes for which we collected it. If we need to use your personal data for an unrelated purpose, we will contact you.</w:t>
      </w:r>
    </w:p>
    <w:p>
      <w:pPr>
        <w:spacing w:after="0" w:line="137" w:lineRule="exact"/>
        <w:rPr>
          <w:sz w:val="20"/>
          <w:szCs w:val="20"/>
          <w:color w:val="auto"/>
        </w:rPr>
      </w:pPr>
    </w:p>
    <w:p>
      <w:pPr>
        <w:ind w:left="460" w:right="20" w:firstLine="379"/>
        <w:spacing w:after="0" w:line="253" w:lineRule="auto"/>
        <w:rPr>
          <w:sz w:val="20"/>
          <w:szCs w:val="20"/>
          <w:color w:val="auto"/>
        </w:rPr>
      </w:pPr>
      <w:r>
        <w:rPr>
          <w:rFonts w:ascii="Times New Roman" w:cs="Times New Roman" w:eastAsia="Times New Roman" w:hAnsi="Times New Roman"/>
          <w:sz w:val="15"/>
          <w:szCs w:val="15"/>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 Your personal data shall not be held by the company for longer than necessary with regard to the purposes of the data processing.</w:t>
      </w:r>
    </w:p>
    <w:p>
      <w:pPr>
        <w:spacing w:after="0" w:line="342" w:lineRule="exact"/>
        <w:rPr>
          <w:sz w:val="20"/>
          <w:szCs w:val="20"/>
          <w:color w:val="auto"/>
        </w:rPr>
      </w:pPr>
    </w:p>
    <w:p>
      <w:pPr>
        <w:ind w:left="460" w:right="180" w:firstLine="379"/>
        <w:spacing w:after="0" w:line="284" w:lineRule="auto"/>
        <w:rPr>
          <w:sz w:val="20"/>
          <w:szCs w:val="20"/>
          <w:color w:val="auto"/>
        </w:rPr>
      </w:pPr>
      <w:r>
        <w:rPr>
          <w:rFonts w:ascii="Times New Roman" w:cs="Times New Roman" w:eastAsia="Times New Roman" w:hAnsi="Times New Roman"/>
          <w:sz w:val="15"/>
          <w:szCs w:val="15"/>
          <w:color w:val="auto"/>
        </w:rPr>
        <w:t>We will not sell your personal data. Any transfer of personal data outside of the Cayman Islands shall be in accordance with the requirements of the DPL. Where necessary, we will ensure that separate and appropriate legal agreements are put in place with the recipient of that data.</w:t>
      </w:r>
    </w:p>
    <w:p>
      <w:pPr>
        <w:spacing w:after="0" w:line="137" w:lineRule="exact"/>
        <w:rPr>
          <w:sz w:val="20"/>
          <w:szCs w:val="20"/>
          <w:color w:val="auto"/>
        </w:rPr>
      </w:pPr>
    </w:p>
    <w:p>
      <w:pPr>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51"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The company will collect, use, disclose, retain and secure personal data to the extent reasonably required only and within the parameters that could be reasonably expected during the normal course of business. The company will only process, disclose, transfer or retain personal data to the extent legitimately required to conduct the activities of the company on an ongoing basis or to comply with legal and regulatory obligations to which we are subject. 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0" w:lineRule="exact"/>
        <w:rPr>
          <w:sz w:val="20"/>
          <w:szCs w:val="20"/>
          <w:color w:val="auto"/>
        </w:rPr>
      </w:pPr>
    </w:p>
    <w:p>
      <w:pPr>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51" w:lineRule="exact"/>
        <w:rPr>
          <w:sz w:val="20"/>
          <w:szCs w:val="20"/>
          <w:color w:val="auto"/>
        </w:rPr>
      </w:pPr>
    </w:p>
    <w:p>
      <w:pPr>
        <w:ind w:left="460" w:right="140" w:firstLine="379"/>
        <w:spacing w:after="0" w:line="259" w:lineRule="auto"/>
        <w:rPr>
          <w:sz w:val="20"/>
          <w:szCs w:val="20"/>
          <w:color w:val="auto"/>
        </w:rPr>
      </w:pPr>
      <w:r>
        <w:rPr>
          <w:rFonts w:ascii="Times New Roman" w:cs="Times New Roman" w:eastAsia="Times New Roman" w:hAnsi="Times New Roman"/>
          <w:sz w:val="15"/>
          <w:szCs w:val="15"/>
          <w:color w:val="auto"/>
        </w:rPr>
        <w:t>The company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56" w:lineRule="exact"/>
        <w:rPr>
          <w:sz w:val="20"/>
          <w:szCs w:val="20"/>
          <w:color w:val="auto"/>
        </w:rPr>
      </w:pPr>
    </w:p>
    <w:p>
      <w:pPr>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company, as the data controller, may collect, store and use personal data for lawful purposes, including, in particular:</w:t>
      </w:r>
    </w:p>
    <w:p>
      <w:pPr>
        <w:spacing w:after="0" w:line="124" w:lineRule="exact"/>
        <w:rPr>
          <w:sz w:val="20"/>
          <w:szCs w:val="20"/>
          <w:color w:val="auto"/>
        </w:rPr>
      </w:pPr>
    </w:p>
    <w:p>
      <w:pPr>
        <w:ind w:left="5160" w:right="2340" w:hanging="4231"/>
        <w:spacing w:after="0" w:line="498" w:lineRule="auto"/>
        <w:tabs>
          <w:tab w:leader="none" w:pos="1299"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this is necessary for the performance of our rights and obligations under any purchase agreements; 207</w:t>
      </w:r>
    </w:p>
    <w:p>
      <w:pPr>
        <w:sectPr>
          <w:pgSz w:w="11900" w:h="16840" w:orient="portrait"/>
          <w:cols w:equalWidth="0" w:num="1">
            <w:col w:w="10120"/>
          </w:cols>
          <w:pgMar w:left="660" w:top="874" w:right="1120" w:bottom="1440" w:gutter="0" w:footer="0" w:header="0"/>
        </w:sectPr>
      </w:pPr>
    </w:p>
    <w:bookmarkStart w:id="220" w:name="page221"/>
    <w:bookmarkEnd w:id="2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right="280" w:hanging="371"/>
        <w:spacing w:after="0" w:line="284" w:lineRule="auto"/>
        <w:tabs>
          <w:tab w:leader="none" w:pos="13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this is necessary for compliance with a legal and regulatory obligation to which we are subject (such as compliance with anti-money laundering, counter terrorist financing, prevention of proliferation financing, financial sanctions and FATCA/CRS requirements); and/or</w:t>
      </w:r>
    </w:p>
    <w:p>
      <w:pPr>
        <w:spacing w:after="0" w:line="65" w:lineRule="exact"/>
        <w:rPr>
          <w:rFonts w:ascii="Times New Roman" w:cs="Times New Roman" w:eastAsia="Times New Roman" w:hAnsi="Times New Roman"/>
          <w:sz w:val="15"/>
          <w:szCs w:val="15"/>
          <w:color w:val="auto"/>
        </w:rPr>
      </w:pPr>
    </w:p>
    <w:p>
      <w:pPr>
        <w:ind w:left="1300" w:right="180" w:hanging="371"/>
        <w:spacing w:after="0" w:line="284" w:lineRule="auto"/>
        <w:tabs>
          <w:tab w:leader="none" w:pos="13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this is necessary for the purposes of our legitimate interests and such interests are not overridden by your interests, fundamental rights or freedoms.</w:t>
      </w:r>
    </w:p>
    <w:p>
      <w:pPr>
        <w:spacing w:after="0" w:line="42" w:lineRule="exact"/>
        <w:rPr>
          <w:sz w:val="20"/>
          <w:szCs w:val="20"/>
          <w:color w:val="auto"/>
        </w:rPr>
      </w:pPr>
    </w:p>
    <w:p>
      <w:pPr>
        <w:ind w:left="460" w:right="220" w:firstLine="379"/>
        <w:spacing w:after="0" w:line="284" w:lineRule="auto"/>
        <w:rPr>
          <w:sz w:val="20"/>
          <w:szCs w:val="20"/>
          <w:color w:val="auto"/>
        </w:rPr>
      </w:pPr>
      <w:r>
        <w:rPr>
          <w:rFonts w:ascii="Times New Roman" w:cs="Times New Roman" w:eastAsia="Times New Roman" w:hAnsi="Times New Roman"/>
          <w:sz w:val="15"/>
          <w:szCs w:val="15"/>
          <w:color w:val="auto"/>
        </w:rPr>
        <w:t>Should the company wish to use personal data for other specific purposes (including, if applicable, any purpose that requires your consent), we will contact you.</w:t>
      </w:r>
    </w:p>
    <w:p>
      <w:pPr>
        <w:spacing w:after="0" w:line="137" w:lineRule="exact"/>
        <w:rPr>
          <w:sz w:val="20"/>
          <w:szCs w:val="20"/>
          <w:color w:val="auto"/>
        </w:rPr>
      </w:pPr>
    </w:p>
    <w:p>
      <w:pPr>
        <w:ind w:left="460" w:right="60" w:firstLine="379"/>
        <w:spacing w:after="0" w:line="252" w:lineRule="auto"/>
        <w:rPr>
          <w:sz w:val="20"/>
          <w:szCs w:val="20"/>
          <w:color w:val="auto"/>
        </w:rPr>
      </w:pPr>
      <w:r>
        <w:rPr>
          <w:rFonts w:ascii="Times New Roman" w:cs="Times New Roman" w:eastAsia="Times New Roman" w:hAnsi="Times New Roman"/>
          <w:sz w:val="15"/>
          <w:szCs w:val="15"/>
          <w:color w:val="auto"/>
        </w:rPr>
        <w:t>You have certain rights under the DPL, including (a) the right to be informed as to how we collect and use your personal data (and this privacy notice fulfills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62" w:lineRule="exact"/>
        <w:rPr>
          <w:sz w:val="20"/>
          <w:szCs w:val="20"/>
          <w:color w:val="auto"/>
        </w:rPr>
      </w:pPr>
    </w:p>
    <w:p>
      <w:pPr>
        <w:ind w:left="460" w:right="80" w:firstLine="379"/>
        <w:spacing w:after="0" w:line="265" w:lineRule="auto"/>
        <w:rPr>
          <w:sz w:val="20"/>
          <w:szCs w:val="20"/>
          <w:color w:val="auto"/>
        </w:rPr>
      </w:pPr>
      <w:r>
        <w:rPr>
          <w:rFonts w:ascii="Times New Roman" w:cs="Times New Roman" w:eastAsia="Times New Roman" w:hAnsi="Times New Roman"/>
          <w:sz w:val="15"/>
          <w:szCs w:val="15"/>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 or by accessing their website here: ombudsman.ky.</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Certain Anti-Takeover Provisions of our Amended and Restated Memorandum and Articles of Association</w:t>
      </w:r>
    </w:p>
    <w:p>
      <w:pPr>
        <w:spacing w:after="0" w:line="104"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Our authorized but unissued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preferred shares could render more difficult or discourage an attempt to obtain control of us by means of a proxy contest, tender offer, merger or otherwise.</w:t>
      </w:r>
    </w:p>
    <w:p>
      <w:pPr>
        <w:spacing w:after="0" w:line="156" w:lineRule="exact"/>
        <w:rPr>
          <w:sz w:val="20"/>
          <w:szCs w:val="20"/>
          <w:color w:val="auto"/>
        </w:rPr>
      </w:pPr>
    </w:p>
    <w:p>
      <w:pPr>
        <w:ind w:left="460" w:right="380" w:firstLine="379"/>
        <w:spacing w:after="0" w:line="284" w:lineRule="auto"/>
        <w:rPr>
          <w:sz w:val="20"/>
          <w:szCs w:val="20"/>
          <w:color w:val="auto"/>
        </w:rPr>
      </w:pPr>
      <w:r>
        <w:rPr>
          <w:rFonts w:ascii="Times New Roman" w:cs="Times New Roman" w:eastAsia="Times New Roman" w:hAnsi="Times New Roman"/>
          <w:sz w:val="15"/>
          <w:szCs w:val="15"/>
          <w:color w:val="auto"/>
        </w:rPr>
        <w:t>In addition, prior to the closing of our initial business combination, only holders of our Class B ordinary shares will have the right to appoint and remove directors prior to or in connection with the completion of our initial business combination.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Extraordinary General Meetings</w:t>
      </w:r>
    </w:p>
    <w:p>
      <w:pPr>
        <w:spacing w:after="0" w:line="104" w:lineRule="exact"/>
        <w:rPr>
          <w:sz w:val="20"/>
          <w:szCs w:val="20"/>
          <w:color w:val="auto"/>
        </w:rPr>
      </w:pPr>
    </w:p>
    <w:p>
      <w:pPr>
        <w:ind w:left="460" w:right="100" w:firstLine="379"/>
        <w:spacing w:after="0" w:line="284"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will provide that extraordinary general meetings may be called only by a majority vote of our board of directors.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Clawback Policy</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We will adopt a compensation recovery policy that is compliant with Nasdaq listing rules as required by the Dodd-Frank Act.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Advance Notice Requirements for Shareholder Proposals and Director Nominations</w:t>
      </w:r>
    </w:p>
    <w:p>
      <w:pPr>
        <w:spacing w:after="0" w:line="104" w:lineRule="exact"/>
        <w:rPr>
          <w:sz w:val="20"/>
          <w:szCs w:val="20"/>
          <w:color w:val="auto"/>
        </w:rPr>
      </w:pPr>
    </w:p>
    <w:p>
      <w:pPr>
        <w:ind w:left="460" w:right="100" w:firstLine="379"/>
        <w:spacing w:after="0" w:line="284" w:lineRule="auto"/>
        <w:rPr>
          <w:sz w:val="20"/>
          <w:szCs w:val="20"/>
          <w:color w:val="auto"/>
        </w:rPr>
      </w:pPr>
      <w:r>
        <w:rPr>
          <w:rFonts w:ascii="Times New Roman" w:cs="Times New Roman" w:eastAsia="Times New Roman" w:hAnsi="Times New Roman"/>
          <w:sz w:val="15"/>
          <w:szCs w:val="15"/>
          <w:color w:val="auto"/>
        </w:rPr>
        <w:t>Our amended and restated memorandum and articles of association will provide that shareholders seeking to bring business before our annual general meeting, or to nominate candidates for appointment as directors at our</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208</w:t>
      </w:r>
    </w:p>
    <w:p>
      <w:pPr>
        <w:sectPr>
          <w:pgSz w:w="11900" w:h="16840" w:orient="portrait"/>
          <w:cols w:equalWidth="0" w:num="1">
            <w:col w:w="10140"/>
          </w:cols>
          <w:pgMar w:left="660" w:top="874" w:right="1100" w:bottom="1440" w:gutter="0" w:footer="0" w:header="0"/>
        </w:sectPr>
      </w:pPr>
    </w:p>
    <w:bookmarkStart w:id="221" w:name="page222"/>
    <w:bookmarkEnd w:id="2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spacing w:after="0" w:line="251" w:lineRule="auto"/>
        <w:rPr>
          <w:sz w:val="20"/>
          <w:szCs w:val="20"/>
          <w:color w:val="auto"/>
        </w:rPr>
      </w:pPr>
      <w:r>
        <w:rPr>
          <w:rFonts w:ascii="Times New Roman" w:cs="Times New Roman" w:eastAsia="Times New Roman" w:hAnsi="Times New Roman"/>
          <w:sz w:val="15"/>
          <w:szCs w:val="15"/>
          <w:color w:val="auto"/>
        </w:rPr>
        <w:t>annual general meeting must provide timely notice of their intent in writing. To be timely, a shareholder’s notice will need to be received by the company secretary at our principal executive offices not later than the close of business on the 90th day nor earlier than the close of business on the 120th day prior to the anniversary date of the immediately preceding annual general meeting. Pursuant to Rule 14a-8 under the Exchange Act, proposals seeking inclusion in our annual proxy statement must comply with the notice periods contained therein. Our amended and restated memorandum and articles of association will also specify certain requirements as to the form and content of a shareholders’ meeting. These provisions may preclude our shareholders from bringing matters before our annual general meeting or from making nominations for directors at our annual general meeting. Our amended and restated memorandum and articles of association will allow the chairman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Limitation on Liability and Indemnification of Directors and Officers</w:t>
      </w:r>
    </w:p>
    <w:p>
      <w:pPr>
        <w:spacing w:after="0" w:line="104"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60"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56" w:lineRule="exact"/>
        <w:rPr>
          <w:sz w:val="20"/>
          <w:szCs w:val="20"/>
          <w:color w:val="auto"/>
        </w:rPr>
      </w:pPr>
    </w:p>
    <w:p>
      <w:pPr>
        <w:ind w:left="460" w:right="220" w:firstLine="379"/>
        <w:spacing w:after="0" w:line="259" w:lineRule="auto"/>
        <w:rPr>
          <w:sz w:val="20"/>
          <w:szCs w:val="20"/>
          <w:color w:val="auto"/>
        </w:rPr>
      </w:pPr>
      <w:r>
        <w:rPr>
          <w:rFonts w:ascii="Times New Roman" w:cs="Times New Roman" w:eastAsia="Times New Roman" w:hAnsi="Times New Roman"/>
          <w:sz w:val="15"/>
          <w:szCs w:val="15"/>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6" w:lineRule="exact"/>
        <w:rPr>
          <w:sz w:val="20"/>
          <w:szCs w:val="20"/>
          <w:color w:val="auto"/>
        </w:rPr>
      </w:pPr>
    </w:p>
    <w:p>
      <w:pPr>
        <w:ind w:left="460" w:right="120" w:firstLine="379"/>
        <w:spacing w:after="0" w:line="284" w:lineRule="auto"/>
        <w:rPr>
          <w:sz w:val="20"/>
          <w:szCs w:val="20"/>
          <w:color w:val="auto"/>
        </w:rPr>
      </w:pPr>
      <w:r>
        <w:rPr>
          <w:rFonts w:ascii="Times New Roman" w:cs="Times New Roman" w:eastAsia="Times New Roman" w:hAnsi="Times New Roman"/>
          <w:sz w:val="15"/>
          <w:szCs w:val="15"/>
          <w:color w:val="auto"/>
        </w:rPr>
        <w:t>We believe that these provisions, the insurance and the indemnity agreements are necessary to attract and retain talented and experienced officers and directors.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209</w:t>
      </w:r>
    </w:p>
    <w:p>
      <w:pPr>
        <w:sectPr>
          <w:pgSz w:w="11900" w:h="16840" w:orient="portrait"/>
          <w:cols w:equalWidth="0" w:num="1">
            <w:col w:w="10160"/>
          </w:cols>
          <w:pgMar w:left="660" w:top="874" w:right="1080" w:bottom="1440" w:gutter="0" w:footer="0" w:header="0"/>
        </w:sectPr>
      </w:pPr>
    </w:p>
    <w:bookmarkStart w:id="222" w:name="page223"/>
    <w:bookmarkEnd w:id="2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SECURITIES ELIGIBLE FOR FUTURE SALE</w:t>
      </w:r>
    </w:p>
    <w:p>
      <w:pPr>
        <w:spacing w:after="0" w:line="199" w:lineRule="exact"/>
        <w:rPr>
          <w:sz w:val="20"/>
          <w:szCs w:val="20"/>
          <w:color w:val="auto"/>
        </w:rPr>
      </w:pPr>
    </w:p>
    <w:p>
      <w:pPr>
        <w:ind w:left="460" w:right="100" w:firstLine="379"/>
        <w:spacing w:after="0" w:line="253" w:lineRule="auto"/>
        <w:rPr>
          <w:sz w:val="20"/>
          <w:szCs w:val="20"/>
          <w:color w:val="auto"/>
        </w:rPr>
      </w:pPr>
      <w:r>
        <w:rPr>
          <w:rFonts w:ascii="Times New Roman" w:cs="Times New Roman" w:eastAsia="Times New Roman" w:hAnsi="Times New Roman"/>
          <w:sz w:val="15"/>
          <w:szCs w:val="15"/>
          <w:color w:val="auto"/>
        </w:rPr>
        <w:t>Immediately after this offering we will have 31,741,483 ordinary shares (or 36,472,089 ordinary shares if the over -allotment option is exercised in full) outstanding. Of these shares, the 22,000,000 public shares (or 25,300,000 public shares if the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6,826,286 founder shares (or 7,850,229 founder shares if the over -allotment is exercised in full), 2,577,522 private investor shares (or 2,964,203 private investor shares if the over-allotment is exercised in full) purchased by non -managing investors, and 337,675 private placement units (or 357,657 private placement units if the over-allotment is exercised in full) are restricted securities under Rule 144, in that they were issued in private transactions not involving a public offering.</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Contractual transfer restrictions</w:t>
      </w:r>
    </w:p>
    <w:p>
      <w:pPr>
        <w:spacing w:after="0" w:line="104"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 xml:space="preserve">Our sponsor, Lynrock, the non-managing investors and our management team have agreed not to transfer, assign or sell any of their founder shares and private investor shares (and underlying securities)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w:t>
      </w:r>
      <w:r>
        <w:rPr>
          <w:rFonts w:ascii="Times New Roman" w:cs="Times New Roman" w:eastAsia="Times New Roman" w:hAnsi="Times New Roman"/>
          <w:sz w:val="13"/>
          <w:szCs w:val="13"/>
          <w:color w:val="auto"/>
        </w:rPr>
        <w:t>S</w:t>
      </w:r>
      <w:r>
        <w:rPr>
          <w:rFonts w:ascii="Times New Roman" w:cs="Times New Roman" w:eastAsia="Times New Roman" w:hAnsi="Times New Roman"/>
          <w:sz w:val="15"/>
          <w:szCs w:val="15"/>
          <w:color w:val="auto"/>
        </w:rPr>
        <w:t>hare divisions, share dividends, reorganizations, recapitalizations and the like) for any 20 trading days within any 30-trading day period commencing at least 90 days after our initial business combination, or</w:t>
      </w:r>
    </w:p>
    <w:p>
      <w:pPr>
        <w:spacing w:after="0" w:line="2" w:lineRule="exact"/>
        <w:rPr>
          <w:sz w:val="20"/>
          <w:szCs w:val="20"/>
          <w:color w:val="auto"/>
        </w:rPr>
      </w:pPr>
    </w:p>
    <w:p>
      <w:pPr>
        <w:ind w:left="460" w:right="20" w:hanging="5"/>
        <w:spacing w:after="0" w:line="248" w:lineRule="auto"/>
        <w:tabs>
          <w:tab w:leader="none" w:pos="678"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date on which we consummate a liquidation, merger, stock exchange or other similar transaction after our initial business combination which results in all of our shareholders having the right to exchange their ordinary shares for cash, securities or other property. They have also agreed to lock-up the private placement units (and underlying securities) until thirty days after the date of the consummation of our initial business combination. The foregoing restrictions are not applicable to transfers (a) to our officers or directors, any affiliates or family members of any of our officers or directors, any members or partners of such holders or their affiliates, any affiliates of such holders,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investor shares or private placement units,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public shares for cash, securities or other property subsequent to our completion of our initial business combination;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in the case of clauses (a) through (f) these permitted transferees must enter into a written agreement agreeing to be bound by these transfer restrictions and the other restrictions contained in the letter agreement.</w:t>
      </w:r>
    </w:p>
    <w:p>
      <w:pPr>
        <w:spacing w:after="0" w:line="165" w:lineRule="exact"/>
        <w:rPr>
          <w:sz w:val="20"/>
          <w:szCs w:val="20"/>
          <w:color w:val="auto"/>
        </w:rPr>
      </w:pPr>
    </w:p>
    <w:p>
      <w:pPr>
        <w:ind w:left="460" w:right="60" w:firstLine="379"/>
        <w:spacing w:after="0" w:line="254" w:lineRule="auto"/>
        <w:rPr>
          <w:sz w:val="20"/>
          <w:szCs w:val="20"/>
          <w:color w:val="auto"/>
        </w:rPr>
      </w:pPr>
      <w:r>
        <w:rPr>
          <w:rFonts w:ascii="Times New Roman" w:cs="Times New Roman" w:eastAsia="Times New Roman" w:hAnsi="Times New Roman"/>
          <w:sz w:val="15"/>
          <w:szCs w:val="15"/>
          <w:color w:val="auto"/>
        </w:rPr>
        <w:t>The letter agreement with our sponsor, executive officers and directors that includes the transfer restrictions described in the foregoing may be amended without shareholder approval with our written consent as well as the written consent of the sponsor and our directors and officers to the extent they are the subject of any change, amendment, modification or waiver to the letter agreement. The written consent of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w:t>
      </w:r>
    </w:p>
    <w:p>
      <w:pPr>
        <w:spacing w:after="0" w:line="1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210</w:t>
      </w:r>
    </w:p>
    <w:p>
      <w:pPr>
        <w:sectPr>
          <w:pgSz w:w="11900" w:h="16840" w:orient="portrait"/>
          <w:cols w:equalWidth="0" w:num="1">
            <w:col w:w="10160"/>
          </w:cols>
          <w:pgMar w:left="660" w:top="874" w:right="1080" w:bottom="1440" w:gutter="0" w:footer="0" w:header="0"/>
        </w:sectPr>
      </w:pPr>
    </w:p>
    <w:bookmarkStart w:id="223" w:name="page224"/>
    <w:bookmarkEnd w:id="2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5"/>
          <w:szCs w:val="15"/>
          <w:color w:val="auto"/>
        </w:rPr>
        <w:t>dispose of, directly or indirectly, Class A ordinary shares or any other securities convertible into, or exercisable, or exchangeable for, Class A ordinary shares (for more information on the transfer restrictions included in the underwriting agreement, also see “</w:t>
      </w:r>
      <w:r>
        <w:rPr>
          <w:rFonts w:ascii="Times New Roman" w:cs="Times New Roman" w:eastAsia="Times New Roman" w:hAnsi="Times New Roman"/>
          <w:sz w:val="15"/>
          <w:szCs w:val="15"/>
          <w:i w:val="1"/>
          <w:iCs w:val="1"/>
          <w:color w:val="auto"/>
        </w:rPr>
        <w:t>Securities Eligible for Future Sale—Contractual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Transfer Restrictions</w:t>
      </w:r>
      <w:r>
        <w:rPr>
          <w:rFonts w:ascii="Times New Roman" w:cs="Times New Roman" w:eastAsia="Times New Roman" w:hAnsi="Times New Roman"/>
          <w:sz w:val="15"/>
          <w:szCs w:val="15"/>
          <w:color w:val="auto"/>
        </w:rPr>
        <w:t>”). While we do not expect our board to approve any amendment to the letter agreement prior to our initial business combination, 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Rule 144</w:t>
      </w:r>
    </w:p>
    <w:p>
      <w:pPr>
        <w:spacing w:after="0" w:line="104" w:lineRule="exact"/>
        <w:rPr>
          <w:sz w:val="20"/>
          <w:szCs w:val="20"/>
          <w:color w:val="auto"/>
        </w:rPr>
      </w:pPr>
    </w:p>
    <w:p>
      <w:pPr>
        <w:ind w:left="460" w:right="200" w:firstLine="379"/>
        <w:spacing w:after="0" w:line="258" w:lineRule="auto"/>
        <w:rPr>
          <w:sz w:val="20"/>
          <w:szCs w:val="20"/>
          <w:color w:val="auto"/>
        </w:rPr>
      </w:pPr>
      <w:r>
        <w:rPr>
          <w:rFonts w:ascii="Times New Roman" w:cs="Times New Roman" w:eastAsia="Times New Roman" w:hAnsi="Times New Roman"/>
          <w:sz w:val="15"/>
          <w:szCs w:val="15"/>
          <w:color w:val="auto"/>
        </w:rPr>
        <w:t>Pursuant to Rule 144, a person who has beneficially owned restricted securities for at least six months would be entitled to sell their securities provided that (i) such person is not deemed to have been one of our affiliates at the time of, or at any time during the three months preceding, a sale and</w:t>
      </w:r>
    </w:p>
    <w:p>
      <w:pPr>
        <w:ind w:left="460" w:right="200" w:hanging="5"/>
        <w:spacing w:after="0" w:line="262" w:lineRule="auto"/>
        <w:tabs>
          <w:tab w:leader="none" w:pos="687"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52" w:lineRule="exact"/>
        <w:rPr>
          <w:sz w:val="20"/>
          <w:szCs w:val="20"/>
          <w:color w:val="auto"/>
        </w:rPr>
      </w:pPr>
    </w:p>
    <w:p>
      <w:pPr>
        <w:jc w:val="both"/>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0" w:lineRule="exact"/>
        <w:rPr>
          <w:sz w:val="20"/>
          <w:szCs w:val="20"/>
          <w:color w:val="auto"/>
        </w:rPr>
      </w:pPr>
    </w:p>
    <w:p>
      <w:pPr>
        <w:ind w:left="1300" w:right="20" w:hanging="371"/>
        <w:spacing w:after="0" w:line="284" w:lineRule="auto"/>
        <w:tabs>
          <w:tab w:leader="none" w:pos="13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of the total number of shares of our ordinary shares then outstanding, which will equal 317,414 shares immediately after this offering (or 364,720 if the underwriters exercise their over-allotment option in full); or</w:t>
      </w:r>
    </w:p>
    <w:p>
      <w:pPr>
        <w:spacing w:after="0" w:line="65" w:lineRule="exact"/>
        <w:rPr>
          <w:rFonts w:ascii="Times New Roman" w:cs="Times New Roman" w:eastAsia="Times New Roman" w:hAnsi="Times New Roman"/>
          <w:sz w:val="15"/>
          <w:szCs w:val="15"/>
          <w:color w:val="auto"/>
        </w:rPr>
      </w:pPr>
    </w:p>
    <w:p>
      <w:pPr>
        <w:ind w:left="1300" w:right="60" w:hanging="371"/>
        <w:spacing w:after="0" w:line="284" w:lineRule="auto"/>
        <w:tabs>
          <w:tab w:leader="none" w:pos="130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weekly reported trading volume of shares of our public shares during the four calendar weeks preceding the filing of a notice on Form 144 with respect to the sale.</w:t>
      </w:r>
    </w:p>
    <w:p>
      <w:pPr>
        <w:spacing w:after="0" w:line="137" w:lineRule="exact"/>
        <w:rPr>
          <w:sz w:val="20"/>
          <w:szCs w:val="20"/>
          <w:color w:val="auto"/>
        </w:rPr>
      </w:pPr>
    </w:p>
    <w:p>
      <w:pPr>
        <w:ind w:left="460" w:right="80" w:firstLine="379"/>
        <w:spacing w:after="0" w:line="284" w:lineRule="auto"/>
        <w:rPr>
          <w:sz w:val="20"/>
          <w:szCs w:val="20"/>
          <w:color w:val="auto"/>
        </w:rPr>
      </w:pPr>
      <w:r>
        <w:rPr>
          <w:rFonts w:ascii="Times New Roman" w:cs="Times New Roman" w:eastAsia="Times New Roman" w:hAnsi="Times New Roman"/>
          <w:sz w:val="15"/>
          <w:szCs w:val="15"/>
          <w:color w:val="auto"/>
        </w:rPr>
        <w:t>Sales by our affiliates under Rule 144 are also limited by manner of sale provisions and notice requirements and to the availability of current public information about us.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Restrictions on the Use of Rule 144 by Shell Companies or Former Shell Companies</w:t>
      </w:r>
    </w:p>
    <w:p>
      <w:pPr>
        <w:spacing w:after="0" w:line="104" w:lineRule="exact"/>
        <w:rPr>
          <w:sz w:val="20"/>
          <w:szCs w:val="20"/>
          <w:color w:val="auto"/>
        </w:rPr>
      </w:pPr>
    </w:p>
    <w:p>
      <w:pPr>
        <w:jc w:val="both"/>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0" w:lineRule="exact"/>
        <w:rPr>
          <w:sz w:val="20"/>
          <w:szCs w:val="20"/>
          <w:color w:val="auto"/>
        </w:rPr>
      </w:pPr>
    </w:p>
    <w:p>
      <w:pPr>
        <w:ind w:left="1300" w:hanging="371"/>
        <w:spacing w:after="0"/>
        <w:tabs>
          <w:tab w:leader="none" w:pos="13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 of the securities that was formerly a shell company has ceased to be a shell company;</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 of the securities is subject to the reporting requirements of Section 13 or 15(d) of the Exchange Act;</w:t>
      </w:r>
    </w:p>
    <w:p>
      <w:pPr>
        <w:spacing w:after="0" w:line="123" w:lineRule="exact"/>
        <w:rPr>
          <w:rFonts w:ascii="Times New Roman" w:cs="Times New Roman" w:eastAsia="Times New Roman" w:hAnsi="Times New Roman"/>
          <w:sz w:val="15"/>
          <w:szCs w:val="15"/>
          <w:color w:val="auto"/>
        </w:rPr>
      </w:pPr>
    </w:p>
    <w:p>
      <w:pPr>
        <w:ind w:left="1300" w:right="40" w:hanging="371"/>
        <w:spacing w:after="0" w:line="284" w:lineRule="auto"/>
        <w:tabs>
          <w:tab w:leader="none" w:pos="13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65" w:lineRule="exact"/>
        <w:rPr>
          <w:rFonts w:ascii="Times New Roman" w:cs="Times New Roman" w:eastAsia="Times New Roman" w:hAnsi="Times New Roman"/>
          <w:sz w:val="15"/>
          <w:szCs w:val="15"/>
          <w:color w:val="auto"/>
        </w:rPr>
      </w:pPr>
    </w:p>
    <w:p>
      <w:pPr>
        <w:ind w:left="1300" w:right="20" w:hanging="371"/>
        <w:spacing w:after="0" w:line="284" w:lineRule="auto"/>
        <w:tabs>
          <w:tab w:leader="none" w:pos="13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one year has elapsed from the time that the issuer filed current Form10-type information with the SEC reflecting its status as an entity that is not a shell company.</w:t>
      </w:r>
    </w:p>
    <w:p>
      <w:pPr>
        <w:spacing w:after="0" w:line="137" w:lineRule="exact"/>
        <w:rPr>
          <w:sz w:val="20"/>
          <w:szCs w:val="20"/>
          <w:color w:val="auto"/>
        </w:rPr>
      </w:pPr>
    </w:p>
    <w:p>
      <w:pPr>
        <w:ind w:left="460" w:right="80" w:firstLine="379"/>
        <w:spacing w:after="0" w:line="265" w:lineRule="auto"/>
        <w:rPr>
          <w:sz w:val="20"/>
          <w:szCs w:val="20"/>
          <w:color w:val="auto"/>
        </w:rPr>
      </w:pPr>
      <w:r>
        <w:rPr>
          <w:rFonts w:ascii="Times New Roman" w:cs="Times New Roman" w:eastAsia="Times New Roman" w:hAnsi="Times New Roman"/>
          <w:sz w:val="15"/>
          <w:szCs w:val="15"/>
          <w:color w:val="auto"/>
        </w:rPr>
        <w:t>As a result, our initial shareholders will be able to sell their founder shares, private investor shares, private placement shares and shares issued upon conversion of the private placement rights upon the consummation of our initial business combination, as applicable, pursuant to Rule 144 without registration one year after we have completed our initial business combination.</w:t>
      </w:r>
    </w:p>
    <w:p>
      <w:pPr>
        <w:spacing w:after="0" w:line="1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color w:val="auto"/>
        </w:rPr>
        <w:t>211</w:t>
      </w:r>
    </w:p>
    <w:p>
      <w:pPr>
        <w:sectPr>
          <w:pgSz w:w="11900" w:h="16840" w:orient="portrait"/>
          <w:cols w:equalWidth="0" w:num="1">
            <w:col w:w="10000"/>
          </w:cols>
          <w:pgMar w:left="660" w:top="874" w:right="1240" w:bottom="1440" w:gutter="0" w:footer="0" w:header="0"/>
        </w:sectPr>
      </w:pPr>
    </w:p>
    <w:bookmarkStart w:id="224" w:name="page225"/>
    <w:bookmarkEnd w:id="2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220" w:firstLine="379"/>
        <w:spacing w:after="0" w:line="284" w:lineRule="auto"/>
        <w:rPr>
          <w:sz w:val="20"/>
          <w:szCs w:val="20"/>
          <w:color w:val="auto"/>
        </w:rPr>
      </w:pPr>
      <w:r>
        <w:rPr>
          <w:rFonts w:ascii="Times New Roman" w:cs="Times New Roman" w:eastAsia="Times New Roman" w:hAnsi="Times New Roman"/>
          <w:sz w:val="15"/>
          <w:szCs w:val="15"/>
          <w:color w:val="auto"/>
        </w:rPr>
        <w:t>The below table summarizes the material terms of the restrictions described in the subsections above and whether and when our initial shareholders may sell securities purchased in connection with this offering:</w:t>
      </w:r>
    </w:p>
    <w:p>
      <w:pPr>
        <w:sectPr>
          <w:pgSz w:w="11900" w:h="16840" w:orient="portrait"/>
          <w:cols w:equalWidth="0" w:num="1">
            <w:col w:w="10140"/>
          </w:cols>
          <w:pgMar w:left="660" w:top="874" w:right="1100" w:bottom="1440" w:gutter="0" w:footer="0" w:header="0"/>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Subject to</w:t>
            </w:r>
          </w:p>
        </w:tc>
      </w:tr>
      <w:tr>
        <w:trPr>
          <w:trHeight w:val="154"/>
        </w:trPr>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r>
      <w:tr>
        <w:trPr>
          <w:trHeight w:val="154"/>
        </w:trPr>
        <w:tc>
          <w:tcPr>
            <w:tcW w:w="1440" w:type="dxa"/>
            <w:vAlign w:val="bottom"/>
          </w:tcPr>
          <w:p>
            <w:pPr>
              <w:spacing w:after="0"/>
              <w:rPr>
                <w:sz w:val="13"/>
                <w:szCs w:val="13"/>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Market Standoff</w:t>
            </w:r>
          </w:p>
        </w:tc>
        <w:tc>
          <w:tcPr>
            <w:tcW w:w="1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Standoff</w:t>
            </w:r>
          </w:p>
        </w:tc>
      </w:tr>
      <w:tr>
        <w:trPr>
          <w:trHeight w:val="179"/>
        </w:trPr>
        <w:tc>
          <w:tcPr>
            <w:tcW w:w="1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Stakeholder</w:t>
            </w:r>
          </w:p>
        </w:tc>
        <w:tc>
          <w:tcPr>
            <w:tcW w:w="12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Restrictions</w:t>
            </w:r>
          </w:p>
        </w:tc>
        <w:tc>
          <w:tcPr>
            <w:tcW w:w="1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Restrictions</w:t>
            </w:r>
            <w:r>
              <w:rPr>
                <w:rFonts w:ascii="Times New Roman" w:cs="Times New Roman" w:eastAsia="Times New Roman" w:hAnsi="Times New Roman"/>
                <w:sz w:val="8"/>
                <w:szCs w:val="8"/>
                <w:b w:val="1"/>
                <w:bCs w:val="1"/>
                <w:color w:val="auto"/>
              </w:rPr>
              <w:t>(1)</w:t>
            </w:r>
          </w:p>
        </w:tc>
      </w:tr>
      <w:tr>
        <w:trPr>
          <w:trHeight w:val="191"/>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Sponsor</w:t>
            </w: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5"/>
                <w:szCs w:val="15"/>
                <w:color w:val="auto"/>
                <w:w w:val="99"/>
              </w:rPr>
              <w:t>Letter Agreement</w:t>
            </w:r>
          </w:p>
        </w:tc>
        <w:tc>
          <w:tcPr>
            <w:tcW w:w="180" w:type="dxa"/>
            <w:vAlign w:val="bottom"/>
          </w:tcPr>
          <w:p>
            <w:pPr>
              <w:spacing w:after="0"/>
              <w:rPr>
                <w:sz w:val="16"/>
                <w:szCs w:val="16"/>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Founder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Private placement units</w:t>
      </w:r>
    </w:p>
    <w:p>
      <w:pPr>
        <w:spacing w:after="0" w:line="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(and underlying</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securities)</w:t>
      </w:r>
    </w:p>
    <w:p>
      <w:pPr>
        <w:spacing w:after="0" w:line="8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Public shares (if any</w:t>
      </w:r>
    </w:p>
    <w:p>
      <w:pPr>
        <w:spacing w:after="0" w:line="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purchased in connection</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with this offering)</w:t>
      </w:r>
    </w:p>
    <w:p>
      <w:pPr>
        <w:spacing w:after="0" w:line="84" w:lineRule="exact"/>
        <w:rPr>
          <w:sz w:val="20"/>
          <w:szCs w:val="20"/>
          <w:color w:val="auto"/>
        </w:rPr>
      </w:pPr>
    </w:p>
    <w:p>
      <w:pPr>
        <w:ind w:left="460"/>
        <w:spacing w:after="0"/>
        <w:tabs>
          <w:tab w:leader="none" w:pos="1880" w:val="left"/>
          <w:tab w:leader="none" w:pos="3320" w:val="left"/>
        </w:tabs>
        <w:rPr>
          <w:sz w:val="20"/>
          <w:szCs w:val="20"/>
          <w:color w:val="auto"/>
        </w:rPr>
      </w:pPr>
      <w:r>
        <w:rPr>
          <w:rFonts w:ascii="Times New Roman" w:cs="Times New Roman" w:eastAsia="Times New Roman" w:hAnsi="Times New Roman"/>
          <w:sz w:val="15"/>
          <w:szCs w:val="15"/>
          <w:color w:val="auto"/>
        </w:rPr>
        <w:t>Directors and</w:t>
      </w:r>
      <w:r>
        <w:rPr>
          <w:sz w:val="20"/>
          <w:szCs w:val="20"/>
          <w:color w:val="auto"/>
        </w:rPr>
        <w:tab/>
      </w:r>
      <w:r>
        <w:rPr>
          <w:rFonts w:ascii="Times New Roman" w:cs="Times New Roman" w:eastAsia="Times New Roman" w:hAnsi="Times New Roman"/>
          <w:sz w:val="15"/>
          <w:szCs w:val="15"/>
          <w:color w:val="auto"/>
        </w:rPr>
        <w:t>Letter Agreement</w:t>
      </w:r>
      <w:r>
        <w:rPr>
          <w:sz w:val="20"/>
          <w:szCs w:val="20"/>
          <w:color w:val="auto"/>
        </w:rPr>
        <w:tab/>
      </w:r>
      <w:r>
        <w:rPr>
          <w:rFonts w:ascii="Times New Roman" w:cs="Times New Roman" w:eastAsia="Times New Roman" w:hAnsi="Times New Roman"/>
          <w:sz w:val="15"/>
          <w:szCs w:val="15"/>
          <w:color w:val="auto"/>
        </w:rPr>
        <w:t>Founder shares</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Private placement units</w:t>
      </w:r>
    </w:p>
    <w:p>
      <w:pPr>
        <w:spacing w:after="0" w:line="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(and underlying</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color w:val="auto"/>
        </w:rPr>
        <w:t>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Market Standoff Period</w:t>
      </w:r>
      <w:r>
        <w:rPr>
          <w:rFonts w:ascii="Times New Roman" w:cs="Times New Roman" w:eastAsia="Times New Roman" w:hAnsi="Times New Roman"/>
          <w:sz w:val="8"/>
          <w:szCs w:val="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324929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49295" cy="7620"/>
                    </a:xfrm>
                    <a:prstGeom prst="rect">
                      <a:avLst/>
                    </a:prstGeom>
                    <a:noFill/>
                  </pic:spPr>
                </pic:pic>
              </a:graphicData>
            </a:graphic>
          </wp:anchor>
        </w:drawing>
      </w:r>
    </w:p>
    <w:p>
      <w:pPr>
        <w:spacing w:after="0" w:line="1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 xml:space="preserve">Subject to the exceptions described above, the earlier of (A) six months after the date of the consummation of our initial business combination or (B) subsequent to our initial business combination, (x) the date on which the last sale price of our ordinary shares equals or exceeds $11.50 per share (as adjusted for </w:t>
      </w:r>
      <w:r>
        <w:rPr>
          <w:rFonts w:ascii="Times New Roman" w:cs="Times New Roman" w:eastAsia="Times New Roman" w:hAnsi="Times New Roman"/>
          <w:sz w:val="13"/>
          <w:szCs w:val="13"/>
          <w:color w:val="auto"/>
        </w:rPr>
        <w:t>S</w:t>
      </w:r>
      <w:r>
        <w:rPr>
          <w:rFonts w:ascii="Times New Roman" w:cs="Times New Roman" w:eastAsia="Times New Roman" w:hAnsi="Times New Roman"/>
          <w:sz w:val="15"/>
          <w:szCs w:val="15"/>
          <w:color w:val="auto"/>
        </w:rPr>
        <w:t>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p>
      <w:pPr>
        <w:spacing w:after="0" w:line="6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5"/>
          <w:szCs w:val="15"/>
          <w:color w:val="auto"/>
        </w:rPr>
        <w:t>Subject to the exceptions described above, thirty days after the date of the consummation of our initial business combination.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180 days from the date of this prospectus</w:t>
      </w:r>
    </w:p>
    <w:p>
      <w:pPr>
        <w:spacing w:after="0" w:line="200" w:lineRule="exact"/>
        <w:rPr>
          <w:sz w:val="20"/>
          <w:szCs w:val="20"/>
          <w:color w:val="auto"/>
        </w:rPr>
      </w:pPr>
    </w:p>
    <w:p>
      <w:pPr>
        <w:spacing w:after="0" w:line="25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Subject to the exceptions described above,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p>
      <w:pPr>
        <w:spacing w:after="0" w:line="6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5"/>
          <w:szCs w:val="15"/>
          <w:color w:val="auto"/>
        </w:rPr>
        <w:t>Subject to the exceptions described above, thirty days after the date of the consummation of our initial business combination.</w:t>
      </w: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212</w:t>
      </w:r>
    </w:p>
    <w:p>
      <w:pPr>
        <w:sectPr>
          <w:pgSz w:w="11900" w:h="16840" w:orient="portrait"/>
          <w:cols w:equalWidth="0" w:num="2">
            <w:col w:w="4880" w:space="120"/>
            <w:col w:w="5140"/>
          </w:cols>
          <w:pgMar w:left="660" w:top="874" w:right="1100" w:bottom="1440" w:gutter="0" w:footer="0" w:header="0"/>
          <w:type w:val="continuous"/>
        </w:sectPr>
      </w:pPr>
    </w:p>
    <w:bookmarkStart w:id="225" w:name="page226"/>
    <w:bookmarkEnd w:id="2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Shares Subject</w:t>
            </w:r>
          </w:p>
        </w:tc>
        <w:tc>
          <w:tcPr>
            <w:tcW w:w="120" w:type="dxa"/>
            <w:vAlign w:val="bottom"/>
          </w:tcPr>
          <w:p>
            <w:pPr>
              <w:spacing w:after="0"/>
              <w:rPr>
                <w:sz w:val="13"/>
                <w:szCs w:val="13"/>
                <w:color w:val="auto"/>
              </w:rPr>
            </w:pPr>
          </w:p>
        </w:tc>
        <w:tc>
          <w:tcPr>
            <w:tcW w:w="5600" w:type="dxa"/>
            <w:vAlign w:val="bottom"/>
          </w:tcPr>
          <w:p>
            <w:pPr>
              <w:spacing w:after="0"/>
              <w:rPr>
                <w:sz w:val="13"/>
                <w:szCs w:val="13"/>
                <w:color w:val="auto"/>
              </w:rPr>
            </w:pPr>
          </w:p>
        </w:tc>
      </w:tr>
      <w:tr>
        <w:trPr>
          <w:trHeight w:val="154"/>
        </w:trPr>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 Market</w:t>
            </w:r>
          </w:p>
        </w:tc>
        <w:tc>
          <w:tcPr>
            <w:tcW w:w="120" w:type="dxa"/>
            <w:vAlign w:val="bottom"/>
          </w:tcPr>
          <w:p>
            <w:pPr>
              <w:spacing w:after="0"/>
              <w:rPr>
                <w:sz w:val="13"/>
                <w:szCs w:val="13"/>
                <w:color w:val="auto"/>
              </w:rPr>
            </w:pPr>
          </w:p>
        </w:tc>
        <w:tc>
          <w:tcPr>
            <w:tcW w:w="5600" w:type="dxa"/>
            <w:vAlign w:val="bottom"/>
          </w:tcPr>
          <w:p>
            <w:pPr>
              <w:spacing w:after="0"/>
              <w:rPr>
                <w:sz w:val="13"/>
                <w:szCs w:val="13"/>
                <w:color w:val="auto"/>
              </w:rPr>
            </w:pPr>
          </w:p>
        </w:tc>
      </w:tr>
      <w:tr>
        <w:trPr>
          <w:trHeight w:val="154"/>
        </w:trPr>
        <w:tc>
          <w:tcPr>
            <w:tcW w:w="14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Standoff</w:t>
            </w: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Standoff</w:t>
            </w:r>
          </w:p>
        </w:tc>
        <w:tc>
          <w:tcPr>
            <w:tcW w:w="120" w:type="dxa"/>
            <w:vAlign w:val="bottom"/>
          </w:tcPr>
          <w:p>
            <w:pPr>
              <w:spacing w:after="0"/>
              <w:rPr>
                <w:sz w:val="13"/>
                <w:szCs w:val="13"/>
                <w:color w:val="auto"/>
              </w:rPr>
            </w:pPr>
          </w:p>
        </w:tc>
        <w:tc>
          <w:tcPr>
            <w:tcW w:w="5600" w:type="dxa"/>
            <w:vAlign w:val="bottom"/>
          </w:tcPr>
          <w:p>
            <w:pPr>
              <w:spacing w:after="0"/>
              <w:rPr>
                <w:sz w:val="13"/>
                <w:szCs w:val="13"/>
                <w:color w:val="auto"/>
              </w:rPr>
            </w:pPr>
          </w:p>
        </w:tc>
      </w:tr>
      <w:tr>
        <w:trPr>
          <w:trHeight w:val="179"/>
        </w:trPr>
        <w:tc>
          <w:tcPr>
            <w:tcW w:w="1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Stakeholder</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Restrictions</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Restrictions</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5"/>
                <w:szCs w:val="15"/>
                <w:color w:val="auto"/>
              </w:rPr>
            </w:pPr>
          </w:p>
        </w:tc>
        <w:tc>
          <w:tcPr>
            <w:tcW w:w="56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3"/>
                <w:szCs w:val="13"/>
                <w:b w:val="1"/>
                <w:bCs w:val="1"/>
                <w:color w:val="auto"/>
              </w:rPr>
              <w:t>Market Standoff Period</w:t>
            </w:r>
            <w:r>
              <w:rPr>
                <w:rFonts w:ascii="Times New Roman" w:cs="Times New Roman" w:eastAsia="Times New Roman" w:hAnsi="Times New Roman"/>
                <w:sz w:val="8"/>
                <w:szCs w:val="8"/>
                <w:b w:val="1"/>
                <w:bCs w:val="1"/>
                <w:color w:val="auto"/>
              </w:rPr>
              <w:t>(2)</w:t>
            </w:r>
          </w:p>
        </w:tc>
      </w:tr>
      <w:tr>
        <w:trPr>
          <w:trHeight w:val="241"/>
        </w:trPr>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Public shares (if</w:t>
            </w: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180 days from the date of this prospectus</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any purchased in</w:t>
            </w:r>
          </w:p>
        </w:tc>
        <w:tc>
          <w:tcPr>
            <w:tcW w:w="12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connection with</w:t>
            </w:r>
          </w:p>
        </w:tc>
        <w:tc>
          <w:tcPr>
            <w:tcW w:w="12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this offering)</w:t>
            </w:r>
          </w:p>
        </w:tc>
        <w:tc>
          <w:tcPr>
            <w:tcW w:w="12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178"/>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Non-managing</w:t>
            </w:r>
          </w:p>
        </w:tc>
        <w:tc>
          <w:tcPr>
            <w:tcW w:w="1260" w:type="dxa"/>
            <w:vAlign w:val="bottom"/>
          </w:tcPr>
          <w:p>
            <w:pPr>
              <w:spacing w:after="0"/>
              <w:rPr>
                <w:sz w:val="20"/>
                <w:szCs w:val="20"/>
                <w:color w:val="auto"/>
              </w:rPr>
            </w:pPr>
            <w:r>
              <w:rPr>
                <w:rFonts w:ascii="Times New Roman" w:cs="Times New Roman" w:eastAsia="Times New Roman" w:hAnsi="Times New Roman"/>
                <w:sz w:val="15"/>
                <w:szCs w:val="15"/>
                <w:color w:val="auto"/>
              </w:rPr>
              <w:t>Subscription</w:t>
            </w:r>
          </w:p>
        </w:tc>
        <w:tc>
          <w:tcPr>
            <w:tcW w:w="1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Private</w:t>
            </w: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Subject to the exceptions described above, thirty days after the date of the consummation</w:t>
            </w:r>
          </w:p>
        </w:tc>
      </w:tr>
      <w:tr>
        <w:trPr>
          <w:trHeight w:val="178"/>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investors</w:t>
            </w:r>
          </w:p>
        </w:tc>
        <w:tc>
          <w:tcPr>
            <w:tcW w:w="1260" w:type="dxa"/>
            <w:vAlign w:val="bottom"/>
          </w:tcPr>
          <w:p>
            <w:pPr>
              <w:spacing w:after="0"/>
              <w:rPr>
                <w:sz w:val="20"/>
                <w:szCs w:val="20"/>
                <w:color w:val="auto"/>
              </w:rPr>
            </w:pPr>
            <w:r>
              <w:rPr>
                <w:rFonts w:ascii="Times New Roman" w:cs="Times New Roman" w:eastAsia="Times New Roman" w:hAnsi="Times New Roman"/>
                <w:sz w:val="15"/>
                <w:szCs w:val="15"/>
                <w:color w:val="auto"/>
              </w:rPr>
              <w:t>Agreements</w:t>
            </w:r>
          </w:p>
        </w:tc>
        <w:tc>
          <w:tcPr>
            <w:tcW w:w="1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placement units</w:t>
            </w: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of our initial business combination.</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(and underlying</w:t>
            </w:r>
          </w:p>
        </w:tc>
        <w:tc>
          <w:tcPr>
            <w:tcW w:w="12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199"/>
        </w:trPr>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securities)</w:t>
            </w:r>
          </w:p>
        </w:tc>
        <w:tc>
          <w:tcPr>
            <w:tcW w:w="12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51"/>
        </w:trPr>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Private investor</w:t>
            </w:r>
          </w:p>
        </w:tc>
        <w:tc>
          <w:tcPr>
            <w:tcW w:w="12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Subject to the exceptions described above, the earlier of (A) six months after the date of</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shares</w:t>
            </w: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the consummation of our initial business combination or (B) subsequent to our initial</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business combination, (x) the date on which the last sale price of our ordinary shares</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equals or exceeds $11.50 per share (as adjusted for share divisions, share dividends,</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reorganizations, recapitalizations and the like) for any 20 trading days within any</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30-trading day period commencing at least 90 days after our initial business combination,</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or (y) the date on which we consummate a liquidation, merger, stock exchange or other</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similar transaction after our initial business combination which results in all of our</w:t>
            </w:r>
          </w:p>
        </w:tc>
      </w:tr>
      <w:tr>
        <w:trPr>
          <w:trHeight w:val="178"/>
        </w:trPr>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shareholders having the right to exchange their ordinary shares for cash, securities or other</w:t>
            </w:r>
          </w:p>
        </w:tc>
      </w:tr>
      <w:tr>
        <w:trPr>
          <w:trHeight w:val="199"/>
        </w:trPr>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property</w:t>
            </w:r>
          </w:p>
        </w:tc>
      </w:tr>
    </w:tbl>
    <w:p>
      <w:pPr>
        <w:spacing w:after="0" w:line="200" w:lineRule="exact"/>
        <w:rPr>
          <w:sz w:val="20"/>
          <w:szCs w:val="20"/>
          <w:color w:val="auto"/>
        </w:rPr>
      </w:pPr>
    </w:p>
    <w:p>
      <w:pPr>
        <w:ind w:left="840" w:right="200" w:hanging="385"/>
        <w:spacing w:after="0" w:line="261" w:lineRule="auto"/>
        <w:tabs>
          <w:tab w:leader="none" w:pos="8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more information on the number securities beneficial held by our initial shareholders, please see the section entitled “</w:t>
      </w:r>
      <w:r>
        <w:rPr>
          <w:rFonts w:ascii="Times New Roman" w:cs="Times New Roman" w:eastAsia="Times New Roman" w:hAnsi="Times New Roman"/>
          <w:sz w:val="15"/>
          <w:szCs w:val="15"/>
          <w:i w:val="1"/>
          <w:iCs w:val="1"/>
          <w:color w:val="auto"/>
        </w:rPr>
        <w:t>Principal Shareholders</w:t>
      </w:r>
      <w:r>
        <w:rPr>
          <w:rFonts w:ascii="Times New Roman" w:cs="Times New Roman" w:eastAsia="Times New Roman" w:hAnsi="Times New Roman"/>
          <w:sz w:val="15"/>
          <w:szCs w:val="15"/>
          <w:color w:val="auto"/>
        </w:rPr>
        <w:t>” in this prospectus.</w:t>
      </w:r>
    </w:p>
    <w:p>
      <w:pPr>
        <w:ind w:left="840" w:right="80" w:hanging="385"/>
        <w:spacing w:after="0" w:line="251" w:lineRule="auto"/>
        <w:tabs>
          <w:tab w:leader="none" w:pos="8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founder shares, private investor shares and private placement shares issued in connection with this offering are restricted securities and subject to the limitations on transfer described above under “</w:t>
      </w:r>
      <w:r>
        <w:rPr>
          <w:rFonts w:ascii="Times New Roman" w:cs="Times New Roman" w:eastAsia="Times New Roman" w:hAnsi="Times New Roman"/>
          <w:sz w:val="15"/>
          <w:szCs w:val="15"/>
          <w:i w:val="1"/>
          <w:iCs w:val="1"/>
          <w:color w:val="auto"/>
        </w:rPr>
        <w:t>Securities Eligible for Future Sale — Rule 144.</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Securities Eligible for Future Sale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Restrictions on the Use of Rule 144 by Shell Companies or Former Shell Companies</w:t>
      </w:r>
      <w:r>
        <w:rPr>
          <w:rFonts w:ascii="Times New Roman" w:cs="Times New Roman" w:eastAsia="Times New Roman" w:hAnsi="Times New Roman"/>
          <w:sz w:val="15"/>
          <w:szCs w:val="15"/>
          <w:color w:val="auto"/>
        </w:rPr>
        <w:t>.” Further, our initial shareholders that become affiliates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post-business combination company for purposes of Rule 144 under the Securities Act may be subject to additional resale restrictions, as described above.</w:t>
      </w:r>
    </w:p>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04"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Pursuant to agreements to be entered into on the date of this prospectus, our initial shareholders and their permitted transferees, may demand that we register for resale the founder shares, private investor shares, private placement shares and shares issued upon conversion of the private placement rights upon the consummation of our initial business combination. The holders of a majority of these securities are entitled to make up to three demands, excluding short form demands, that we register such securities.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213</w:t>
      </w:r>
    </w:p>
    <w:p>
      <w:pPr>
        <w:sectPr>
          <w:pgSz w:w="11900" w:h="16840" w:orient="portrait"/>
          <w:cols w:equalWidth="0" w:num="1">
            <w:col w:w="10120"/>
          </w:cols>
          <w:pgMar w:left="660" w:top="874" w:right="1120" w:bottom="1440" w:gutter="0" w:footer="0" w:header="0"/>
        </w:sectPr>
      </w:pPr>
    </w:p>
    <w:bookmarkStart w:id="226" w:name="page227"/>
    <w:bookmarkEnd w:id="2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TAXATION</w:t>
      </w:r>
    </w:p>
    <w:p>
      <w:pPr>
        <w:spacing w:after="0" w:line="199"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The following summary of certain Cayman Islands and United States federal income tax consequences of an investment in our public units, each consisting of one Class A ordinary share and one right entitling the holder thereof to receive one -tenth of one ordinary share upon the completion of an initial business combination,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public shares and public rights, such as the tax consequences under state, local and other tax laws.</w:t>
      </w:r>
    </w:p>
    <w:p>
      <w:pPr>
        <w:spacing w:after="0" w:line="158" w:lineRule="exact"/>
        <w:rPr>
          <w:sz w:val="20"/>
          <w:szCs w:val="20"/>
          <w:color w:val="auto"/>
        </w:rPr>
      </w:pPr>
    </w:p>
    <w:p>
      <w:pPr>
        <w:ind w:left="460" w:right="200" w:firstLine="379"/>
        <w:spacing w:after="0" w:line="284" w:lineRule="auto"/>
        <w:rPr>
          <w:sz w:val="20"/>
          <w:szCs w:val="20"/>
          <w:color w:val="auto"/>
        </w:rPr>
      </w:pPr>
      <w:r>
        <w:rPr>
          <w:rFonts w:ascii="Times New Roman" w:cs="Times New Roman" w:eastAsia="Times New Roman" w:hAnsi="Times New Roman"/>
          <w:sz w:val="15"/>
          <w:szCs w:val="15"/>
          <w:color w:val="auto"/>
        </w:rPr>
        <w:t>Prospective investors should consult their advisors on the possible tax consequences of investing in our securities under the laws of their country of citizenship, residence or domicile.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Cayman Islands Tax Considerations</w:t>
      </w:r>
    </w:p>
    <w:p>
      <w:pPr>
        <w:spacing w:after="0" w:line="104" w:lineRule="exact"/>
        <w:rPr>
          <w:sz w:val="20"/>
          <w:szCs w:val="20"/>
          <w:color w:val="auto"/>
        </w:rPr>
      </w:pPr>
    </w:p>
    <w:p>
      <w:pPr>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Under Existing Cayman Islands Laws</w:t>
      </w:r>
    </w:p>
    <w:p>
      <w:pPr>
        <w:spacing w:after="0" w:line="104"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spacing w:after="0" w:line="158" w:lineRule="exact"/>
        <w:rPr>
          <w:sz w:val="20"/>
          <w:szCs w:val="20"/>
          <w:color w:val="auto"/>
        </w:rPr>
      </w:pPr>
    </w:p>
    <w:p>
      <w:pPr>
        <w:ind w:left="460" w:right="140" w:firstLine="379"/>
        <w:spacing w:after="0" w:line="262" w:lineRule="auto"/>
        <w:rPr>
          <w:sz w:val="20"/>
          <w:szCs w:val="20"/>
          <w:color w:val="auto"/>
        </w:rPr>
      </w:pPr>
      <w:r>
        <w:rPr>
          <w:rFonts w:ascii="Times New Roman" w:cs="Times New Roman" w:eastAsia="Times New Roman" w:hAnsi="Times New Roman"/>
          <w:sz w:val="15"/>
          <w:szCs w:val="15"/>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3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No stamp duty is payable in respect of the issue of our Class A ordinary shares or on an instrument of transfer in respect of such shares.</w:t>
      </w:r>
    </w:p>
    <w:p>
      <w:pPr>
        <w:spacing w:after="0" w:line="195" w:lineRule="exact"/>
        <w:rPr>
          <w:sz w:val="20"/>
          <w:szCs w:val="20"/>
          <w:color w:val="auto"/>
        </w:rPr>
      </w:pPr>
    </w:p>
    <w:p>
      <w:pPr>
        <w:ind w:left="460" w:right="20" w:firstLine="379"/>
        <w:spacing w:after="0" w:line="284" w:lineRule="auto"/>
        <w:rPr>
          <w:sz w:val="20"/>
          <w:szCs w:val="20"/>
          <w:color w:val="auto"/>
        </w:rPr>
      </w:pPr>
      <w:r>
        <w:rPr>
          <w:rFonts w:ascii="Times New Roman" w:cs="Times New Roman" w:eastAsia="Times New Roman" w:hAnsi="Times New Roman"/>
          <w:sz w:val="15"/>
          <w:szCs w:val="15"/>
          <w:color w:val="auto"/>
        </w:rPr>
        <w:t>Our company has been incorporated under the laws of the Cayman Islands as an exempted company with limited liability and, as such, has applied for and has obtained an undertaking from the Financial Secretary of the Cayman Islands in substantively the following form on July 28, 2025:</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The Tax Concessions Act (Revised)</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Undertaking as to Tax Concessions</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In accordance with the Tax Concessions Act (Revised), the following undertaking is hereby given to the company:</w:t>
      </w:r>
    </w:p>
    <w:p>
      <w:pPr>
        <w:spacing w:after="0" w:line="124" w:lineRule="exact"/>
        <w:rPr>
          <w:sz w:val="20"/>
          <w:szCs w:val="20"/>
          <w:color w:val="auto"/>
        </w:rPr>
      </w:pPr>
    </w:p>
    <w:p>
      <w:pPr>
        <w:ind w:left="1300" w:right="200" w:hanging="466"/>
        <w:spacing w:after="0" w:line="284" w:lineRule="auto"/>
        <w:tabs>
          <w:tab w:leader="none" w:pos="13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no Law which is hereafter enacted in the Cayman Islands imposing any tax to be levied on profits, income, gains or appreciations shall apply to the company or its operations; and</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214</w:t>
      </w:r>
    </w:p>
    <w:p>
      <w:pPr>
        <w:sectPr>
          <w:pgSz w:w="11900" w:h="16840" w:orient="portrait"/>
          <w:cols w:equalWidth="0" w:num="1">
            <w:col w:w="10120"/>
          </w:cols>
          <w:pgMar w:left="660" w:top="874" w:right="1120" w:bottom="1440" w:gutter="0" w:footer="0" w:header="0"/>
        </w:sectPr>
      </w:pPr>
    </w:p>
    <w:bookmarkStart w:id="227" w:name="page228"/>
    <w:bookmarkEnd w:id="2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right="20" w:hanging="466"/>
        <w:spacing w:after="0" w:line="284" w:lineRule="auto"/>
        <w:tabs>
          <w:tab w:leader="none" w:pos="130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that no tax to be levied on profits, income, gains or appreciations or which is in the nature of estate duty or inheritance tax shall be payable:</w:t>
      </w:r>
    </w:p>
    <w:p>
      <w:pPr>
        <w:spacing w:after="0" w:line="65" w:lineRule="exact"/>
        <w:rPr>
          <w:rFonts w:ascii="Times New Roman" w:cs="Times New Roman" w:eastAsia="Times New Roman" w:hAnsi="Times New Roman"/>
          <w:sz w:val="15"/>
          <w:szCs w:val="15"/>
          <w:color w:val="auto"/>
        </w:rPr>
      </w:pPr>
    </w:p>
    <w:p>
      <w:pPr>
        <w:ind w:left="13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   On or in respect of the shares, debentures or other obligations of the company; or</w:t>
      </w:r>
    </w:p>
    <w:p>
      <w:pPr>
        <w:spacing w:after="0" w:line="123" w:lineRule="exact"/>
        <w:rPr>
          <w:rFonts w:ascii="Times New Roman" w:cs="Times New Roman" w:eastAsia="Times New Roman" w:hAnsi="Times New Roman"/>
          <w:sz w:val="15"/>
          <w:szCs w:val="15"/>
          <w:color w:val="auto"/>
        </w:rPr>
      </w:pPr>
    </w:p>
    <w:p>
      <w:pPr>
        <w:ind w:left="13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   by way of the withholding in whole or part, of any relevant payment as defined in the Tax Concessions Act (Revised).</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These concessions shall be for a period of twenty years from the 28th day of July, 2025.</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Material United States Federal Income Tax Considerations</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4"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The following discussion summarizes material United States federal income tax considerations generally applicable to the acquisition, ownership and disposition of our public units (each consisting of one Class A ordinary share one and one right entitling the holder thereof to receive one-tenth of one ordinary share upon the completion of an initial business combination) that are purchased in this offering, which we refer to collectively as our securities, by U.S. Holders (as defined below) and Non-U.S. Holders (as defined below). Because the components of a public unit are generally separable at the option of the holder, the holder of a public unit generally should be treated, for United States federal income tax purposes, as the owner of the underlying Class A ordinary share and one-tenth right components of the public unit. As a result, the discussion below with respect to actual holders of Class A ordinary shares and public rights also should apply to holders of public units (as the deemed owners of the underlying Class A ordinary shares and public rights that constitute the public units).</w:t>
      </w:r>
    </w:p>
    <w:p>
      <w:pPr>
        <w:spacing w:after="0" w:line="162" w:lineRule="exact"/>
        <w:rPr>
          <w:sz w:val="20"/>
          <w:szCs w:val="20"/>
          <w:color w:val="auto"/>
        </w:rPr>
      </w:pPr>
    </w:p>
    <w:p>
      <w:pPr>
        <w:ind w:left="460" w:right="40" w:firstLine="379"/>
        <w:spacing w:after="0" w:line="254" w:lineRule="auto"/>
        <w:rPr>
          <w:sz w:val="20"/>
          <w:szCs w:val="20"/>
          <w:color w:val="auto"/>
        </w:rPr>
      </w:pPr>
      <w:r>
        <w:rPr>
          <w:rFonts w:ascii="Times New Roman" w:cs="Times New Roman" w:eastAsia="Times New Roman" w:hAnsi="Times New Roman"/>
          <w:sz w:val="15"/>
          <w:szCs w:val="15"/>
          <w:color w:val="auto"/>
        </w:rPr>
        <w:t>This discussion does not address the United States federal income tax consequences to our founders, sponsors, officers or directors. This discussion is limited to material United States federal income tax considerations to beneficial owners of our securities who are initial purchasers of a public unit pursuant to this offering and hold the public unit and each component of the public unit as a capital asset within the meaning of Section 1221 of the U.S. Internal Revenue Code of 1986, as amended (the “Code”). This discussion assumes that the Class A ordinary shares and public rights will trade separately and that any distributions made (or deemed made) by us on our Class A ordinary shares and any consideration received (or deemed received) by a holder in consideration for the sale or other disposition of our securities will be in U.S. dollars.</w:t>
      </w:r>
    </w:p>
    <w:p>
      <w:pPr>
        <w:spacing w:after="0" w:line="160"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This discussion is a summary only and does not describe all of the tax consequences that may be relevant to the acquisition, ownership and disposition of a public unit by a prospective investor in light of its particular circumstances, including but not limited to, the alternative minimum tax, the Medicare tax on net investment income and the different consequences that may apply to investors that are subject to special rules under U.S. federal income tax laws, including but not limited to:</w:t>
      </w:r>
    </w:p>
    <w:p>
      <w:pPr>
        <w:spacing w:after="0" w:line="85" w:lineRule="exact"/>
        <w:rPr>
          <w:sz w:val="20"/>
          <w:szCs w:val="20"/>
          <w:color w:val="auto"/>
        </w:rPr>
      </w:pPr>
    </w:p>
    <w:p>
      <w:pPr>
        <w:ind w:left="1300" w:hanging="371"/>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financial institutions or financial services entities;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broker-dealers;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taxpayers that are subject to the mark-to-market tax accounting rules;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entities;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governments or agencies or instrumentalities thereof;</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insurance companies;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regulated investment companies;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estate investment trusts;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expatriates or former long-term residents of the United States;</w:t>
      </w:r>
    </w:p>
    <w:p>
      <w:pPr>
        <w:spacing w:after="0" w:line="1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215</w:t>
      </w:r>
    </w:p>
    <w:p>
      <w:pPr>
        <w:sectPr>
          <w:pgSz w:w="11900" w:h="16840" w:orient="portrait"/>
          <w:cols w:equalWidth="0" w:num="1">
            <w:col w:w="10100"/>
          </w:cols>
          <w:pgMar w:left="660" w:top="874" w:right="1140" w:bottom="1440" w:gutter="0" w:footer="0" w:header="0"/>
        </w:sectPr>
      </w:pPr>
    </w:p>
    <w:bookmarkStart w:id="228" w:name="page229"/>
    <w:bookmarkEnd w:id="2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hanging="371"/>
        <w:spacing w:after="0"/>
        <w:tabs>
          <w:tab w:leader="none" w:pos="13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actually or constructively own five percent or more (by vote or value) of our shares;</w:t>
      </w:r>
    </w:p>
    <w:p>
      <w:pPr>
        <w:spacing w:after="0" w:line="123" w:lineRule="exact"/>
        <w:rPr>
          <w:rFonts w:ascii="Times New Roman" w:cs="Times New Roman" w:eastAsia="Times New Roman" w:hAnsi="Times New Roman"/>
          <w:sz w:val="15"/>
          <w:szCs w:val="15"/>
          <w:color w:val="auto"/>
        </w:rPr>
      </w:pPr>
    </w:p>
    <w:p>
      <w:pPr>
        <w:ind w:left="1300" w:right="180" w:hanging="371"/>
        <w:spacing w:after="0" w:line="284" w:lineRule="auto"/>
        <w:tabs>
          <w:tab w:leader="none" w:pos="13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acquired our securities pursuant to an exercise of employee share options, in connection with employee share incentive plans or otherwise as compensation;</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hold our securities as part of a straddle, constructive sale, hedge, wash sale, conversion or other integrated or similar transaction;</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are subject to the “applicable financial statement” accounting rules under Section 451 of the Code;</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Holders (as defined below) whose functional currency is not the U.S. dollar;</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passive foreign investment companies; and</w:t>
      </w:r>
    </w:p>
    <w:p>
      <w:pPr>
        <w:spacing w:after="0" w:line="123" w:lineRule="exact"/>
        <w:rPr>
          <w:rFonts w:ascii="Times New Roman" w:cs="Times New Roman" w:eastAsia="Times New Roman" w:hAnsi="Times New Roman"/>
          <w:sz w:val="15"/>
          <w:szCs w:val="15"/>
          <w:color w:val="auto"/>
        </w:rPr>
      </w:pPr>
    </w:p>
    <w:p>
      <w:pPr>
        <w:ind w:left="1300" w:right="40" w:hanging="371"/>
        <w:spacing w:after="0" w:line="284" w:lineRule="auto"/>
        <w:tabs>
          <w:tab w:leader="none" w:pos="13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partnerships (or entities or arrangements classified as partnerships or other pass-through entities for U.S. federal income tax purposes) and any beneficial owners of such partnerships.</w:t>
      </w:r>
    </w:p>
    <w:p>
      <w:pPr>
        <w:spacing w:after="0" w:line="137" w:lineRule="exact"/>
        <w:rPr>
          <w:sz w:val="20"/>
          <w:szCs w:val="20"/>
          <w:color w:val="auto"/>
        </w:rPr>
      </w:pPr>
    </w:p>
    <w:p>
      <w:pPr>
        <w:ind w:left="460" w:right="120" w:firstLine="379"/>
        <w:spacing w:after="0" w:line="256" w:lineRule="auto"/>
        <w:rPr>
          <w:sz w:val="20"/>
          <w:szCs w:val="20"/>
          <w:color w:val="auto"/>
        </w:rPr>
      </w:pPr>
      <w:r>
        <w:rPr>
          <w:rFonts w:ascii="Times New Roman" w:cs="Times New Roman" w:eastAsia="Times New Roman" w:hAnsi="Times New Roman"/>
          <w:sz w:val="15"/>
          <w:szCs w:val="15"/>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which may result in United States federal income tax consequences different from those discussed below. Furthermore, this discussion does not address any aspect of United States federal non-income tax laws, such as gift or estate tax laws, or state, local or non-United States tax laws.</w:t>
      </w:r>
    </w:p>
    <w:p>
      <w:pPr>
        <w:spacing w:after="0" w:line="158" w:lineRule="exact"/>
        <w:rPr>
          <w:sz w:val="20"/>
          <w:szCs w:val="20"/>
          <w:color w:val="auto"/>
        </w:rPr>
      </w:pPr>
    </w:p>
    <w:p>
      <w:pPr>
        <w:jc w:val="both"/>
        <w:ind w:left="460" w:right="200" w:firstLine="379"/>
        <w:spacing w:after="0" w:line="265" w:lineRule="auto"/>
        <w:rPr>
          <w:sz w:val="20"/>
          <w:szCs w:val="20"/>
          <w:color w:val="auto"/>
        </w:rPr>
      </w:pPr>
      <w:r>
        <w:rPr>
          <w:rFonts w:ascii="Times New Roman" w:cs="Times New Roman" w:eastAsia="Times New Roman" w:hAnsi="Times New Roman"/>
          <w:sz w:val="15"/>
          <w:szCs w:val="15"/>
          <w:color w:val="auto"/>
        </w:rPr>
        <w:t>We have not sought, and do not expect to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51"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If a partnership (or other entity or arrangement classified as a partnership or other pass-through entity for United States federal income tax purposes) is the beneficial owner of our securities, the United States federal income tax treatment of a partner, member or other beneficial owner in such partnership or other pass-through entity generally will depend on the status of the partner, member or other beneficial owner and the activities of the partnership or other pass-through entity. If you are a partner, member or other beneficial owner of a partnership or other pass-through entity holding our securities, you are urged to consult your own tax advisor regarding the tax consequences of the acquisition, ownership and disposition of our securities.</w:t>
      </w:r>
    </w:p>
    <w:p>
      <w:pPr>
        <w:spacing w:after="0" w:line="158" w:lineRule="exact"/>
        <w:rPr>
          <w:sz w:val="20"/>
          <w:szCs w:val="20"/>
          <w:color w:val="auto"/>
        </w:rPr>
      </w:pPr>
    </w:p>
    <w:p>
      <w:pPr>
        <w:ind w:left="460" w:right="60" w:firstLine="379"/>
        <w:spacing w:after="0" w:line="256" w:lineRule="auto"/>
        <w:rPr>
          <w:sz w:val="20"/>
          <w:szCs w:val="20"/>
          <w:color w:val="auto"/>
        </w:rPr>
      </w:pPr>
      <w:r>
        <w:rPr>
          <w:rFonts w:ascii="Times New Roman" w:cs="Times New Roman" w:eastAsia="Times New Roman" w:hAnsi="Times New Roman"/>
          <w:sz w:val="15"/>
          <w:szCs w:val="15"/>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NON-UNITED STATES TAX LAWS.</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Allocation of Purchase Price and Characterization of a public Unit</w:t>
      </w:r>
    </w:p>
    <w:p>
      <w:pPr>
        <w:spacing w:after="0" w:line="104" w:lineRule="exact"/>
        <w:rPr>
          <w:sz w:val="20"/>
          <w:szCs w:val="20"/>
          <w:color w:val="auto"/>
        </w:rPr>
      </w:pPr>
    </w:p>
    <w:p>
      <w:pPr>
        <w:ind w:left="460" w:right="80" w:firstLine="379"/>
        <w:spacing w:after="0" w:line="259" w:lineRule="auto"/>
        <w:rPr>
          <w:sz w:val="20"/>
          <w:szCs w:val="20"/>
          <w:color w:val="auto"/>
        </w:rPr>
      </w:pPr>
      <w:r>
        <w:rPr>
          <w:rFonts w:ascii="Times New Roman" w:cs="Times New Roman" w:eastAsia="Times New Roman" w:hAnsi="Times New Roman"/>
          <w:sz w:val="15"/>
          <w:szCs w:val="15"/>
          <w:color w:val="auto"/>
        </w:rPr>
        <w:t>No statutory, administrative or judicial authority directly addresses the treatment of a public unit or any instrument similar to a public unit for United States federal income tax purposes, and therefore, that treatment is not entirely clear. The acquisition of a public unit should be treated for United States federal income tax purposes as the acquisition of one Class A ordinary share and one-tenth, and the company intends to treat the acquisition of a public unit in such manner. By purchasing a public unit, you agree to adopt such treatment for United States</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216</w:t>
      </w:r>
    </w:p>
    <w:p>
      <w:pPr>
        <w:sectPr>
          <w:pgSz w:w="11900" w:h="16840" w:orient="portrait"/>
          <w:cols w:equalWidth="0" w:num="1">
            <w:col w:w="10120"/>
          </w:cols>
          <w:pgMar w:left="660" w:top="874" w:right="1120" w:bottom="1440" w:gutter="0" w:footer="0" w:header="0"/>
        </w:sectPr>
      </w:pPr>
    </w:p>
    <w:bookmarkStart w:id="229" w:name="page230"/>
    <w:bookmarkEnd w:id="2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5"/>
          <w:szCs w:val="15"/>
          <w:color w:val="auto"/>
        </w:rPr>
        <w:t>federal income tax purposes. For United States federal income tax purposes, each holder of a public unit must allocate the purchase price paid by such holder for such public unit between one Class A ordinary share and one-tenth right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one-tenth right should be the shareholder’s initial tax basis in such share and the fraction of a right. Any disposition of a public unit should be treated for United States federal income tax purposes as a disposition of the Class A ordinary share and one-tenth right comprising the public unit, and the amount realized on the disposition should be allocated between the Class A ordinary share and one-tenth right based on their respective fair market values (as determined by each such public unit holder based on all the relevant facts and circumstances) at the time of disposition. The separation of the Class A ordinary share and one-tenth right constituting a public unit should not be a taxable event for United States federal income tax purposes.</w:t>
      </w:r>
    </w:p>
    <w:p>
      <w:pPr>
        <w:spacing w:after="0" w:line="165" w:lineRule="exact"/>
        <w:rPr>
          <w:sz w:val="20"/>
          <w:szCs w:val="20"/>
          <w:color w:val="auto"/>
        </w:rPr>
      </w:pPr>
    </w:p>
    <w:p>
      <w:pPr>
        <w:ind w:left="460" w:right="40" w:firstLine="379"/>
        <w:spacing w:after="0" w:line="256" w:lineRule="auto"/>
        <w:rPr>
          <w:sz w:val="20"/>
          <w:szCs w:val="20"/>
          <w:color w:val="auto"/>
        </w:rPr>
      </w:pPr>
      <w:r>
        <w:rPr>
          <w:rFonts w:ascii="Times New Roman" w:cs="Times New Roman" w:eastAsia="Times New Roman" w:hAnsi="Times New Roman"/>
          <w:sz w:val="15"/>
          <w:szCs w:val="15"/>
          <w:color w:val="auto"/>
        </w:rPr>
        <w:t>The foregoing treatment of the public units, Class A ordinary shares and public rights and a holder’s purchase price allocation are not binding on the IRS or the courts. Because there are no authorities that directly address instruments that are similar to the public units, no assurance can be given that the IRS or the courts will agree with the characterization described above or the discussion below. Accordingly, each prospective investor is urged to consult its tax advisors regarding the tax consequences of an investment in a public unit (including alternative characterizations of a public unit). The balance of this discussion assumes that the characterization of the public units described above will be respected for United States federal income tax purposes.</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U.S. Holders</w:t>
      </w:r>
    </w:p>
    <w:p>
      <w:pPr>
        <w:spacing w:after="0" w:line="104" w:lineRule="exact"/>
        <w:rPr>
          <w:sz w:val="20"/>
          <w:szCs w:val="20"/>
          <w:color w:val="auto"/>
        </w:rPr>
      </w:pPr>
    </w:p>
    <w:p>
      <w:pPr>
        <w:ind w:left="460" w:right="20" w:firstLine="379"/>
        <w:spacing w:after="0" w:line="284" w:lineRule="auto"/>
        <w:rPr>
          <w:sz w:val="20"/>
          <w:szCs w:val="20"/>
          <w:color w:val="auto"/>
        </w:rPr>
      </w:pPr>
      <w:r>
        <w:rPr>
          <w:rFonts w:ascii="Times New Roman" w:cs="Times New Roman" w:eastAsia="Times New Roman" w:hAnsi="Times New Roman"/>
          <w:sz w:val="15"/>
          <w:szCs w:val="15"/>
          <w:color w:val="auto"/>
        </w:rPr>
        <w:t>This section applies to you if you are a “U.S. Holder.” A U.S. Holder is a beneficial owner of our public units, Class A ordinary shares or public rights who or that is, for United States federal income tax purposes:</w:t>
      </w:r>
    </w:p>
    <w:p>
      <w:pPr>
        <w:spacing w:after="0" w:line="66" w:lineRule="exact"/>
        <w:rPr>
          <w:sz w:val="20"/>
          <w:szCs w:val="20"/>
          <w:color w:val="auto"/>
        </w:rPr>
      </w:pPr>
    </w:p>
    <w:p>
      <w:pPr>
        <w:ind w:left="1300" w:hanging="371"/>
        <w:spacing w:after="0"/>
        <w:tabs>
          <w:tab w:leader="none" w:pos="13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123" w:lineRule="exact"/>
        <w:rPr>
          <w:rFonts w:ascii="Times New Roman" w:cs="Times New Roman" w:eastAsia="Times New Roman" w:hAnsi="Times New Roman"/>
          <w:sz w:val="15"/>
          <w:szCs w:val="15"/>
          <w:color w:val="auto"/>
        </w:rPr>
      </w:pPr>
    </w:p>
    <w:p>
      <w:pPr>
        <w:ind w:left="1300" w:right="320" w:hanging="371"/>
        <w:spacing w:after="0" w:line="284" w:lineRule="auto"/>
        <w:tabs>
          <w:tab w:leader="none" w:pos="13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taxable as a corporation for United States federal income tax purposes) organized in or under the laws of the United States, any state thereof or the District of Columbia;</w:t>
      </w:r>
    </w:p>
    <w:p>
      <w:pPr>
        <w:spacing w:after="0" w:line="65"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whose income is subject to United States federal income tax regardless of its source; or</w:t>
      </w:r>
    </w:p>
    <w:p>
      <w:pPr>
        <w:spacing w:after="0" w:line="123" w:lineRule="exact"/>
        <w:rPr>
          <w:rFonts w:ascii="Times New Roman" w:cs="Times New Roman" w:eastAsia="Times New Roman" w:hAnsi="Times New Roman"/>
          <w:sz w:val="15"/>
          <w:szCs w:val="15"/>
          <w:color w:val="auto"/>
        </w:rPr>
      </w:pPr>
    </w:p>
    <w:p>
      <w:pPr>
        <w:ind w:left="1300" w:right="160" w:hanging="371"/>
        <w:spacing w:after="0" w:line="265" w:lineRule="auto"/>
        <w:tabs>
          <w:tab w:leader="none" w:pos="13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Taxation of Distributions</w:t>
      </w:r>
    </w:p>
    <w:p>
      <w:pPr>
        <w:spacing w:after="0" w:line="104"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Subject to the passive foreign investment company (“PFIC”) rules discussed below, a U.S. Holder generally will be required to include in gross income as dividends in the year actually or constructively received by the U.S. Holder the amount of any distribution of cash or other property (other than certain distributions of our shares or rights to acquire our shares) paid on our Class A ordinary shares to the extent the distribution is paid out of our current or accumulated earnings and profits (as determined under United States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(the treatment of which is described under “— Gain or Loss on Sale, Taxable Exchange or Other Taxable Disposition of Class A Ordinary Shares and Rights” below).</w:t>
      </w:r>
    </w:p>
    <w:p>
      <w:pPr>
        <w:spacing w:after="0" w:line="160" w:lineRule="exact"/>
        <w:rPr>
          <w:sz w:val="20"/>
          <w:szCs w:val="20"/>
          <w:color w:val="auto"/>
        </w:rPr>
      </w:pPr>
    </w:p>
    <w:p>
      <w:pPr>
        <w:ind w:left="460" w:right="60" w:firstLine="379"/>
        <w:spacing w:after="0" w:line="284" w:lineRule="auto"/>
        <w:rPr>
          <w:sz w:val="20"/>
          <w:szCs w:val="20"/>
          <w:color w:val="auto"/>
        </w:rPr>
      </w:pPr>
      <w:r>
        <w:rPr>
          <w:rFonts w:ascii="Times New Roman" w:cs="Times New Roman" w:eastAsia="Times New Roman" w:hAnsi="Times New Roman"/>
          <w:sz w:val="15"/>
          <w:szCs w:val="15"/>
          <w:color w:val="auto"/>
        </w:rPr>
        <w:t>Dividends paid by us will be taxable to a corporate U.S. Holder at regular rates and will not be eligible for the dividends-received deduction generally allowed to domestic corporations in respect of dividends received</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217</w:t>
      </w:r>
    </w:p>
    <w:p>
      <w:pPr>
        <w:sectPr>
          <w:pgSz w:w="11900" w:h="16840" w:orient="portrait"/>
          <w:cols w:equalWidth="0" w:num="1">
            <w:col w:w="10120"/>
          </w:cols>
          <w:pgMar w:left="660" w:top="874" w:right="1120" w:bottom="1440" w:gutter="0" w:footer="0" w:header="0"/>
        </w:sectPr>
      </w:pPr>
    </w:p>
    <w:bookmarkStart w:id="230" w:name="page231"/>
    <w:bookmarkEnd w:id="2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54" w:lineRule="auto"/>
        <w:rPr>
          <w:sz w:val="20"/>
          <w:szCs w:val="20"/>
          <w:color w:val="auto"/>
        </w:rPr>
      </w:pPr>
      <w:r>
        <w:rPr>
          <w:rFonts w:ascii="Times New Roman" w:cs="Times New Roman" w:eastAsia="Times New Roman" w:hAnsi="Times New Roman"/>
          <w:sz w:val="15"/>
          <w:szCs w:val="15"/>
          <w:color w:val="auto"/>
        </w:rPr>
        <w:t>from other domestic corporations. With respect to non-corporate U.S. Holders, dividends generally will be taxed at the preferential applicable long-term capital gains rate (see “— Gain or Loss on Sale, Taxable Exchange or Other Taxable Disposition of Class A Ordinary Shares and Rights” below) only if our Class A ordinary shares are readily tradable on an established securities market in the United States, we are not a PFIC at the time the dividend was paid or in the previous year, and certain other requirements are met. It is unclear, however, whether certain redemption rights described in this prospectus may suspend the running of the applicable holding period for this purpose. U.S. Holders should consult their tax advisors regarding the availability of such preferential rate for any dividends paid with respect to our Class A ordinary shares.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Gain or Loss on Sale, Taxable Exchange or Other Taxable Disposition of Public Shares and Public Rights</w:t>
      </w:r>
    </w:p>
    <w:p>
      <w:pPr>
        <w:spacing w:after="0" w:line="104" w:lineRule="exact"/>
        <w:rPr>
          <w:sz w:val="20"/>
          <w:szCs w:val="20"/>
          <w:color w:val="auto"/>
        </w:rPr>
      </w:pPr>
    </w:p>
    <w:p>
      <w:pPr>
        <w:ind w:left="460" w:right="60" w:firstLine="379"/>
        <w:spacing w:after="0" w:line="251" w:lineRule="auto"/>
        <w:rPr>
          <w:sz w:val="20"/>
          <w:szCs w:val="20"/>
          <w:color w:val="auto"/>
        </w:rPr>
      </w:pPr>
      <w:r>
        <w:rPr>
          <w:rFonts w:ascii="Times New Roman" w:cs="Times New Roman" w:eastAsia="Times New Roman" w:hAnsi="Times New Roman"/>
          <w:sz w:val="15"/>
          <w:szCs w:val="15"/>
          <w:color w:val="auto"/>
        </w:rPr>
        <w:t>Subject to the PFIC rules discussed below, a U.S. Holder generally will recognize capital gain or loss on the sale or other taxable disposition of our public shares or public rights (including a redemption of our public shares (as described below) or public rights that is treated as a taxable disposition, including pursuant to our dissolution and liquidation if we do not consummate an initial business combination within the required time period). Any such capital gain or loss generally will be long- term capital gain or loss if the U.S. Holder’s holding period for such public shares or public rights exceeds one year. Long- term capital gain realized by a non -corporate U.S. Holder may be taxed at preferential rates of taxation. It is unclear, however, whether certain redemption rights described in this prospectus may suspend the running of the applicable holding period of the public shares for this purpose. If the running of the holding period for the public shares is suspended, then non-corporate U.S. Holders may not be able to satisfy the one-year holding period requirement for long-term capital gain treatment, in which case any gain on a sale or other taxable disposition of the public shares would be subject to short-term capital gain treatment and would be taxed at regular ordinary income tax rates. The deductibility of capital losses is subject to certain limitations.</w:t>
      </w:r>
    </w:p>
    <w:p>
      <w:pPr>
        <w:spacing w:after="0" w:line="165"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The amount of gain or loss recognized by a U.S. Holder on a sale or other taxable disposition generally will be equal to the difference between (i) the sum of the amount of cash and the fair market value of any property received in such disposition (or, if the public shares or public rights are held as part of units at the time of the disposition, the portion of the amount realized on such disposition that is allocated to the public shares or public rights based upon the then relative fair market values of the public shares and the public rights constituting the public units) and (ii) the U.S. Holder’s adjusted tax basis in its public shares or public rights so disposed of. A U.S. Holder’s adjusted tax basis in its public shares or public rights generally will equal the U.S. Holder’s acquisition cost (that is, the portion of the purchase price of a public unit allocated to a public share or one-tenth right public right, as described above under “— Allocation of Purchase Price and Characterization of a public Unit”) reduced, in the case of a public share, by any prior distributions treated as a return of capital. See “Exercise, Lapse or Redemption of a public Right” below for a discussion regarding a U.S. Holder’s tax basis in the public share acquired pursuant to the exercise of a public right.</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Conversion or Lapse of Rights</w:t>
      </w:r>
    </w:p>
    <w:p>
      <w:pPr>
        <w:spacing w:after="0" w:line="104"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The U.S. federal income tax treatment of the rights is uncertain. The right may be viewed as a forward contract, derivative security or similar interest in us (analogous to a warrant or option with no exercise price), and thus, the U.S. Holder of the right would not be viewed as owning the ordinary shares issuable pursuant to the rights until such ordinary shares are actually issued. There may be other alternative characterizations of the rights that the IRS may successfully assert, including that the rights are treated as equity in us at the time the rights are issued.</w:t>
      </w:r>
    </w:p>
    <w:p>
      <w:pPr>
        <w:spacing w:after="0" w:line="156" w:lineRule="exact"/>
        <w:rPr>
          <w:sz w:val="20"/>
          <w:szCs w:val="20"/>
          <w:color w:val="auto"/>
        </w:rPr>
      </w:pPr>
    </w:p>
    <w:p>
      <w:pPr>
        <w:jc w:val="both"/>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The U.S. federal income tax consequences of a conversion or lapse of rights is uncertain and may depend upon the U.S. federal income tax treatment of an initial business combination. Accordingly, a U.S. Holder should consult with its own tax advisor regarding the tax consequences of an acquisition of ordinary shares pursuant to rights or of a lapse of rights.</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218</w:t>
      </w:r>
    </w:p>
    <w:p>
      <w:pPr>
        <w:sectPr>
          <w:pgSz w:w="11900" w:h="16840" w:orient="portrait"/>
          <w:cols w:equalWidth="0" w:num="1">
            <w:col w:w="10120"/>
          </w:cols>
          <w:pgMar w:left="660" w:top="874" w:right="1120" w:bottom="1440" w:gutter="0" w:footer="0" w:header="0"/>
        </w:sectPr>
      </w:pPr>
    </w:p>
    <w:bookmarkStart w:id="231" w:name="page232"/>
    <w:bookmarkEnd w:id="2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Redemption of Public Shares</w:t>
      </w:r>
    </w:p>
    <w:p>
      <w:pPr>
        <w:spacing w:after="0" w:line="104"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Subject to the PFIC rules discussed below, in the event that a U.S. Holder’s public shares are redeemed pursuant to the redemption provisions described in the section of this prospectus entitled “</w:t>
      </w:r>
      <w:r>
        <w:rPr>
          <w:rFonts w:ascii="Times New Roman" w:cs="Times New Roman" w:eastAsia="Times New Roman" w:hAnsi="Times New Roman"/>
          <w:sz w:val="15"/>
          <w:szCs w:val="15"/>
          <w:i w:val="1"/>
          <w:iCs w:val="1"/>
          <w:color w:val="auto"/>
        </w:rPr>
        <w:t>Description of Securities — Ordinary Shares</w:t>
      </w:r>
      <w:r>
        <w:rPr>
          <w:rFonts w:ascii="Times New Roman" w:cs="Times New Roman" w:eastAsia="Times New Roman" w:hAnsi="Times New Roman"/>
          <w:sz w:val="15"/>
          <w:szCs w:val="15"/>
          <w:color w:val="auto"/>
        </w:rPr>
        <w:t xml:space="preserve">” or if we purchase a U.S. Holder’s public shares in an open market transaction (such open market purchase of public shares by us referred to as a “redemption” for the remainder of this discussion), the treatment of the transaction for United States federal income tax purposes will depend on whether the redemption qualifies as a sale of the public shares under Section 302 of the Code. If the redemption qualifies as a sale of public shares, the U.S. Holder will be treated as described under “ </w:t>
      </w:r>
      <w:r>
        <w:rPr>
          <w:rFonts w:ascii="Times New Roman" w:cs="Times New Roman" w:eastAsia="Times New Roman" w:hAnsi="Times New Roman"/>
          <w:sz w:val="15"/>
          <w:szCs w:val="15"/>
          <w:i w:val="1"/>
          <w:iCs w:val="1"/>
          <w:color w:val="auto"/>
        </w:rPr>
        <w:t>— Gain or Loss on Sale, Taxable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Exchange or Other Taxable Disposition of public Shares and Public Rights</w:t>
      </w:r>
      <w:r>
        <w:rPr>
          <w:rFonts w:ascii="Times New Roman" w:cs="Times New Roman" w:eastAsia="Times New Roman" w:hAnsi="Times New Roman"/>
          <w:sz w:val="15"/>
          <w:szCs w:val="15"/>
          <w:color w:val="auto"/>
        </w:rPr>
        <w:t>” above. If the redemption does not qualify as a sale of public shares, the 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Holder will be treated as receiving a corporate distribution with the tax consequences described above under “ </w:t>
      </w:r>
      <w:r>
        <w:rPr>
          <w:rFonts w:ascii="Times New Roman" w:cs="Times New Roman" w:eastAsia="Times New Roman" w:hAnsi="Times New Roman"/>
          <w:sz w:val="15"/>
          <w:szCs w:val="15"/>
          <w:i w:val="1"/>
          <w:iCs w:val="1"/>
          <w:color w:val="auto"/>
        </w:rPr>
        <w:t>— Taxation of Distributions</w:t>
      </w:r>
      <w:r>
        <w:rPr>
          <w:rFonts w:ascii="Times New Roman" w:cs="Times New Roman" w:eastAsia="Times New Roman" w:hAnsi="Times New Roman"/>
          <w:sz w:val="15"/>
          <w:szCs w:val="15"/>
          <w:color w:val="auto"/>
        </w:rPr>
        <w:t>.” Whether a redemption qualifies for sale treatment will depend largely on the total number of our shares treated as held by the U.S. Holder (including any shares constructively owned by the U.S. Holder described in the following paragraph, including as a result of owning rights) relative to all of our shares outstanding both before and after such redemption. A redemption of public shares generally will be treated as a sale of the public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5" w:lineRule="exact"/>
        <w:rPr>
          <w:sz w:val="20"/>
          <w:szCs w:val="20"/>
          <w:color w:val="auto"/>
        </w:rPr>
      </w:pPr>
    </w:p>
    <w:p>
      <w:pPr>
        <w:ind w:left="460" w:firstLine="379"/>
        <w:spacing w:after="0" w:line="249" w:lineRule="auto"/>
        <w:rPr>
          <w:sz w:val="20"/>
          <w:szCs w:val="20"/>
          <w:color w:val="auto"/>
        </w:rPr>
      </w:pPr>
      <w:r>
        <w:rPr>
          <w:rFonts w:ascii="Times New Roman" w:cs="Times New Roman" w:eastAsia="Times New Roman" w:hAnsi="Times New Roman"/>
          <w:sz w:val="15"/>
          <w:szCs w:val="15"/>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generally would include public shares which could be acquired by such U.S. Holder pursuant to the exercise of the rights. In order to meet the substantially disproportionate test, the percentage of our issued and outstanding voting shares actually and constructively owned by the U.S. Holder immediately following the redemption of public shares must, among other requirements, be less than 80% of the percentage of our issued and outstanding voting shares actually and constructively owned by the U.S. Holder immediately before the redemption. Prior to our initial business combination the public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(including any shares constructively owned by the U.S. Holder as a result of owning our rights). The redemption of the public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any public shares.</w:t>
      </w:r>
    </w:p>
    <w:p>
      <w:pPr>
        <w:spacing w:after="0" w:line="168" w:lineRule="exact"/>
        <w:rPr>
          <w:sz w:val="20"/>
          <w:szCs w:val="20"/>
          <w:color w:val="auto"/>
        </w:rPr>
      </w:pPr>
    </w:p>
    <w:p>
      <w:pPr>
        <w:ind w:left="460" w:right="60" w:firstLine="379"/>
        <w:spacing w:after="0" w:line="259" w:lineRule="auto"/>
        <w:rPr>
          <w:sz w:val="20"/>
          <w:szCs w:val="20"/>
          <w:color w:val="auto"/>
        </w:rPr>
      </w:pPr>
      <w:r>
        <w:rPr>
          <w:rFonts w:ascii="Times New Roman" w:cs="Times New Roman" w:eastAsia="Times New Roman" w:hAnsi="Times New Roman"/>
          <w:sz w:val="15"/>
          <w:szCs w:val="15"/>
          <w:color w:val="auto"/>
        </w:rPr>
        <w:t xml:space="preserve">If none of the foregoing tests are satisfied, then the redemption of any public shares will be treated as a corporate distribution and the tax effects will be as described under “ </w:t>
      </w:r>
      <w:r>
        <w:rPr>
          <w:rFonts w:ascii="Times New Roman" w:cs="Times New Roman" w:eastAsia="Times New Roman" w:hAnsi="Times New Roman"/>
          <w:sz w:val="15"/>
          <w:szCs w:val="15"/>
          <w:i w:val="1"/>
          <w:iCs w:val="1"/>
          <w:color w:val="auto"/>
        </w:rPr>
        <w:t>— Taxation of Distributions</w:t>
      </w:r>
      <w:r>
        <w:rPr>
          <w:rFonts w:ascii="Times New Roman" w:cs="Times New Roman" w:eastAsia="Times New Roman" w:hAnsi="Times New Roman"/>
          <w:sz w:val="15"/>
          <w:szCs w:val="15"/>
          <w:color w:val="auto"/>
        </w:rPr>
        <w:t>” above. After the application of those rules, any remaining tax basis of the U.S. Holder in the redeemed public shares will be added to the U.S. Holder’s adjusted tax basis in its remaining shares, or, if it has none, to the U.S. Holder’s adjusted tax basis in its rights or possibly in other shares constructively owned by it.</w:t>
      </w:r>
    </w:p>
    <w:p>
      <w:pPr>
        <w:spacing w:after="0" w:line="156" w:lineRule="exact"/>
        <w:rPr>
          <w:sz w:val="20"/>
          <w:szCs w:val="20"/>
          <w:color w:val="auto"/>
        </w:rPr>
      </w:pPr>
    </w:p>
    <w:p>
      <w:pPr>
        <w:ind w:left="460" w:right="80" w:firstLine="379"/>
        <w:spacing w:after="0" w:line="265" w:lineRule="auto"/>
        <w:rPr>
          <w:sz w:val="20"/>
          <w:szCs w:val="20"/>
          <w:color w:val="auto"/>
        </w:rPr>
      </w:pPr>
      <w:r>
        <w:rPr>
          <w:rFonts w:ascii="Times New Roman" w:cs="Times New Roman" w:eastAsia="Times New Roman" w:hAnsi="Times New Roman"/>
          <w:sz w:val="15"/>
          <w:szCs w:val="15"/>
          <w:color w:val="auto"/>
        </w:rPr>
        <w:t>U.S. holders who actually or constructively own five percent (or, if our public shares are not then publicly traded, one percent) or more of our shares (by vote or value) may be subject to special reporting requirements with respect to a redemption of public shares, and such holders are urged to consult with their own tax advisors with respect to their reporting requirements.</w:t>
      </w:r>
    </w:p>
    <w:p>
      <w:pPr>
        <w:spacing w:after="0" w:line="1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219</w:t>
      </w:r>
    </w:p>
    <w:p>
      <w:pPr>
        <w:sectPr>
          <w:pgSz w:w="11900" w:h="16840" w:orient="portrait"/>
          <w:cols w:equalWidth="0" w:num="1">
            <w:col w:w="10140"/>
          </w:cols>
          <w:pgMar w:left="660" w:top="874" w:right="1100" w:bottom="1440" w:gutter="0" w:footer="0" w:header="0"/>
        </w:sectPr>
      </w:pPr>
    </w:p>
    <w:bookmarkStart w:id="232" w:name="page233"/>
    <w:bookmarkEnd w:id="2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Passive Foreign Investment Company Rules</w:t>
      </w:r>
    </w:p>
    <w:p>
      <w:pPr>
        <w:spacing w:after="0" w:line="104" w:lineRule="exact"/>
        <w:rPr>
          <w:sz w:val="20"/>
          <w:szCs w:val="20"/>
          <w:color w:val="auto"/>
        </w:rPr>
      </w:pPr>
    </w:p>
    <w:p>
      <w:pPr>
        <w:ind w:left="460" w:right="60" w:firstLine="379"/>
        <w:spacing w:after="0" w:line="254" w:lineRule="auto"/>
        <w:rPr>
          <w:sz w:val="20"/>
          <w:szCs w:val="20"/>
          <w:color w:val="auto"/>
        </w:rPr>
      </w:pPr>
      <w:r>
        <w:rPr>
          <w:rFonts w:ascii="Times New Roman" w:cs="Times New Roman" w:eastAsia="Times New Roman" w:hAnsi="Times New Roman"/>
          <w:sz w:val="15"/>
          <w:szCs w:val="15"/>
          <w:color w:val="auto"/>
        </w:rPr>
        <w:t>A foreign (i.e., non -U.S.)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w:t>
      </w:r>
    </w:p>
    <w:p>
      <w:pPr>
        <w:spacing w:after="0" w:line="160"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The applicability of the startup exception to us is uncertain and will not be known until after the close of our current taxable year and, perhaps, until after the end of our two taxable years following our startup year.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will not be determinable until after the end of such taxable year (and, in the case of the startup exception to our current taxable year, perhaps until after the end of our two taxable years following our startup year). Accordingly, there can be no assurance with respect to our status as a PFIC for our current taxable year or any future taxable year. In addition, our U.S. counsel expresses no opinion with respect to our PFIC status for our current or future taxable years.</w:t>
      </w:r>
    </w:p>
    <w:p>
      <w:pPr>
        <w:spacing w:after="0" w:line="165" w:lineRule="exact"/>
        <w:rPr>
          <w:sz w:val="20"/>
          <w:szCs w:val="20"/>
          <w:color w:val="auto"/>
        </w:rPr>
      </w:pPr>
    </w:p>
    <w:p>
      <w:pPr>
        <w:ind w:left="460" w:right="40" w:firstLine="379"/>
        <w:spacing w:after="0" w:line="250" w:lineRule="auto"/>
        <w:rPr>
          <w:sz w:val="20"/>
          <w:szCs w:val="20"/>
          <w:color w:val="auto"/>
        </w:rPr>
      </w:pPr>
      <w:r>
        <w:rPr>
          <w:rFonts w:ascii="Times New Roman" w:cs="Times New Roman" w:eastAsia="Times New Roman" w:hAnsi="Times New Roman"/>
          <w:sz w:val="15"/>
          <w:szCs w:val="15"/>
          <w:color w:val="auto"/>
        </w:rPr>
        <w:t>Although our PFIC status is determined annually, an initial determination that our company is a PFIC generally will apply for subsequent years to a U.S. Holder who held Class A ordinary shares or rights while we were a PFIC, whether or not we meet the test for PFIC status in those subsequent years. If we are determined to be a PFIC for any taxable year (or portion thereof) that is included in the holding period of a U.S. Holder of our Class A ordinary shares or rights and, in the case of our Class A ordinary shares, the U.S. Holder did not make either a timely mark-to-market election or a qualified electing fund (“QEF”)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rights (which may include gain realized by reason of transfers of Class A ordinary shares or rights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Under these rules:</w:t>
      </w:r>
    </w:p>
    <w:p>
      <w:pPr>
        <w:spacing w:after="0" w:line="124" w:lineRule="exact"/>
        <w:rPr>
          <w:sz w:val="20"/>
          <w:szCs w:val="20"/>
          <w:color w:val="auto"/>
        </w:rPr>
      </w:pPr>
    </w:p>
    <w:p>
      <w:pPr>
        <w:ind w:left="1300" w:right="40" w:hanging="371"/>
        <w:spacing w:after="0" w:line="284" w:lineRule="auto"/>
        <w:tabs>
          <w:tab w:leader="none" w:pos="13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 Holder’s gain or excess distribution will be allocated ratably over the U.S. Holder’s holding period for the Class A ordinary shares or rights;</w:t>
      </w:r>
    </w:p>
    <w:p>
      <w:pPr>
        <w:spacing w:after="0" w:line="65" w:lineRule="exact"/>
        <w:rPr>
          <w:rFonts w:ascii="Times New Roman" w:cs="Times New Roman" w:eastAsia="Times New Roman" w:hAnsi="Times New Roman"/>
          <w:sz w:val="15"/>
          <w:szCs w:val="15"/>
          <w:color w:val="auto"/>
        </w:rPr>
      </w:pPr>
    </w:p>
    <w:p>
      <w:pPr>
        <w:ind w:left="1300" w:right="100" w:hanging="371"/>
        <w:spacing w:after="0" w:line="265" w:lineRule="auto"/>
        <w:tabs>
          <w:tab w:leader="none" w:pos="13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220</w:t>
      </w:r>
    </w:p>
    <w:p>
      <w:pPr>
        <w:sectPr>
          <w:pgSz w:w="11900" w:h="16840" w:orient="portrait"/>
          <w:cols w:equalWidth="0" w:num="1">
            <w:col w:w="10080"/>
          </w:cols>
          <w:pgMar w:left="660" w:top="874" w:right="1160" w:bottom="1440" w:gutter="0" w:footer="0" w:header="0"/>
        </w:sectPr>
      </w:pPr>
    </w:p>
    <w:bookmarkStart w:id="233" w:name="page234"/>
    <w:bookmarkEnd w:id="2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1300" w:right="100" w:hanging="371"/>
        <w:spacing w:after="0" w:line="265" w:lineRule="auto"/>
        <w:tabs>
          <w:tab w:leader="none" w:pos="13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80" w:lineRule="exact"/>
        <w:rPr>
          <w:rFonts w:ascii="Times New Roman" w:cs="Times New Roman" w:eastAsia="Times New Roman" w:hAnsi="Times New Roman"/>
          <w:sz w:val="15"/>
          <w:szCs w:val="15"/>
          <w:color w:val="auto"/>
        </w:rPr>
      </w:pPr>
    </w:p>
    <w:p>
      <w:pPr>
        <w:ind w:left="1300" w:right="20" w:hanging="371"/>
        <w:spacing w:after="0" w:line="284" w:lineRule="auto"/>
        <w:tabs>
          <w:tab w:leader="none" w:pos="13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additional amount equal to the interest charge generally applicable to underpayments of tax will be imposed on the U.S. Holder with respect to the tax attributable to each such other taxable year of the U.S. Holder.</w:t>
      </w:r>
    </w:p>
    <w:p>
      <w:pPr>
        <w:spacing w:after="0" w:line="137" w:lineRule="exact"/>
        <w:rPr>
          <w:sz w:val="20"/>
          <w:szCs w:val="20"/>
          <w:color w:val="auto"/>
        </w:rPr>
      </w:pPr>
    </w:p>
    <w:p>
      <w:pPr>
        <w:ind w:left="460" w:right="100" w:firstLine="379"/>
        <w:spacing w:after="0" w:line="256" w:lineRule="auto"/>
        <w:rPr>
          <w:sz w:val="20"/>
          <w:szCs w:val="20"/>
          <w:color w:val="auto"/>
        </w:rPr>
      </w:pPr>
      <w:r>
        <w:rPr>
          <w:rFonts w:ascii="Times New Roman" w:cs="Times New Roman" w:eastAsia="Times New Roman" w:hAnsi="Times New Roman"/>
          <w:sz w:val="15"/>
          <w:szCs w:val="15"/>
          <w:color w:val="auto"/>
        </w:rPr>
        <w:t>In general, if we are determined to be a PFIC, a U.S. Holder may be able to avoid the PFIC tax consequences described above in respect of our Class A ordinary shares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58" w:lineRule="exact"/>
        <w:rPr>
          <w:sz w:val="20"/>
          <w:szCs w:val="20"/>
          <w:color w:val="auto"/>
        </w:rPr>
      </w:pPr>
    </w:p>
    <w:p>
      <w:pPr>
        <w:ind w:left="460" w:right="60" w:firstLine="379"/>
        <w:spacing w:after="0" w:line="253" w:lineRule="auto"/>
        <w:rPr>
          <w:sz w:val="20"/>
          <w:szCs w:val="20"/>
          <w:color w:val="auto"/>
        </w:rPr>
      </w:pPr>
      <w:r>
        <w:rPr>
          <w:rFonts w:ascii="Times New Roman" w:cs="Times New Roman" w:eastAsia="Times New Roman" w:hAnsi="Times New Roman"/>
          <w:sz w:val="15"/>
          <w:szCs w:val="15"/>
          <w:color w:val="auto"/>
        </w:rPr>
        <w:t>If a U.S. Holder makes a QEF election with respect to its Class A ordinary shares in a year after our first taxable year as a PFIC in which the U.S. Holder held (or was deemed to hold) Class A ordinary shares, then notwithstanding such QEF election, the rules relating to “excess distributions” discussed above, adjusted to take into account the current income inclusions resulting from the QEF election, will continue to apply with respect to such U.S. Holder’s Class A ordinary shares,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additional basis (to the extent of any gain recognized on the deemed sale) and, solely for purposes of the PFIC rules, a new holding period in the Class A ordinary shares.</w:t>
      </w:r>
    </w:p>
    <w:p>
      <w:pPr>
        <w:spacing w:after="0" w:line="160" w:lineRule="exact"/>
        <w:rPr>
          <w:sz w:val="20"/>
          <w:szCs w:val="20"/>
          <w:color w:val="auto"/>
        </w:rPr>
      </w:pPr>
    </w:p>
    <w:p>
      <w:pPr>
        <w:ind w:left="460" w:right="100" w:firstLine="379"/>
        <w:spacing w:after="0" w:line="254" w:lineRule="auto"/>
        <w:rPr>
          <w:sz w:val="20"/>
          <w:szCs w:val="20"/>
          <w:color w:val="auto"/>
        </w:rPr>
      </w:pPr>
      <w:r>
        <w:rPr>
          <w:rFonts w:ascii="Times New Roman" w:cs="Times New Roman" w:eastAsia="Times New Roman" w:hAnsi="Times New Roman"/>
          <w:sz w:val="15"/>
          <w:szCs w:val="15"/>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60"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58" w:lineRule="exact"/>
        <w:rPr>
          <w:sz w:val="20"/>
          <w:szCs w:val="20"/>
          <w:color w:val="auto"/>
        </w:rPr>
      </w:pPr>
    </w:p>
    <w:p>
      <w:pPr>
        <w:ind w:left="460" w:firstLine="379"/>
        <w:spacing w:after="0" w:line="253" w:lineRule="auto"/>
        <w:rPr>
          <w:sz w:val="20"/>
          <w:szCs w:val="20"/>
          <w:color w:val="auto"/>
        </w:rPr>
      </w:pPr>
      <w:r>
        <w:rPr>
          <w:rFonts w:ascii="Times New Roman" w:cs="Times New Roman" w:eastAsia="Times New Roman" w:hAnsi="Times New Roman"/>
          <w:sz w:val="15"/>
          <w:szCs w:val="15"/>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w:t>
      </w:r>
    </w:p>
    <w:p>
      <w:pPr>
        <w:spacing w:after="0" w:line="1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221</w:t>
      </w:r>
    </w:p>
    <w:p>
      <w:pPr>
        <w:sectPr>
          <w:pgSz w:w="11900" w:h="16840" w:orient="portrait"/>
          <w:cols w:equalWidth="0" w:num="1">
            <w:col w:w="10140"/>
          </w:cols>
          <w:pgMar w:left="660" w:top="874" w:right="1100" w:bottom="1440" w:gutter="0" w:footer="0" w:header="0"/>
        </w:sectPr>
      </w:pPr>
    </w:p>
    <w:bookmarkStart w:id="234" w:name="page235"/>
    <w:bookmarkEnd w:id="2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jc w:val="both"/>
        <w:ind w:left="460" w:right="100"/>
        <w:spacing w:after="0" w:line="265" w:lineRule="auto"/>
        <w:rPr>
          <w:sz w:val="20"/>
          <w:szCs w:val="20"/>
          <w:color w:val="auto"/>
        </w:rPr>
      </w:pPr>
      <w:r>
        <w:rPr>
          <w:rFonts w:ascii="Times New Roman" w:cs="Times New Roman" w:eastAsia="Times New Roman" w:hAnsi="Times New Roman"/>
          <w:sz w:val="15"/>
          <w:szCs w:val="15"/>
          <w:color w:val="auto"/>
        </w:rPr>
        <w:t>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51" w:lineRule="exact"/>
        <w:rPr>
          <w:sz w:val="20"/>
          <w:szCs w:val="20"/>
          <w:color w:val="auto"/>
        </w:rPr>
      </w:pPr>
    </w:p>
    <w:p>
      <w:pPr>
        <w:ind w:left="460" w:firstLine="379"/>
        <w:spacing w:after="0" w:line="249" w:lineRule="auto"/>
        <w:rPr>
          <w:sz w:val="20"/>
          <w:szCs w:val="20"/>
          <w:color w:val="auto"/>
        </w:rPr>
      </w:pPr>
      <w:r>
        <w:rPr>
          <w:rFonts w:ascii="Times New Roman" w:cs="Times New Roman" w:eastAsia="Times New Roman" w:hAnsi="Times New Roman"/>
          <w:sz w:val="15"/>
          <w:szCs w:val="15"/>
          <w:color w:val="auto"/>
        </w:rPr>
        <w:t>Alternatively, if a U.S. Holder, at the close of its taxable year, owns shares in a PFIC that are treated as marketable stock, the U.S. Holder may make a mark- to-market election with respect to such shares for such taxable year. If the U.S. Holder makes a validmark-to-market election for the first taxable year of the U.S. Holder in which the U.S. Holder holds (or is deemed to hold) Class A ordinary shares in us and for which we are determined to be a PFIC, such U.S. Holder generally will not be subject to the PFIC rules described above in respect of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 -to-market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 market election may not be made with respect to rights. Themark-to-market election is available only for stock that is regularly traded on a national securities exchange that is registered with the Securities and Exchange Commission, including the Nasdaq Global Market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U.S. Holders are urged to consult their own tax advisors regarding the availability and tax consequences of a mark-to-market election in respect to our Class A ordinary shares under their particular circumstances.</w:t>
      </w:r>
    </w:p>
    <w:p>
      <w:pPr>
        <w:spacing w:after="0" w:line="168" w:lineRule="exact"/>
        <w:rPr>
          <w:sz w:val="20"/>
          <w:szCs w:val="20"/>
          <w:color w:val="auto"/>
        </w:rPr>
      </w:pPr>
    </w:p>
    <w:p>
      <w:pPr>
        <w:ind w:left="460" w:firstLine="379"/>
        <w:spacing w:after="0" w:line="252" w:lineRule="auto"/>
        <w:rPr>
          <w:sz w:val="20"/>
          <w:szCs w:val="20"/>
          <w:color w:val="auto"/>
        </w:rPr>
      </w:pPr>
      <w:r>
        <w:rPr>
          <w:rFonts w:ascii="Times New Roman" w:cs="Times New Roman" w:eastAsia="Times New Roman" w:hAnsi="Times New Roman"/>
          <w:sz w:val="15"/>
          <w:szCs w:val="15"/>
          <w:color w:val="auto"/>
        </w:rPr>
        <w:t>If we are a PFIC and, at any time, have a foreign subsidiary that is classified as a PFIC, U.S. Holders generally would be deemed to own a portion of the shares of such lower- 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162" w:lineRule="exact"/>
        <w:rPr>
          <w:sz w:val="20"/>
          <w:szCs w:val="20"/>
          <w:color w:val="auto"/>
        </w:rPr>
      </w:pPr>
    </w:p>
    <w:p>
      <w:pPr>
        <w:ind w:left="460" w:right="180" w:firstLine="379"/>
        <w:spacing w:after="0" w:line="265" w:lineRule="auto"/>
        <w:rPr>
          <w:sz w:val="20"/>
          <w:szCs w:val="20"/>
          <w:color w:val="auto"/>
        </w:rPr>
      </w:pPr>
      <w:r>
        <w:rPr>
          <w:rFonts w:ascii="Times New Roman" w:cs="Times New Roman" w:eastAsia="Times New Roman" w:hAnsi="Times New Roman"/>
          <w:sz w:val="15"/>
          <w:szCs w:val="15"/>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51"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The rules dealing with PFICs and with the QEF, purging, and mark-to-market elections are very complex and are affected by various factors in addition to those described above. Accordingly, U.S. Holders of our Class A ordinary shares and rights should consult their own tax advisors concerning the application of the PFIC rules to our Class A ordinary shares and rights under their particular circumstances.</w:t>
      </w:r>
    </w:p>
    <w:p>
      <w:pPr>
        <w:spacing w:after="0" w:line="1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222</w:t>
      </w:r>
    </w:p>
    <w:p>
      <w:pPr>
        <w:sectPr>
          <w:pgSz w:w="11900" w:h="16840" w:orient="portrait"/>
          <w:cols w:equalWidth="0" w:num="1">
            <w:col w:w="10120"/>
          </w:cols>
          <w:pgMar w:left="660" w:top="874" w:right="1120" w:bottom="1440" w:gutter="0" w:footer="0" w:header="0"/>
        </w:sectPr>
      </w:pPr>
    </w:p>
    <w:bookmarkStart w:id="235" w:name="page236"/>
    <w:bookmarkEnd w:id="2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Non-U.S. Holders</w:t>
      </w:r>
    </w:p>
    <w:p>
      <w:pPr>
        <w:spacing w:after="0" w:line="104"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This section applies to you if you are a “Non- U.S. Holder.” As used herein, the term “Non -U.S. Holder” means a beneficial owner of our public units, Class A ordinary shares or public rights (other than a partnership or other entity or arrangement treated as a partnership for U.S. federal income tax purposes) that is for United States federal income tax purposes:</w:t>
      </w:r>
    </w:p>
    <w:p>
      <w:pPr>
        <w:spacing w:after="0" w:line="80" w:lineRule="exact"/>
        <w:rPr>
          <w:sz w:val="20"/>
          <w:szCs w:val="20"/>
          <w:color w:val="auto"/>
        </w:rPr>
      </w:pPr>
    </w:p>
    <w:p>
      <w:pPr>
        <w:ind w:left="1300" w:hanging="371"/>
        <w:spacing w:after="0"/>
        <w:tabs>
          <w:tab w:leader="none" w:pos="13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non-resident alien individual (other than certain former citizens and residents of the United States subject to U.S. tax as expatriates);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foreign corporation; or</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or trust that is not a U.S. Holder;</w:t>
      </w:r>
    </w:p>
    <w:p>
      <w:pPr>
        <w:spacing w:after="0" w:line="195" w:lineRule="exact"/>
        <w:rPr>
          <w:sz w:val="20"/>
          <w:szCs w:val="20"/>
          <w:color w:val="auto"/>
        </w:rPr>
      </w:pPr>
    </w:p>
    <w:p>
      <w:pPr>
        <w:ind w:left="460"/>
        <w:spacing w:after="0" w:line="265" w:lineRule="auto"/>
        <w:rPr>
          <w:sz w:val="20"/>
          <w:szCs w:val="20"/>
          <w:color w:val="auto"/>
        </w:rPr>
      </w:pPr>
      <w:r>
        <w:rPr>
          <w:rFonts w:ascii="Times New Roman" w:cs="Times New Roman" w:eastAsia="Times New Roman" w:hAnsi="Times New Roman"/>
          <w:sz w:val="15"/>
          <w:szCs w:val="15"/>
          <w:color w:val="auto"/>
        </w:rPr>
        <w:t>but generally does not include an individual who is present in the United States for 183 days or more in the taxable year of the disposition of our public units, Class A ordinary shares or public rights. If you are such an individual, you should consult your tax advisor regarding the United States federal income tax consequences of the acquisition, ownership and disposition of our securities.</w:t>
      </w:r>
    </w:p>
    <w:p>
      <w:pPr>
        <w:spacing w:after="0" w:line="151" w:lineRule="exact"/>
        <w:rPr>
          <w:sz w:val="20"/>
          <w:szCs w:val="20"/>
          <w:color w:val="auto"/>
        </w:rPr>
      </w:pPr>
    </w:p>
    <w:p>
      <w:pPr>
        <w:ind w:left="460" w:right="60" w:firstLine="379"/>
        <w:spacing w:after="0" w:line="251" w:lineRule="auto"/>
        <w:rPr>
          <w:sz w:val="20"/>
          <w:szCs w:val="20"/>
          <w:color w:val="auto"/>
        </w:rPr>
      </w:pPr>
      <w:r>
        <w:rPr>
          <w:rFonts w:ascii="Times New Roman" w:cs="Times New Roman" w:eastAsia="Times New Roman" w:hAnsi="Times New Roman"/>
          <w:sz w:val="15"/>
          <w:szCs w:val="15"/>
          <w:color w:val="auto"/>
        </w:rPr>
        <w:t>The determination of the extent to which a distribution will be treated as a dividend, return of capital or gain from the sale of Class A ordinary shares is generally the same for Non-U.S. Holders as that described in “—</w:t>
      </w:r>
      <w:r>
        <w:rPr>
          <w:rFonts w:ascii="Times New Roman" w:cs="Times New Roman" w:eastAsia="Times New Roman" w:hAnsi="Times New Roman"/>
          <w:sz w:val="15"/>
          <w:szCs w:val="15"/>
          <w:i w:val="1"/>
          <w:iCs w:val="1"/>
          <w:color w:val="auto"/>
        </w:rPr>
        <w:t>U.S. Holders—Taxation of Distributions</w:t>
      </w:r>
      <w:r>
        <w:rPr>
          <w:rFonts w:ascii="Times New Roman" w:cs="Times New Roman" w:eastAsia="Times New Roman" w:hAnsi="Times New Roman"/>
          <w:sz w:val="15"/>
          <w:szCs w:val="15"/>
          <w:color w:val="auto"/>
        </w:rPr>
        <w:t xml:space="preserve">”. Dividends (including, as described under “— </w:t>
      </w:r>
      <w:r>
        <w:rPr>
          <w:rFonts w:ascii="Times New Roman" w:cs="Times New Roman" w:eastAsia="Times New Roman" w:hAnsi="Times New Roman"/>
          <w:sz w:val="15"/>
          <w:szCs w:val="15"/>
          <w:i w:val="1"/>
          <w:iCs w:val="1"/>
          <w:color w:val="auto"/>
        </w:rPr>
        <w:t>U.S. Holders — Possible Constructive Distributions</w:t>
      </w:r>
      <w:r>
        <w:rPr>
          <w:rFonts w:ascii="Times New Roman" w:cs="Times New Roman" w:eastAsia="Times New Roman" w:hAnsi="Times New Roman"/>
          <w:sz w:val="15"/>
          <w:szCs w:val="15"/>
          <w:color w:val="auto"/>
        </w:rPr>
        <w:t>” above, constructive distributions treated as dividends) paid or deemed paid to aNon-U.S. Holder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rights unless such gain is effectively connected with its conduct of a trade or business in the United States (and, if required by an applicable income tax treaty, is attributable to a permanent establishment or fixed base that such Non-U.S. Holder maintains in the United States).</w:t>
      </w:r>
    </w:p>
    <w:p>
      <w:pPr>
        <w:spacing w:after="0" w:line="165" w:lineRule="exact"/>
        <w:rPr>
          <w:sz w:val="20"/>
          <w:szCs w:val="20"/>
          <w:color w:val="auto"/>
        </w:rPr>
      </w:pPr>
    </w:p>
    <w:p>
      <w:pPr>
        <w:ind w:left="460" w:right="80" w:firstLine="379"/>
        <w:spacing w:after="0" w:line="254" w:lineRule="auto"/>
        <w:rPr>
          <w:sz w:val="20"/>
          <w:szCs w:val="20"/>
          <w:color w:val="auto"/>
        </w:rPr>
      </w:pPr>
      <w:r>
        <w:rPr>
          <w:rFonts w:ascii="Times New Roman" w:cs="Times New Roman" w:eastAsia="Times New Roman" w:hAnsi="Times New Roman"/>
          <w:sz w:val="15"/>
          <w:szCs w:val="15"/>
          <w:color w:val="auto"/>
        </w:rPr>
        <w:t>Dividends (including, as described under “— U.S. Holders — Possible Constructive Distributions” above,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Information Reporting and Backup Withholding</w:t>
      </w:r>
    </w:p>
    <w:p>
      <w:pPr>
        <w:spacing w:after="0" w:line="104" w:lineRule="exact"/>
        <w:rPr>
          <w:sz w:val="20"/>
          <w:szCs w:val="20"/>
          <w:color w:val="auto"/>
        </w:rPr>
      </w:pPr>
    </w:p>
    <w:p>
      <w:pPr>
        <w:ind w:left="460" w:right="140" w:firstLine="379"/>
        <w:spacing w:after="0" w:line="256" w:lineRule="auto"/>
        <w:rPr>
          <w:sz w:val="20"/>
          <w:szCs w:val="20"/>
          <w:color w:val="auto"/>
        </w:rPr>
      </w:pPr>
      <w:r>
        <w:rPr>
          <w:rFonts w:ascii="Times New Roman" w:cs="Times New Roman" w:eastAsia="Times New Roman" w:hAnsi="Times New Roman"/>
          <w:sz w:val="15"/>
          <w:szCs w:val="15"/>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backup withholding by providing certification of its foreign status, under penalties of perjury, on a duly executed applicable IRS Form W-8 or by otherwise establishing an exemption.</w:t>
      </w:r>
    </w:p>
    <w:p>
      <w:pPr>
        <w:spacing w:after="0" w:line="158" w:lineRule="exact"/>
        <w:rPr>
          <w:sz w:val="20"/>
          <w:szCs w:val="20"/>
          <w:color w:val="auto"/>
        </w:rPr>
      </w:pPr>
    </w:p>
    <w:p>
      <w:pPr>
        <w:ind w:left="460" w:right="420" w:firstLine="379"/>
        <w:spacing w:after="0" w:line="284" w:lineRule="auto"/>
        <w:rPr>
          <w:sz w:val="20"/>
          <w:szCs w:val="20"/>
          <w:color w:val="auto"/>
        </w:rPr>
      </w:pPr>
      <w:r>
        <w:rPr>
          <w:rFonts w:ascii="Times New Roman" w:cs="Times New Roman" w:eastAsia="Times New Roman" w:hAnsi="Times New Roman"/>
          <w:sz w:val="15"/>
          <w:szCs w:val="15"/>
          <w:color w:val="auto"/>
        </w:rPr>
        <w:t>Backup withholding is not an additional tax. Amounts withheld as backup withholding may be credited against a holder’s United States federal income tax liability, and a holder generally may obtain a refund of any</w:t>
      </w:r>
    </w:p>
    <w:p>
      <w:pPr>
        <w:spacing w:after="0" w:line="10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223</w:t>
      </w:r>
    </w:p>
    <w:p>
      <w:pPr>
        <w:sectPr>
          <w:pgSz w:w="11900" w:h="16840" w:orient="portrait"/>
          <w:cols w:equalWidth="0" w:num="1">
            <w:col w:w="10080"/>
          </w:cols>
          <w:pgMar w:left="660" w:top="874" w:right="1160" w:bottom="1440" w:gutter="0" w:footer="0" w:header="0"/>
        </w:sectPr>
      </w:pPr>
    </w:p>
    <w:bookmarkStart w:id="236" w:name="page237"/>
    <w:bookmarkEnd w:id="2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340"/>
        <w:spacing w:after="0" w:line="284" w:lineRule="auto"/>
        <w:rPr>
          <w:sz w:val="20"/>
          <w:szCs w:val="20"/>
          <w:color w:val="auto"/>
        </w:rPr>
      </w:pPr>
      <w:r>
        <w:rPr>
          <w:rFonts w:ascii="Times New Roman" w:cs="Times New Roman" w:eastAsia="Times New Roman" w:hAnsi="Times New Roman"/>
          <w:sz w:val="15"/>
          <w:szCs w:val="15"/>
          <w:color w:val="auto"/>
        </w:rPr>
        <w:t>excess amounts withheld under the backup withholding rules by timely filing the appropriate claim for refund with the IRS and furnishing any required information.</w:t>
      </w:r>
    </w:p>
    <w:p>
      <w:pPr>
        <w:spacing w:after="0" w:line="137" w:lineRule="exact"/>
        <w:rPr>
          <w:sz w:val="20"/>
          <w:szCs w:val="20"/>
          <w:color w:val="auto"/>
        </w:rPr>
      </w:pPr>
    </w:p>
    <w:p>
      <w:pPr>
        <w:ind w:left="460" w:firstLine="379"/>
        <w:spacing w:after="0" w:line="253" w:lineRule="auto"/>
        <w:rPr>
          <w:sz w:val="20"/>
          <w:szCs w:val="20"/>
          <w:color w:val="auto"/>
        </w:rPr>
      </w:pPr>
      <w:r>
        <w:rPr>
          <w:rFonts w:ascii="Times New Roman" w:cs="Times New Roman" w:eastAsia="Times New Roman" w:hAnsi="Times New Roman"/>
          <w:sz w:val="15"/>
          <w:szCs w:val="15"/>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United States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 U.S. financial institution and should also include our public units, Class A ordinary shares and public rights if they are not held in an account maintained with a U.S. financial institution.</w:t>
      </w:r>
    </w:p>
    <w:p>
      <w:pPr>
        <w:spacing w:after="0" w:line="160" w:lineRule="exact"/>
        <w:rPr>
          <w:sz w:val="20"/>
          <w:szCs w:val="20"/>
          <w:color w:val="auto"/>
        </w:rPr>
      </w:pPr>
    </w:p>
    <w:p>
      <w:pPr>
        <w:ind w:left="460" w:right="200" w:firstLine="379"/>
        <w:spacing w:after="0" w:line="259" w:lineRule="auto"/>
        <w:rPr>
          <w:sz w:val="20"/>
          <w:szCs w:val="20"/>
          <w:color w:val="auto"/>
        </w:rPr>
      </w:pPr>
      <w:r>
        <w:rPr>
          <w:rFonts w:ascii="Times New Roman" w:cs="Times New Roman" w:eastAsia="Times New Roman" w:hAnsi="Times New Roman"/>
          <w:sz w:val="15"/>
          <w:szCs w:val="15"/>
          <w:color w:val="auto"/>
        </w:rPr>
        <w:t>Persons who are required to report specified foreign financial assets and fail to do so may be subject to substantial penalties, and the period of limitations on assessment and collection of United States federal income taxes may be extended in the event of a failure to comply. Potential investors are urged to consult their tax advisors regarding the foreign financial asset and other reporting obligations and their application to an investment in our public units, public shares and public rights.</w:t>
      </w:r>
    </w:p>
    <w:p>
      <w:pPr>
        <w:spacing w:after="0" w:line="152" w:lineRule="exact"/>
        <w:rPr>
          <w:sz w:val="20"/>
          <w:szCs w:val="20"/>
          <w:color w:val="auto"/>
        </w:rPr>
      </w:pPr>
    </w:p>
    <w:p>
      <w:pPr>
        <w:ind w:left="460" w:right="140" w:firstLine="379"/>
        <w:spacing w:after="0" w:line="261" w:lineRule="auto"/>
        <w:rPr>
          <w:sz w:val="20"/>
          <w:szCs w:val="20"/>
          <w:color w:val="auto"/>
        </w:rPr>
      </w:pPr>
      <w:r>
        <w:rPr>
          <w:rFonts w:ascii="Times New Roman" w:cs="Times New Roman" w:eastAsia="Times New Roman" w:hAnsi="Times New Roman"/>
          <w:sz w:val="15"/>
          <w:szCs w:val="15"/>
          <w:b w:val="1"/>
          <w:bCs w:val="1"/>
          <w:color w:val="auto"/>
        </w:rPr>
        <w:t>INVESTORS CONSIDERING THE PURCHASE OF OUR SECURITIES ARE URGED TO CONSULT WITH AND RELY SOLELY UPON THEIR OWN TAX ADVISORS REGARDING THE APPLICATION OF THE U.S. FEDERAL INCOME TAX LAWS TO THEIR PARTICULAR SITUATIONS AND THE APPLICABILITY AND EFFECT OF ANY OTHER TAX LAWS, INCLUDING BUT NOT LIMITED TO U.S. FEDERAL ESTATE AND GIFT TAX LAWS AND ANY STATE, LOCAL OR NON-U.S. TAX LAWS AND TAX TREATIES.</w:t>
      </w:r>
    </w:p>
    <w:p>
      <w:pPr>
        <w:spacing w:after="0" w:line="11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224</w:t>
      </w:r>
    </w:p>
    <w:p>
      <w:pPr>
        <w:sectPr>
          <w:pgSz w:w="11900" w:h="16840" w:orient="portrait"/>
          <w:cols w:equalWidth="0" w:num="1">
            <w:col w:w="10120"/>
          </w:cols>
          <w:pgMar w:left="660" w:top="874" w:right="1120" w:bottom="1440" w:gutter="0" w:footer="0" w:header="0"/>
        </w:sectPr>
      </w:pPr>
    </w:p>
    <w:bookmarkStart w:id="237" w:name="page238"/>
    <w:bookmarkEnd w:id="2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UNDERWRITING</w:t>
      </w:r>
    </w:p>
    <w:p>
      <w:pPr>
        <w:spacing w:after="0" w:line="199"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We are offering the public units described in this prospectus through the underwriters. We have entered into an underwriting agreement with the underwriters. Subject to the terms and conditions of the underwriting agreement, the underwriters have agreed to purchase, and we have agreed to sell to the underwriters, the number of units listed next to each name in the following table.</w:t>
      </w:r>
    </w:p>
    <w:p>
      <w:pPr>
        <w:spacing w:after="0" w:line="184" w:lineRule="exact"/>
        <w:rPr>
          <w:sz w:val="20"/>
          <w:szCs w:val="20"/>
          <w:color w:val="auto"/>
        </w:rPr>
      </w:pPr>
    </w:p>
    <w:tbl>
      <w:tblPr>
        <w:tblLayout w:type="fixed"/>
        <w:tblInd w:w="2000" w:type="dxa"/>
        <w:tblCellMar>
          <w:top w:w="0" w:type="dxa"/>
          <w:left w:w="0" w:type="dxa"/>
          <w:bottom w:w="0" w:type="dxa"/>
          <w:right w:w="0" w:type="dxa"/>
        </w:tblCellMar>
      </w:tblPr>
      <w:tr>
        <w:trPr>
          <w:trHeight w:val="154"/>
        </w:trPr>
        <w:tc>
          <w:tcPr>
            <w:tcW w:w="558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r>
      <w:tr>
        <w:trPr>
          <w:trHeight w:val="168"/>
        </w:trPr>
        <w:tc>
          <w:tcPr>
            <w:tcW w:w="5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Units</w:t>
            </w:r>
          </w:p>
        </w:tc>
      </w:tr>
      <w:tr>
        <w:trPr>
          <w:trHeight w:val="158"/>
        </w:trPr>
        <w:tc>
          <w:tcPr>
            <w:tcW w:w="558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5"/>
                <w:szCs w:val="15"/>
                <w:color w:val="auto"/>
              </w:rPr>
              <w:t>D. Boral Capital LLC</w:t>
            </w: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93"/>
        </w:trPr>
        <w:tc>
          <w:tcPr>
            <w:tcW w:w="558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22,000,000</w:t>
            </w:r>
          </w:p>
        </w:tc>
        <w:tc>
          <w:tcPr>
            <w:tcW w:w="40" w:type="dxa"/>
            <w:vAlign w:val="bottom"/>
          </w:tcPr>
          <w:p>
            <w:pPr>
              <w:spacing w:after="0"/>
              <w:rPr>
                <w:sz w:val="16"/>
                <w:szCs w:val="16"/>
                <w:color w:val="auto"/>
              </w:rPr>
            </w:pP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The underwriting agreement provides that the underwriters must buy all of the public units if it buys any of them. However, the underwriters are not required to purchase the public units covered by the underwriters’ option to purchase additional units as described below. The underwriters may offer and sell the public units through certain of its affiliates or other registered broker-dealers or selling agents.</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Our public units are offered hereby subject to a number of conditions, including:</w:t>
      </w:r>
    </w:p>
    <w:p>
      <w:pPr>
        <w:spacing w:after="0" w:line="124" w:lineRule="exact"/>
        <w:rPr>
          <w:sz w:val="20"/>
          <w:szCs w:val="20"/>
          <w:color w:val="auto"/>
        </w:rPr>
      </w:pPr>
    </w:p>
    <w:p>
      <w:pPr>
        <w:ind w:left="1300" w:hanging="371"/>
        <w:spacing w:after="0"/>
        <w:tabs>
          <w:tab w:leader="none" w:pos="13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receipt and acceptance of such public units by the underwriters;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underwriters’ right to reject orders in whole or in part.</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In connection with this offering, the underwriters or securities dealers may distribute prospectuses electronically.</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Option to Purchase Additional Units</w:t>
      </w:r>
    </w:p>
    <w:p>
      <w:pPr>
        <w:spacing w:after="0" w:line="104" w:lineRule="exact"/>
        <w:rPr>
          <w:sz w:val="20"/>
          <w:szCs w:val="20"/>
          <w:color w:val="auto"/>
        </w:rPr>
      </w:pPr>
    </w:p>
    <w:p>
      <w:pPr>
        <w:ind w:left="460" w:right="140" w:firstLine="379"/>
        <w:spacing w:after="0" w:line="265" w:lineRule="auto"/>
        <w:rPr>
          <w:sz w:val="20"/>
          <w:szCs w:val="20"/>
          <w:color w:val="auto"/>
        </w:rPr>
      </w:pPr>
      <w:r>
        <w:rPr>
          <w:rFonts w:ascii="Times New Roman" w:cs="Times New Roman" w:eastAsia="Times New Roman" w:hAnsi="Times New Roman"/>
          <w:sz w:val="15"/>
          <w:szCs w:val="15"/>
          <w:color w:val="auto"/>
        </w:rPr>
        <w:t>We have granted the underwriters an option to buy up to an aggregate of 3,300,000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Underwriting Discount</w:t>
      </w:r>
    </w:p>
    <w:p>
      <w:pPr>
        <w:spacing w:after="0" w:line="104"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Units sold by the underwriters to the public will initially be offered at the initial offering price set forth on the cover of this prospectus. Any units sold by the underwriters to securities dealers may be sold at a discount of up to $[●] per unit from the offering price. Sales of units made outside of the United States may be made by affiliates of the underwriters. After this offering, if all the public units are not sold at the offering price, the representative may change the offering price and the other selling terms. Upon execution of the underwriting agreement, the underwriters will be obligated to purchase the public units at the prices and upon the terms stated therein.</w:t>
      </w:r>
    </w:p>
    <w:p>
      <w:pPr>
        <w:spacing w:after="0" w:line="158" w:lineRule="exact"/>
        <w:rPr>
          <w:sz w:val="20"/>
          <w:szCs w:val="20"/>
          <w:color w:val="auto"/>
        </w:rPr>
      </w:pPr>
    </w:p>
    <w:p>
      <w:pPr>
        <w:ind w:left="460" w:right="60" w:firstLine="379"/>
        <w:spacing w:after="0" w:line="284" w:lineRule="auto"/>
        <w:rPr>
          <w:sz w:val="20"/>
          <w:szCs w:val="20"/>
          <w:color w:val="auto"/>
        </w:rPr>
      </w:pPr>
      <w:r>
        <w:rPr>
          <w:rFonts w:ascii="Times New Roman" w:cs="Times New Roman" w:eastAsia="Times New Roman" w:hAnsi="Times New Roman"/>
          <w:sz w:val="15"/>
          <w:szCs w:val="15"/>
          <w:color w:val="auto"/>
        </w:rPr>
        <w:t>The following table shows the per unit and total underwriting discount we will pay to the underwriters assuming both no exercise and full exercise of the underwriters’ option to purchase up to 3,300,000 additional units.</w:t>
      </w:r>
    </w:p>
    <w:p>
      <w:pPr>
        <w:spacing w:after="0" w:line="170" w:lineRule="exact"/>
        <w:rPr>
          <w:sz w:val="20"/>
          <w:szCs w:val="20"/>
          <w:color w:val="auto"/>
        </w:rPr>
      </w:pPr>
    </w:p>
    <w:tbl>
      <w:tblPr>
        <w:tblLayout w:type="fixed"/>
        <w:tblInd w:w="1620" w:type="dxa"/>
        <w:tblCellMar>
          <w:top w:w="0" w:type="dxa"/>
          <w:left w:w="0" w:type="dxa"/>
          <w:bottom w:w="0" w:type="dxa"/>
          <w:right w:w="0" w:type="dxa"/>
        </w:tblCellMar>
      </w:tblPr>
      <w:tr>
        <w:trPr>
          <w:trHeight w:val="154"/>
        </w:trPr>
        <w:tc>
          <w:tcPr>
            <w:tcW w:w="20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No</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Full</w:t>
            </w:r>
          </w:p>
        </w:tc>
      </w:tr>
      <w:tr>
        <w:trPr>
          <w:trHeight w:val="168"/>
        </w:trPr>
        <w:tc>
          <w:tcPr>
            <w:tcW w:w="2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Exercise</w:t>
            </w:r>
          </w:p>
        </w:tc>
      </w:tr>
      <w:tr>
        <w:trPr>
          <w:trHeight w:val="170"/>
        </w:trPr>
        <w:tc>
          <w:tcPr>
            <w:tcW w:w="20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Per Unit</w:t>
            </w:r>
            <w:r>
              <w:rPr>
                <w:rFonts w:ascii="Times New Roman" w:cs="Times New Roman" w:eastAsia="Times New Roman" w:hAnsi="Times New Roman"/>
                <w:sz w:val="9"/>
                <w:szCs w:val="9"/>
                <w:color w:val="auto"/>
              </w:rPr>
              <w:t>(1)</w:t>
            </w:r>
          </w:p>
        </w:tc>
        <w:tc>
          <w:tcPr>
            <w:tcW w:w="3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0.0455</w:t>
            </w:r>
          </w:p>
        </w:tc>
        <w:tc>
          <w:tcPr>
            <w:tcW w:w="4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0.0405</w:t>
            </w:r>
          </w:p>
        </w:tc>
        <w:tc>
          <w:tcPr>
            <w:tcW w:w="40" w:type="dxa"/>
            <w:vAlign w:val="bottom"/>
            <w:tcBorders>
              <w:top w:val="single" w:sz="8" w:color="CCEEFF"/>
            </w:tcBorders>
            <w:shd w:val="clear" w:color="auto" w:fill="CCEEFF"/>
          </w:tcPr>
          <w:p>
            <w:pPr>
              <w:spacing w:after="0"/>
              <w:rPr>
                <w:sz w:val="14"/>
                <w:szCs w:val="14"/>
                <w:color w:val="auto"/>
              </w:rPr>
            </w:pPr>
          </w:p>
        </w:tc>
      </w:tr>
      <w:tr>
        <w:trPr>
          <w:trHeight w:val="199"/>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1,025,000</w:t>
            </w:r>
          </w:p>
        </w:tc>
        <w:tc>
          <w:tcPr>
            <w:tcW w:w="40" w:type="dxa"/>
            <w:vAlign w:val="bottom"/>
          </w:tcPr>
          <w:p>
            <w:pPr>
              <w:spacing w:after="0"/>
              <w:rPr>
                <w:sz w:val="17"/>
                <w:szCs w:val="17"/>
                <w:color w:val="auto"/>
              </w:rPr>
            </w:pPr>
          </w:p>
        </w:tc>
      </w:tr>
      <w:tr>
        <w:trPr>
          <w:trHeight w:val="321"/>
        </w:trPr>
        <w:tc>
          <w:tcPr>
            <w:tcW w:w="2080" w:type="dxa"/>
            <w:vAlign w:val="bottom"/>
          </w:tcPr>
          <w:p>
            <w:pPr>
              <w:spacing w:after="0"/>
              <w:rPr>
                <w:sz w:val="24"/>
                <w:szCs w:val="24"/>
                <w:color w:val="auto"/>
              </w:rPr>
            </w:pPr>
          </w:p>
        </w:tc>
        <w:tc>
          <w:tcPr>
            <w:tcW w:w="3200" w:type="dxa"/>
            <w:vAlign w:val="bottom"/>
          </w:tcPr>
          <w:p>
            <w:pPr>
              <w:jc w:val="right"/>
              <w:ind w:right="1423"/>
              <w:spacing w:after="0"/>
              <w:rPr>
                <w:sz w:val="20"/>
                <w:szCs w:val="20"/>
                <w:color w:val="auto"/>
              </w:rPr>
            </w:pPr>
            <w:r>
              <w:rPr>
                <w:rFonts w:ascii="Times New Roman" w:cs="Times New Roman" w:eastAsia="Times New Roman" w:hAnsi="Times New Roman"/>
                <w:sz w:val="15"/>
                <w:szCs w:val="15"/>
                <w:color w:val="auto"/>
              </w:rPr>
              <w:t>225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10080"/>
          </w:cols>
          <w:pgMar w:left="660" w:top="874" w:right="1160" w:bottom="1440" w:gutter="0" w:footer="0" w:header="0"/>
        </w:sectPr>
      </w:pPr>
    </w:p>
    <w:bookmarkStart w:id="238" w:name="page239"/>
    <w:bookmarkEnd w:id="2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840" w:hanging="385"/>
        <w:spacing w:after="0"/>
        <w:tabs>
          <w:tab w:leader="none" w:pos="840" w:val="left"/>
        </w:tabs>
        <w:numPr>
          <w:ilvl w:val="0"/>
          <w:numId w:val="123"/>
        </w:numPr>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$0.0455 per unit or $1,000,000 in the aggregate (including a $250,000 referral fee to be paid by the underwriters to United First Partners LLC) (or</w:t>
      </w:r>
    </w:p>
    <w:p>
      <w:pPr>
        <w:spacing w:after="0" w:line="21" w:lineRule="exact"/>
        <w:rPr>
          <w:rFonts w:ascii="Times New Roman" w:cs="Times New Roman" w:eastAsia="Times New Roman" w:hAnsi="Times New Roman"/>
          <w:sz w:val="9"/>
          <w:szCs w:val="9"/>
          <w:color w:val="auto"/>
        </w:rPr>
      </w:pPr>
    </w:p>
    <w:p>
      <w:pPr>
        <w:ind w:left="840"/>
        <w:spacing w:after="0" w:line="262" w:lineRule="auto"/>
        <w:rPr>
          <w:rFonts w:ascii="Times New Roman" w:cs="Times New Roman" w:eastAsia="Times New Roman" w:hAnsi="Times New Roman"/>
          <w:sz w:val="9"/>
          <w:szCs w:val="9"/>
          <w:color w:val="auto"/>
        </w:rPr>
      </w:pPr>
      <w:r>
        <w:rPr>
          <w:rFonts w:ascii="Times New Roman" w:cs="Times New Roman" w:eastAsia="Times New Roman" w:hAnsi="Times New Roman"/>
          <w:sz w:val="15"/>
          <w:szCs w:val="15"/>
          <w:color w:val="auto"/>
        </w:rPr>
        <w:t>$0.0405 per unit or $1,025,000 in the aggregate if the underwriters’ option to purchase additional units is exercised in full), is payable upon the closing of this offering. There is no deferred underwriting commission payable to the underwriters.</w:t>
      </w:r>
    </w:p>
    <w:p>
      <w:pPr>
        <w:spacing w:after="0" w:line="137" w:lineRule="exact"/>
        <w:rPr>
          <w:sz w:val="20"/>
          <w:szCs w:val="20"/>
          <w:color w:val="auto"/>
        </w:rPr>
      </w:pPr>
    </w:p>
    <w:p>
      <w:pPr>
        <w:ind w:left="460" w:right="20" w:firstLine="379"/>
        <w:spacing w:after="0" w:line="305" w:lineRule="auto"/>
        <w:rPr>
          <w:sz w:val="20"/>
          <w:szCs w:val="20"/>
          <w:color w:val="auto"/>
        </w:rPr>
      </w:pPr>
      <w:r>
        <w:rPr>
          <w:rFonts w:ascii="Times New Roman" w:cs="Times New Roman" w:eastAsia="Times New Roman" w:hAnsi="Times New Roman"/>
          <w:sz w:val="15"/>
          <w:szCs w:val="15"/>
          <w:color w:val="auto"/>
        </w:rPr>
        <w:t>Further, we have agreed to pay an amount not exceeding $[</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 for the underwriters’ accountable and out-of-pocket expenses including, but not limited to, background checks of our officers and directors and certain other offering-related costs.</w:t>
      </w:r>
    </w:p>
    <w:p>
      <w:pPr>
        <w:spacing w:after="0" w:line="121" w:lineRule="exact"/>
        <w:rPr>
          <w:sz w:val="20"/>
          <w:szCs w:val="20"/>
          <w:color w:val="auto"/>
        </w:rPr>
      </w:pPr>
    </w:p>
    <w:p>
      <w:pPr>
        <w:ind w:left="460" w:right="60" w:firstLine="379"/>
        <w:spacing w:after="0" w:line="250" w:lineRule="auto"/>
        <w:rPr>
          <w:sz w:val="20"/>
          <w:szCs w:val="20"/>
          <w:color w:val="auto"/>
        </w:rPr>
      </w:pPr>
      <w:r>
        <w:rPr>
          <w:rFonts w:ascii="Times New Roman" w:cs="Times New Roman" w:eastAsia="Times New Roman" w:hAnsi="Times New Roman"/>
          <w:sz w:val="15"/>
          <w:szCs w:val="15"/>
          <w:color w:val="auto"/>
        </w:rPr>
        <w:t>None of the non-managing investors have currently expressed to us an interest in purchasing any of the public units in this offering and neither us nor the representatives have had discussions with any non- 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in purchasing more than 9.9% of the public units to be sold in this offering. There can be no assurance that the non -managing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 managing investors, the post-offering trading volume, volatility and liquidity of our securities may be reduced relative to what they would have been had the units been more widely offered and sold to other public investors. The underwriters will receive the same upfront discounts and commissions on units purchased by the non-managing investors in the offering, if any, as they will on the other units sold to the public in this offering. Any trading decisions made by any of the foregoing entities will be made by them based on market conditions at the time of the proposed sale or redemption. The underwriters’ affiliates will not become non-managing investors or receive any economic or other interest in the sponsor.</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Referral Agreement</w:t>
      </w:r>
    </w:p>
    <w:p>
      <w:pPr>
        <w:spacing w:after="0" w:line="88" w:lineRule="exact"/>
        <w:rPr>
          <w:sz w:val="20"/>
          <w:szCs w:val="20"/>
          <w:color w:val="auto"/>
        </w:rPr>
      </w:pPr>
    </w:p>
    <w:p>
      <w:pPr>
        <w:ind w:left="460" w:right="80"/>
        <w:spacing w:after="0" w:line="305" w:lineRule="auto"/>
        <w:rPr>
          <w:sz w:val="20"/>
          <w:szCs w:val="20"/>
          <w:color w:val="auto"/>
        </w:rPr>
      </w:pPr>
      <w:r>
        <w:rPr>
          <w:rFonts w:ascii="Times New Roman" w:cs="Times New Roman" w:eastAsia="Times New Roman" w:hAnsi="Times New Roman"/>
          <w:sz w:val="15"/>
          <w:szCs w:val="15"/>
          <w:color w:val="auto"/>
        </w:rPr>
        <w:t>On [</w:t>
      </w:r>
      <w:r>
        <w:rPr>
          <w:rFonts w:ascii="Arial" w:cs="Arial" w:eastAsia="Arial" w:hAnsi="Arial"/>
          <w:sz w:val="15"/>
          <w:szCs w:val="15"/>
          <w:color w:val="auto"/>
        </w:rPr>
        <w:t>  </w:t>
      </w:r>
      <w:r>
        <w:rPr>
          <w:rFonts w:ascii="Times New Roman" w:cs="Times New Roman" w:eastAsia="Times New Roman" w:hAnsi="Times New Roman"/>
          <w:sz w:val="15"/>
          <w:szCs w:val="15"/>
          <w:color w:val="auto"/>
        </w:rPr>
        <w:t xml:space="preserve"> ], 2025, D. Boral Capital LLC, the representative of the underwriters, entered into a Referral Agreement with United First Partners LLC, pursuant to which the underwriters will pay United First Partners LLC a $250,000 referral fee in connection with this offering.</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 Sales of Similar Securities</w:t>
      </w:r>
    </w:p>
    <w:p>
      <w:pPr>
        <w:spacing w:after="0" w:line="104" w:lineRule="exact"/>
        <w:rPr>
          <w:sz w:val="20"/>
          <w:szCs w:val="20"/>
          <w:color w:val="auto"/>
        </w:rPr>
      </w:pPr>
    </w:p>
    <w:p>
      <w:pPr>
        <w:ind w:left="460" w:right="100" w:firstLine="379"/>
        <w:spacing w:after="0" w:line="257" w:lineRule="auto"/>
        <w:rPr>
          <w:sz w:val="20"/>
          <w:szCs w:val="20"/>
          <w:color w:val="auto"/>
        </w:rPr>
      </w:pPr>
      <w:r>
        <w:rPr>
          <w:rFonts w:ascii="Times New Roman" w:cs="Times New Roman" w:eastAsia="Times New Roman" w:hAnsi="Times New Roman"/>
          <w:sz w:val="15"/>
          <w:szCs w:val="15"/>
          <w:color w:val="auto"/>
        </w:rPr>
        <w:t>We, our executive officers and directors, and our sponsor will enter intolock-up agreements with the underwriters. Under the lock-up agreements, subject to certain exceptions, we and each of these persons may not, without the prior written approval of the underwriters offer, sell, contract to sell, pledge, or otherwise dispose of, directly or indirectly, or hedge our units, rights, Class A ordinary shares, Class B ordinary shares or any other securities convertible into or exchangeable or exercisable for Class A ordinary shares. These restrictions will be in effect for a period of 180 days after the date of this prospectus.</w:t>
      </w:r>
    </w:p>
    <w:p>
      <w:pPr>
        <w:spacing w:after="0" w:line="339" w:lineRule="exact"/>
        <w:rPr>
          <w:sz w:val="20"/>
          <w:szCs w:val="20"/>
          <w:color w:val="auto"/>
        </w:rPr>
      </w:pPr>
    </w:p>
    <w:p>
      <w:pPr>
        <w:ind w:left="460" w:right="140" w:firstLine="379"/>
        <w:spacing w:after="0" w:line="259" w:lineRule="auto"/>
        <w:rPr>
          <w:sz w:val="20"/>
          <w:szCs w:val="20"/>
          <w:color w:val="auto"/>
        </w:rPr>
      </w:pPr>
      <w:r>
        <w:rPr>
          <w:rFonts w:ascii="Times New Roman" w:cs="Times New Roman" w:eastAsia="Times New Roman" w:hAnsi="Times New Roman"/>
          <w:sz w:val="15"/>
          <w:szCs w:val="15"/>
          <w:color w:val="auto"/>
        </w:rPr>
        <w:t>The underwriters may, at any time and in their sole discretion, release some or all the securities from theselock -up agreements. The underwriters will consider, among other factors, the holder’s reasons for requesting the release, the number of securities for which the release is being requested and market conditions at the time. If the restrictions under the lock-up agreements are waived, our units, rights, Class A ordinary shares and Class B ordinary shares may become available for resale into the market, subject to applicable law, which could reduce the market price of our securities.</w:t>
      </w:r>
    </w:p>
    <w:p>
      <w:pPr>
        <w:spacing w:after="0" w:line="152" w:lineRule="exact"/>
        <w:rPr>
          <w:sz w:val="20"/>
          <w:szCs w:val="20"/>
          <w:color w:val="auto"/>
        </w:rPr>
      </w:pPr>
    </w:p>
    <w:p>
      <w:pPr>
        <w:ind w:left="460" w:right="200" w:firstLine="379"/>
        <w:spacing w:after="0" w:line="289" w:lineRule="auto"/>
        <w:rPr>
          <w:sz w:val="20"/>
          <w:szCs w:val="20"/>
          <w:color w:val="auto"/>
        </w:rPr>
      </w:pPr>
      <w:r>
        <w:rPr>
          <w:rFonts w:ascii="Times New Roman" w:cs="Times New Roman" w:eastAsia="Times New Roman" w:hAnsi="Times New Roman"/>
          <w:sz w:val="15"/>
          <w:szCs w:val="15"/>
          <w:color w:val="auto"/>
        </w:rPr>
        <w:t>Except with respect to permitted transferees as described herein under “</w:t>
      </w:r>
      <w:r>
        <w:rPr>
          <w:rFonts w:ascii="Times New Roman" w:cs="Times New Roman" w:eastAsia="Times New Roman" w:hAnsi="Times New Roman"/>
          <w:sz w:val="15"/>
          <w:szCs w:val="15"/>
          <w:i w:val="1"/>
          <w:iCs w:val="1"/>
          <w:color w:val="auto"/>
        </w:rPr>
        <w:t>Principal Shareholders</w:t>
      </w:r>
      <w:r>
        <w:rPr>
          <w:rFonts w:ascii="Times New Roman" w:cs="Times New Roman" w:eastAsia="Times New Roman" w:hAnsi="Times New Roman"/>
          <w:sz w:val="15"/>
          <w:szCs w:val="15"/>
          <w:color w:val="auto"/>
        </w:rPr>
        <w:t>,” our initial shareholders have agreed not to transfer, assign or sell any of their respective founder shares, private investor</w:t>
      </w:r>
    </w:p>
    <w:p>
      <w:pPr>
        <w:spacing w:after="0" w:line="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226</w:t>
      </w:r>
    </w:p>
    <w:p>
      <w:pPr>
        <w:sectPr>
          <w:pgSz w:w="11900" w:h="16840" w:orient="portrait"/>
          <w:cols w:equalWidth="0" w:num="1">
            <w:col w:w="10140"/>
          </w:cols>
          <w:pgMar w:left="660" w:top="874" w:right="1100" w:bottom="1440" w:gutter="0" w:footer="0" w:header="0"/>
        </w:sectPr>
      </w:pPr>
    </w:p>
    <w:bookmarkStart w:id="239" w:name="page240"/>
    <w:bookmarkEnd w:id="2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80"/>
        <w:spacing w:after="0" w:line="251" w:lineRule="auto"/>
        <w:rPr>
          <w:sz w:val="20"/>
          <w:szCs w:val="20"/>
          <w:color w:val="auto"/>
        </w:rPr>
      </w:pPr>
      <w:r>
        <w:rPr>
          <w:rFonts w:ascii="Times New Roman" w:cs="Times New Roman" w:eastAsia="Times New Roman" w:hAnsi="Times New Roman"/>
          <w:sz w:val="15"/>
          <w:szCs w:val="15"/>
          <w:color w:val="auto"/>
        </w:rPr>
        <w:t>shares and private placement units (and underlying securities), and any Class A ordinary shares issuable upon conversion thereof that is in the case of the founder shares and private investor shares and any Class A ordinary shares issuable upon conversion thereof, the earlier of (A) six months after the date of the consummation of our initial business combination,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is in the case of the private placement units (and underlying securities), thirty days after the date of the consummation of our initial business combination. Any permitted transferees would be subject to the same restrictions and other agreements as our initial shareholders with respect to any shares.</w:t>
      </w:r>
    </w:p>
    <w:p>
      <w:pPr>
        <w:spacing w:after="0" w:line="165"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Notwithstanding the foregoing, the lock-up period of the non-managing investors shall not be longer than the sponsor’s lock- up 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 up period or terminated, as the case may be. Further, if any such securityholder is released from the lock-up period subsequent to the consummation of an initial business combination, the company shall release the private investor shares and private placement shares held by non-managing investors from the lock-up provisions.</w:t>
      </w:r>
    </w:p>
    <w:p>
      <w:pPr>
        <w:spacing w:after="0" w:line="200" w:lineRule="exact"/>
        <w:rPr>
          <w:sz w:val="20"/>
          <w:szCs w:val="20"/>
          <w:color w:val="auto"/>
        </w:rPr>
      </w:pP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Indemnification</w:t>
      </w:r>
    </w:p>
    <w:p>
      <w:pPr>
        <w:spacing w:after="0" w:line="104" w:lineRule="exact"/>
        <w:rPr>
          <w:sz w:val="20"/>
          <w:szCs w:val="20"/>
          <w:color w:val="auto"/>
        </w:rPr>
      </w:pPr>
    </w:p>
    <w:p>
      <w:pPr>
        <w:ind w:left="460" w:right="400" w:firstLine="379"/>
        <w:spacing w:after="0" w:line="284" w:lineRule="auto"/>
        <w:rPr>
          <w:sz w:val="20"/>
          <w:szCs w:val="20"/>
          <w:color w:val="auto"/>
        </w:rPr>
      </w:pPr>
      <w:r>
        <w:rPr>
          <w:rFonts w:ascii="Times New Roman" w:cs="Times New Roman" w:eastAsia="Times New Roman" w:hAnsi="Times New Roman"/>
          <w:sz w:val="15"/>
          <w:szCs w:val="15"/>
          <w:color w:val="auto"/>
        </w:rPr>
        <w:t>We have agreed to indemnify the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Nasdaq Listing</w:t>
      </w:r>
    </w:p>
    <w:p>
      <w:pPr>
        <w:spacing w:after="0" w:line="104" w:lineRule="exact"/>
        <w:rPr>
          <w:sz w:val="20"/>
          <w:szCs w:val="20"/>
          <w:color w:val="auto"/>
        </w:rPr>
      </w:pPr>
    </w:p>
    <w:p>
      <w:pPr>
        <w:ind w:left="460" w:right="40" w:firstLine="379"/>
        <w:spacing w:after="0" w:line="284" w:lineRule="auto"/>
        <w:rPr>
          <w:sz w:val="20"/>
          <w:szCs w:val="20"/>
          <w:color w:val="auto"/>
        </w:rPr>
      </w:pPr>
      <w:r>
        <w:rPr>
          <w:rFonts w:ascii="Times New Roman" w:cs="Times New Roman" w:eastAsia="Times New Roman" w:hAnsi="Times New Roman"/>
          <w:sz w:val="15"/>
          <w:szCs w:val="15"/>
          <w:color w:val="auto"/>
        </w:rPr>
        <w:t>We intend to apply for listing of our public units on Nasdaq under the symbol “GIWWU” and, once the public units begin separate trading, we expect our public shares and public rights to be listed on Nasdaq under the symbols “GIW” and “GIWWR,” respectively.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Price Stabilization, Short Positions</w:t>
      </w:r>
    </w:p>
    <w:p>
      <w:pPr>
        <w:spacing w:after="0" w:line="104" w:lineRule="exact"/>
        <w:rPr>
          <w:sz w:val="20"/>
          <w:szCs w:val="20"/>
          <w:color w:val="auto"/>
        </w:rPr>
      </w:pPr>
    </w:p>
    <w:p>
      <w:pPr>
        <w:ind w:left="460" w:firstLine="379"/>
        <w:spacing w:after="0" w:line="284" w:lineRule="auto"/>
        <w:rPr>
          <w:sz w:val="20"/>
          <w:szCs w:val="20"/>
          <w:color w:val="auto"/>
        </w:rPr>
      </w:pPr>
      <w:r>
        <w:rPr>
          <w:rFonts w:ascii="Times New Roman" w:cs="Times New Roman" w:eastAsia="Times New Roman" w:hAnsi="Times New Roman"/>
          <w:sz w:val="15"/>
          <w:szCs w:val="15"/>
          <w:color w:val="auto"/>
        </w:rPr>
        <w:t>In connection with this offering, the underwriters may engage in activities that stabilize, maintain or otherwise affect the price of units during and after this offering, including:</w:t>
      </w:r>
    </w:p>
    <w:p>
      <w:pPr>
        <w:spacing w:after="0" w:line="66" w:lineRule="exact"/>
        <w:rPr>
          <w:sz w:val="20"/>
          <w:szCs w:val="20"/>
          <w:color w:val="auto"/>
        </w:rPr>
      </w:pPr>
    </w:p>
    <w:p>
      <w:pPr>
        <w:ind w:left="1300" w:hanging="371"/>
        <w:spacing w:after="0"/>
        <w:tabs>
          <w:tab w:leader="none" w:pos="13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stabilizing transactions;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 sales;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purchases to cover positions created by short sales;</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imposition of penalty bids;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syndicate covering transactions.</w:t>
      </w:r>
    </w:p>
    <w:p>
      <w:pPr>
        <w:spacing w:after="0" w:line="195" w:lineRule="exact"/>
        <w:rPr>
          <w:sz w:val="20"/>
          <w:szCs w:val="20"/>
          <w:color w:val="auto"/>
        </w:rPr>
      </w:pPr>
    </w:p>
    <w:p>
      <w:pPr>
        <w:jc w:val="both"/>
        <w:ind w:left="460" w:right="180" w:firstLine="379"/>
        <w:spacing w:after="0" w:line="265" w:lineRule="auto"/>
        <w:rPr>
          <w:sz w:val="20"/>
          <w:szCs w:val="20"/>
          <w:color w:val="auto"/>
        </w:rPr>
      </w:pPr>
      <w:r>
        <w:rPr>
          <w:rFonts w:ascii="Times New Roman" w:cs="Times New Roman" w:eastAsia="Times New Roman" w:hAnsi="Times New Roman"/>
          <w:sz w:val="15"/>
          <w:szCs w:val="15"/>
          <w:color w:val="auto"/>
        </w:rPr>
        <w:t>Stabilizing transactions consist of bids or purchases made for the purpose of preventing or retarding a decline in the market price of our public units while this offering is in progress. Stabilization transactions permit bids to purchase the underlying security so long as the stabilizing bids do not exceed a specified maximum. These transactions may also include making short sales of our public units, which involve the sale by the</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227</w:t>
      </w:r>
    </w:p>
    <w:p>
      <w:pPr>
        <w:sectPr>
          <w:pgSz w:w="11900" w:h="16840" w:orient="portrait"/>
          <w:cols w:equalWidth="0" w:num="1">
            <w:col w:w="10120"/>
          </w:cols>
          <w:pgMar w:left="660" w:top="874" w:right="1120" w:bottom="1440" w:gutter="0" w:footer="0" w:header="0"/>
        </w:sectPr>
      </w:pPr>
    </w:p>
    <w:bookmarkStart w:id="240" w:name="page241"/>
    <w:bookmarkEnd w:id="2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jc w:val="both"/>
        <w:ind w:left="460"/>
        <w:spacing w:after="0" w:line="265" w:lineRule="auto"/>
        <w:rPr>
          <w:sz w:val="20"/>
          <w:szCs w:val="20"/>
          <w:color w:val="auto"/>
        </w:rPr>
      </w:pPr>
      <w:r>
        <w:rPr>
          <w:rFonts w:ascii="Times New Roman" w:cs="Times New Roman" w:eastAsia="Times New Roman" w:hAnsi="Times New Roman"/>
          <w:sz w:val="15"/>
          <w:szCs w:val="15"/>
          <w:color w:val="auto"/>
        </w:rPr>
        <w:t>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51"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The underwriters may close out any covered short position by either exercising their over-allotment option, in whole or in part, or by purchasing units on the open market. In making this determination, the underwriters will consider, among other things, the price of units available for purchase on the open market as compared to the price at which they may purchase units through the over-allotment option.</w:t>
      </w:r>
    </w:p>
    <w:p>
      <w:pPr>
        <w:spacing w:after="0" w:line="151" w:lineRule="exact"/>
        <w:rPr>
          <w:sz w:val="20"/>
          <w:szCs w:val="20"/>
          <w:color w:val="auto"/>
        </w:rPr>
      </w:pPr>
    </w:p>
    <w:p>
      <w:pPr>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Naked short sales are short sales made in excess of the over -allotment option. The underwriters must close out any naked short position by purchasing units on the open market. A naked short position is more likely to be created if the underwriters are concerned that there may be downward pressure on the price of the public units on the open market that could adversely affect investors who purchased in this offering.</w:t>
      </w:r>
    </w:p>
    <w:p>
      <w:pPr>
        <w:spacing w:after="0" w:line="151" w:lineRule="exact"/>
        <w:rPr>
          <w:sz w:val="20"/>
          <w:szCs w:val="20"/>
          <w:color w:val="auto"/>
        </w:rPr>
      </w:pPr>
    </w:p>
    <w:p>
      <w:pPr>
        <w:ind w:left="460" w:right="60" w:firstLine="379"/>
        <w:spacing w:after="0" w:line="253" w:lineRule="auto"/>
        <w:rPr>
          <w:sz w:val="20"/>
          <w:szCs w:val="20"/>
          <w:color w:val="auto"/>
        </w:rPr>
      </w:pPr>
      <w:r>
        <w:rPr>
          <w:rFonts w:ascii="Times New Roman" w:cs="Times New Roman" w:eastAsia="Times New Roman" w:hAnsi="Times New Roman"/>
          <w:sz w:val="15"/>
          <w:szCs w:val="15"/>
          <w:color w:val="auto"/>
        </w:rPr>
        <w:t>These stabilizing transactions, short sales, purchases to cover positions created by short sales, the imposition of penalty bids and syndicate covering transactions may have the effect of raising or maintaining the market price of our public units or preventing or retarding a decline in the market price of our public units. As a result of these activities, the price of our public units may be higher than the price that otherwise might exist on the open market. The underwriters may carry out these transactions on Nasdaq, in the over-the-counter market or otherwise. Neither we nor the underwriters make any representation or prediction as to the effect that the transactions described above may have on the price of the public units. Neither we, nor the underwriters make any representation that the underwriters will engage in these stabilization transactions or that any transaction, once commenced, will not be discontinued without notice.</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Determination of Offering Price</w:t>
      </w:r>
    </w:p>
    <w:p>
      <w:pPr>
        <w:spacing w:after="0" w:line="104" w:lineRule="exact"/>
        <w:rPr>
          <w:sz w:val="20"/>
          <w:szCs w:val="20"/>
          <w:color w:val="auto"/>
        </w:rPr>
      </w:pPr>
    </w:p>
    <w:p>
      <w:pPr>
        <w:ind w:left="460" w:right="180" w:firstLine="379"/>
        <w:spacing w:after="0" w:line="284" w:lineRule="auto"/>
        <w:rPr>
          <w:sz w:val="20"/>
          <w:szCs w:val="20"/>
          <w:color w:val="auto"/>
        </w:rPr>
      </w:pPr>
      <w:r>
        <w:rPr>
          <w:rFonts w:ascii="Times New Roman" w:cs="Times New Roman" w:eastAsia="Times New Roman" w:hAnsi="Times New Roman"/>
          <w:sz w:val="15"/>
          <w:szCs w:val="15"/>
          <w:color w:val="auto"/>
        </w:rPr>
        <w:t>Prior to this offering, there was no public market for our public units. The initial public offering price will be determined by negotiation between us and the representative of the underwriters. The principal factors to be considered in determining the initial public offering price include:</w:t>
      </w:r>
    </w:p>
    <w:p>
      <w:pPr>
        <w:spacing w:after="0" w:line="66" w:lineRule="exact"/>
        <w:rPr>
          <w:sz w:val="20"/>
          <w:szCs w:val="20"/>
          <w:color w:val="auto"/>
        </w:rPr>
      </w:pPr>
    </w:p>
    <w:p>
      <w:pPr>
        <w:ind w:left="1300" w:hanging="371"/>
        <w:spacing w:after="0"/>
        <w:tabs>
          <w:tab w:leader="none" w:pos="13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set forth in this prospectus and otherwise available to the representative;</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history and prospects and the history and prospects for the industry in which we compete;</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past and present financial performance;</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prospects for future earnings and the present state of our development;</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condition of the securities market at the time of this offering;</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recent market prices of, and demand for, publicly traded units of generally comparable companies; and</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factors deemed relevant by the underwriters and us.</w:t>
      </w:r>
    </w:p>
    <w:p>
      <w:pPr>
        <w:spacing w:after="0" w:line="195" w:lineRule="exact"/>
        <w:rPr>
          <w:sz w:val="20"/>
          <w:szCs w:val="20"/>
          <w:color w:val="auto"/>
        </w:rPr>
      </w:pPr>
    </w:p>
    <w:p>
      <w:pPr>
        <w:ind w:left="460" w:right="340" w:firstLine="379"/>
        <w:spacing w:after="0" w:line="265" w:lineRule="auto"/>
        <w:rPr>
          <w:sz w:val="20"/>
          <w:szCs w:val="20"/>
          <w:color w:val="auto"/>
        </w:rPr>
      </w:pPr>
      <w:r>
        <w:rPr>
          <w:rFonts w:ascii="Times New Roman" w:cs="Times New Roman" w:eastAsia="Times New Roman" w:hAnsi="Times New Roman"/>
          <w:sz w:val="15"/>
          <w:szCs w:val="15"/>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public units, public shares or public rights or that the public units will trade in the public market at or above the initial public offering price.</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Affiliations</w:t>
      </w:r>
    </w:p>
    <w:p>
      <w:pPr>
        <w:spacing w:after="0" w:line="104" w:lineRule="exact"/>
        <w:rPr>
          <w:sz w:val="20"/>
          <w:szCs w:val="20"/>
          <w:color w:val="auto"/>
        </w:rPr>
      </w:pPr>
    </w:p>
    <w:p>
      <w:pPr>
        <w:ind w:left="460" w:right="620" w:firstLine="379"/>
        <w:spacing w:after="0" w:line="284" w:lineRule="auto"/>
        <w:rPr>
          <w:sz w:val="20"/>
          <w:szCs w:val="20"/>
          <w:color w:val="auto"/>
        </w:rPr>
      </w:pPr>
      <w:r>
        <w:rPr>
          <w:rFonts w:ascii="Times New Roman" w:cs="Times New Roman" w:eastAsia="Times New Roman" w:hAnsi="Times New Roman"/>
          <w:sz w:val="15"/>
          <w:szCs w:val="15"/>
          <w:color w:val="auto"/>
        </w:rPr>
        <w:t>The underwriters and their affiliates are full service financial institutions engaged in various activities, which may include securities trading, commercial and investment banking, financial advisory, investment</w:t>
      </w:r>
    </w:p>
    <w:p>
      <w:pPr>
        <w:spacing w:after="0" w:line="1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228</w:t>
      </w:r>
    </w:p>
    <w:p>
      <w:pPr>
        <w:sectPr>
          <w:pgSz w:w="11900" w:h="16840" w:orient="portrait"/>
          <w:cols w:equalWidth="0" w:num="1">
            <w:col w:w="10100"/>
          </w:cols>
          <w:pgMar w:left="660" w:top="874" w:right="1140" w:bottom="1440" w:gutter="0" w:footer="0" w:header="0"/>
        </w:sectPr>
      </w:pPr>
    </w:p>
    <w:bookmarkStart w:id="241" w:name="page242"/>
    <w:bookmarkEnd w:id="2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spacing w:after="0" w:line="253" w:lineRule="auto"/>
        <w:rPr>
          <w:sz w:val="20"/>
          <w:szCs w:val="20"/>
          <w:color w:val="auto"/>
        </w:rPr>
      </w:pPr>
      <w:r>
        <w:rPr>
          <w:rFonts w:ascii="Times New Roman" w:cs="Times New Roman" w:eastAsia="Times New Roman" w:hAnsi="Times New Roman"/>
          <w:sz w:val="15"/>
          <w:szCs w:val="15"/>
          <w:color w:val="auto"/>
        </w:rPr>
        <w:t>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60" w:lineRule="exact"/>
        <w:rPr>
          <w:sz w:val="20"/>
          <w:szCs w:val="20"/>
          <w:color w:val="auto"/>
        </w:rPr>
      </w:pPr>
    </w:p>
    <w:p>
      <w:pPr>
        <w:ind w:left="460" w:right="60" w:firstLine="379"/>
        <w:spacing w:after="0" w:line="253" w:lineRule="auto"/>
        <w:rPr>
          <w:sz w:val="20"/>
          <w:szCs w:val="20"/>
          <w:color w:val="auto"/>
        </w:rPr>
      </w:pPr>
      <w:r>
        <w:rPr>
          <w:rFonts w:ascii="Times New Roman" w:cs="Times New Roman" w:eastAsia="Times New Roman" w:hAnsi="Times New Roman"/>
          <w:sz w:val="15"/>
          <w:szCs w:val="15"/>
          <w:color w:val="auto"/>
        </w:rPr>
        <w:t>We are not under any contractual obligation to engage the underwriters to provide any services for us after this offering and have no present intent to do so. However, the underwriters may introduce us to potential target businesses or assist us in raising additional capital in the future. If the underwriters provide services to us after this offering, we may pay the underwriters fair and reasonable fees that would be determined at that time in an arm’s length negotiation; provided, that no agreement will be entered into with the underwriters and no fees for such services will be paid to the underwriters prior to the date that is 60 days from the date of this prospectus, unless such payment would not be deemed underwriters’ compensation in connection with this offering and we may pay the underwriters of this offering or any entity with which it is affiliated a finder’s fee or other compensation for services rendered to us in connection with the completion of a business combination.</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Notice to Residents of Canada</w:t>
      </w:r>
    </w:p>
    <w:p>
      <w:pPr>
        <w:spacing w:after="0" w:line="104"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 xml:space="preserve">The securities may be sold only to purchasers purchasing, or deemed to be purchasing, as principal that are accredited investors, as defined in National Instrument 45-106 </w:t>
      </w:r>
      <w:r>
        <w:rPr>
          <w:rFonts w:ascii="Times New Roman" w:cs="Times New Roman" w:eastAsia="Times New Roman" w:hAnsi="Times New Roman"/>
          <w:sz w:val="15"/>
          <w:szCs w:val="15"/>
          <w:i w:val="1"/>
          <w:iCs w:val="1"/>
          <w:color w:val="auto"/>
        </w:rPr>
        <w:t>Prospectus Exemptions</w:t>
      </w:r>
      <w:r>
        <w:rPr>
          <w:rFonts w:ascii="Times New Roman" w:cs="Times New Roman" w:eastAsia="Times New Roman" w:hAnsi="Times New Roman"/>
          <w:sz w:val="15"/>
          <w:szCs w:val="15"/>
          <w:color w:val="auto"/>
        </w:rPr>
        <w:t xml:space="preserve"> or subsection 73.3(1) of the </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xml:space="preserve">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6" w:lineRule="exact"/>
        <w:rPr>
          <w:sz w:val="20"/>
          <w:szCs w:val="20"/>
          <w:color w:val="auto"/>
        </w:rPr>
      </w:pPr>
    </w:p>
    <w:p>
      <w:pPr>
        <w:jc w:val="both"/>
        <w:ind w:left="460" w:right="60" w:firstLine="379"/>
        <w:spacing w:after="0" w:line="259" w:lineRule="auto"/>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6" w:lineRule="exact"/>
        <w:rPr>
          <w:sz w:val="20"/>
          <w:szCs w:val="20"/>
          <w:color w:val="auto"/>
        </w:rPr>
      </w:pPr>
    </w:p>
    <w:p>
      <w:pPr>
        <w:ind w:left="460" w:right="200" w:firstLine="379"/>
        <w:spacing w:after="0" w:line="284" w:lineRule="auto"/>
        <w:rPr>
          <w:sz w:val="20"/>
          <w:szCs w:val="20"/>
          <w:color w:val="auto"/>
        </w:rPr>
      </w:pPr>
      <w:r>
        <w:rPr>
          <w:rFonts w:ascii="Times New Roman" w:cs="Times New Roman" w:eastAsia="Times New Roman" w:hAnsi="Times New Roman"/>
          <w:sz w:val="15"/>
          <w:szCs w:val="15"/>
          <w:color w:val="auto"/>
        </w:rPr>
        <w:t>Pursuant to section 3A.3 of National Instrument 33-105 Underwriting Conflicts (“NI 33- 105”), the underwriters are not required to comply with the disclosure requirements of NI 33-105 regarding underwriter conflicts of interest in connection with this offering.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European Economic Area and United Kingdom</w:t>
      </w:r>
    </w:p>
    <w:p>
      <w:pPr>
        <w:spacing w:after="0" w:line="104" w:lineRule="exact"/>
        <w:rPr>
          <w:sz w:val="20"/>
          <w:szCs w:val="20"/>
          <w:color w:val="auto"/>
        </w:rPr>
      </w:pPr>
    </w:p>
    <w:p>
      <w:pPr>
        <w:ind w:left="460" w:right="60" w:firstLine="379"/>
        <w:spacing w:after="0" w:line="253" w:lineRule="auto"/>
        <w:rPr>
          <w:sz w:val="20"/>
          <w:szCs w:val="20"/>
          <w:color w:val="auto"/>
        </w:rPr>
      </w:pPr>
      <w:r>
        <w:rPr>
          <w:rFonts w:ascii="Times New Roman" w:cs="Times New Roman" w:eastAsia="Times New Roman" w:hAnsi="Times New Roman"/>
          <w:sz w:val="15"/>
          <w:szCs w:val="15"/>
          <w:color w:val="auto"/>
        </w:rPr>
        <w:t>This prospectus is not a prospectus for the purposes of the Prospectus Regulation (as defined below). This prospectus and any offer if made subsequently is directed only at persons in Member States of the European Economic Area (the “EEA”) or in the United Kingdom (the “UK”) (each, a “Relevant State”) who are “qualified investors” within the meaning of Article 2(e) of the Prospectus Regulation. This prospectus has been prepared on the basis that any offer of our securities in any Relevant State will be made pursuant to an exemption under the Prospectus Regulation from the requirement to publish a prospectus for offers of our securities. Accordingly any person making or intending to make an offer in that Relevant State of our securities which are the subject of the offering contemplated in this prospectus may only do so in circumstances in which no obligation arises for our company or any of the underwriters to publish a prospectus pursuant to Article 3 of the Prospectus Regulation in</w:t>
      </w:r>
    </w:p>
    <w:p>
      <w:pPr>
        <w:spacing w:after="0" w:line="1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229</w:t>
      </w:r>
    </w:p>
    <w:p>
      <w:pPr>
        <w:sectPr>
          <w:pgSz w:w="11900" w:h="16840" w:orient="portrait"/>
          <w:cols w:equalWidth="0" w:num="1">
            <w:col w:w="10120"/>
          </w:cols>
          <w:pgMar w:left="660" w:top="874" w:right="1120" w:bottom="1440" w:gutter="0" w:footer="0" w:header="0"/>
        </w:sectPr>
      </w:pPr>
    </w:p>
    <w:bookmarkStart w:id="242" w:name="page243"/>
    <w:bookmarkEnd w:id="2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60"/>
        <w:spacing w:after="0" w:line="265" w:lineRule="auto"/>
        <w:rPr>
          <w:sz w:val="20"/>
          <w:szCs w:val="20"/>
          <w:color w:val="auto"/>
        </w:rPr>
      </w:pPr>
      <w:r>
        <w:rPr>
          <w:rFonts w:ascii="Times New Roman" w:cs="Times New Roman" w:eastAsia="Times New Roman" w:hAnsi="Times New Roman"/>
          <w:sz w:val="15"/>
          <w:szCs w:val="15"/>
          <w:color w:val="auto"/>
        </w:rPr>
        <w:t>relation to such offer. Neither we nor the underwriters have authorized, nor do we or they authorize, the making of any offer of our securities in circumstances in which an obligation arises for us or the underwriters to publish a prospectus for such offer. The expression “Prospectus Regulation” means Regulation (EU) 2017/1129.</w:t>
      </w:r>
    </w:p>
    <w:p>
      <w:pPr>
        <w:spacing w:after="0" w:line="151" w:lineRule="exact"/>
        <w:rPr>
          <w:sz w:val="20"/>
          <w:szCs w:val="20"/>
          <w:color w:val="auto"/>
        </w:rPr>
      </w:pPr>
    </w:p>
    <w:p>
      <w:pPr>
        <w:ind w:left="460" w:right="60" w:firstLine="379"/>
        <w:spacing w:after="0" w:line="284" w:lineRule="auto"/>
        <w:rPr>
          <w:sz w:val="20"/>
          <w:szCs w:val="20"/>
          <w:color w:val="auto"/>
        </w:rPr>
      </w:pPr>
      <w:r>
        <w:rPr>
          <w:rFonts w:ascii="Times New Roman" w:cs="Times New Roman" w:eastAsia="Times New Roman" w:hAnsi="Times New Roman"/>
          <w:sz w:val="15"/>
          <w:szCs w:val="15"/>
          <w:color w:val="auto"/>
        </w:rPr>
        <w:t>In relation to each Relevant State, no offer of our securities which are the subject of the offering contemplated by this prospectus to the public may be made in that Relevant State other than:</w:t>
      </w:r>
    </w:p>
    <w:p>
      <w:pPr>
        <w:spacing w:after="0" w:line="42" w:lineRule="exact"/>
        <w:rPr>
          <w:sz w:val="20"/>
          <w:szCs w:val="20"/>
          <w:color w:val="auto"/>
        </w:rPr>
      </w:pPr>
    </w:p>
    <w:p>
      <w:pPr>
        <w:ind w:left="1040" w:hanging="206"/>
        <w:spacing w:after="0"/>
        <w:tabs>
          <w:tab w:leader="none" w:pos="104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in the Prospectus Regulation;</w:t>
      </w:r>
    </w:p>
    <w:p>
      <w:pPr>
        <w:spacing w:after="0" w:line="99" w:lineRule="exact"/>
        <w:rPr>
          <w:rFonts w:ascii="Times New Roman" w:cs="Times New Roman" w:eastAsia="Times New Roman" w:hAnsi="Times New Roman"/>
          <w:sz w:val="15"/>
          <w:szCs w:val="15"/>
          <w:color w:val="auto"/>
        </w:rPr>
      </w:pPr>
    </w:p>
    <w:p>
      <w:pPr>
        <w:ind w:left="840" w:right="240" w:hanging="6"/>
        <w:spacing w:after="0" w:line="284" w:lineRule="auto"/>
        <w:tabs>
          <w:tab w:leader="none" w:pos="1058"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in the Prospectus Regulation), subject to obtaining the prior consent of the relevant underwriter or underwriter nominated by us for any such offer; or</w:t>
      </w:r>
    </w:p>
    <w:p>
      <w:pPr>
        <w:spacing w:after="0" w:line="41" w:lineRule="exact"/>
        <w:rPr>
          <w:rFonts w:ascii="Times New Roman" w:cs="Times New Roman" w:eastAsia="Times New Roman" w:hAnsi="Times New Roman"/>
          <w:sz w:val="15"/>
          <w:szCs w:val="15"/>
          <w:color w:val="auto"/>
        </w:rPr>
      </w:pPr>
    </w:p>
    <w:p>
      <w:pPr>
        <w:ind w:left="840" w:right="60" w:hanging="6"/>
        <w:spacing w:after="0" w:line="284" w:lineRule="auto"/>
        <w:tabs>
          <w:tab w:leader="none" w:pos="1049"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 provided that no such offer of our securities shall require us or any underwriter to publish a prospectus pursuant to Article 3 of the Prospectus Regulation.</w:t>
      </w:r>
    </w:p>
    <w:p>
      <w:pPr>
        <w:spacing w:after="0" w:line="137" w:lineRule="exact"/>
        <w:rPr>
          <w:sz w:val="20"/>
          <w:szCs w:val="20"/>
          <w:color w:val="auto"/>
        </w:rPr>
      </w:pPr>
    </w:p>
    <w:p>
      <w:pPr>
        <w:jc w:val="both"/>
        <w:ind w:left="460" w:right="60" w:firstLine="379"/>
        <w:spacing w:after="0" w:line="265"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of our securities to the public” in relation to our securities in any Relevant State means the communication in any form and by any means of sufficient information on the terms of the offer and our securities to be offered so as to enable an investor to decide to purchase or subscribe for our securities.</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This EEA and UK selling restriction is in addition to any other selling restrictions set out below.</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Switzerland</w:t>
      </w:r>
    </w:p>
    <w:p>
      <w:pPr>
        <w:spacing w:after="0" w:line="104" w:lineRule="exact"/>
        <w:rPr>
          <w:sz w:val="20"/>
          <w:szCs w:val="20"/>
          <w:color w:val="auto"/>
        </w:rPr>
      </w:pPr>
    </w:p>
    <w:p>
      <w:pPr>
        <w:ind w:left="460" w:right="180" w:firstLine="379"/>
        <w:spacing w:after="0" w:line="254" w:lineRule="auto"/>
        <w:rPr>
          <w:sz w:val="20"/>
          <w:szCs w:val="20"/>
          <w:color w:val="auto"/>
        </w:rPr>
      </w:pPr>
      <w:r>
        <w:rPr>
          <w:rFonts w:ascii="Times New Roman" w:cs="Times New Roman" w:eastAsia="Times New Roman" w:hAnsi="Times New Roman"/>
          <w:sz w:val="15"/>
          <w:szCs w:val="15"/>
          <w:color w:val="auto"/>
        </w:rPr>
        <w:t>This prospectus is not intended to constitute an offer or solicitation to purchase or invest in the public units in Switzerland. The public units offered hereby may not be publicly offered, directly or indirectly, in Switzerland within the meaning of the Swiss Financial Services Act (“FinSA”) and no application has or will be made to admit the public units to trading on any trading venue (exchange or multilateral trading facility) in Switzerland. Neither this prospectus nor any other offering or marketing material relating to the public units constitutes a prospectus pursuant to the FinSA, and neither this prospectus nor any other offering or marketing material relating to the public units may be publicly distributed or otherwise made publicly available in Switzerland.</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Selling Restrictions with Respect to the United Kingdom</w:t>
      </w:r>
    </w:p>
    <w:p>
      <w:pPr>
        <w:spacing w:after="0" w:line="104"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This prospectus may not be distributed or circulated to any person in the UK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60" w:lineRule="exact"/>
        <w:rPr>
          <w:sz w:val="20"/>
          <w:szCs w:val="20"/>
          <w:color w:val="auto"/>
        </w:rPr>
      </w:pPr>
    </w:p>
    <w:p>
      <w:pPr>
        <w:ind w:left="460" w:right="320" w:firstLine="379"/>
        <w:spacing w:after="0" w:line="265" w:lineRule="auto"/>
        <w:rPr>
          <w:sz w:val="20"/>
          <w:szCs w:val="20"/>
          <w:color w:val="auto"/>
        </w:rPr>
      </w:pPr>
      <w:r>
        <w:rPr>
          <w:rFonts w:ascii="Times New Roman" w:cs="Times New Roman" w:eastAsia="Times New Roman" w:hAnsi="Times New Roman"/>
          <w:sz w:val="15"/>
          <w:szCs w:val="15"/>
          <w:color w:val="auto"/>
        </w:rPr>
        <w:t>Any invitation or inducement to engage in investment activity (within the meaning of Section 21 of the United Kingdom’s Financial Services and Markets Act 2000, as amended (the “FSMA”)) in connection with the issue or sale of our securities may only be communicated or caused to be communicated in circumstances in which Section 21(1) of the FSMA does not apply to us.</w:t>
      </w:r>
    </w:p>
    <w:p>
      <w:pPr>
        <w:spacing w:after="0" w:line="151" w:lineRule="exact"/>
        <w:rPr>
          <w:sz w:val="20"/>
          <w:szCs w:val="20"/>
          <w:color w:val="auto"/>
        </w:rPr>
      </w:pPr>
    </w:p>
    <w:p>
      <w:pPr>
        <w:ind w:left="460" w:right="440" w:firstLine="379"/>
        <w:spacing w:after="0" w:line="284" w:lineRule="auto"/>
        <w:rPr>
          <w:sz w:val="20"/>
          <w:szCs w:val="20"/>
          <w:color w:val="auto"/>
        </w:rPr>
      </w:pPr>
      <w:r>
        <w:rPr>
          <w:rFonts w:ascii="Times New Roman" w:cs="Times New Roman" w:eastAsia="Times New Roman" w:hAnsi="Times New Roman"/>
          <w:sz w:val="15"/>
          <w:szCs w:val="15"/>
          <w:color w:val="auto"/>
        </w:rPr>
        <w:t>All applicable provisions of the FSMA must be complied with in respect to anything done by any person in relation to our securities in, from or otherwise involving the UK.</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230</w:t>
      </w:r>
    </w:p>
    <w:p>
      <w:pPr>
        <w:sectPr>
          <w:pgSz w:w="11900" w:h="16840" w:orient="portrait"/>
          <w:cols w:equalWidth="0" w:num="1">
            <w:col w:w="10120"/>
          </w:cols>
          <w:pgMar w:left="660" w:top="874" w:right="1120" w:bottom="1440" w:gutter="0" w:footer="0" w:header="0"/>
        </w:sectPr>
      </w:pPr>
    </w:p>
    <w:bookmarkStart w:id="243" w:name="page244"/>
    <w:bookmarkEnd w:id="2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France</w:t>
      </w:r>
    </w:p>
    <w:p>
      <w:pPr>
        <w:spacing w:after="0" w:line="104"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Neither this prospectus nor any other offering material relating to the public units described in this prospectus has been submitted to the clearance procedures of the Autorité des Marchés Financiers or by the competent authority of another member state of the European Economic Area and notified to the Autorité des Marchés Financiers. The public units have not been offered or sold and will not be offered or sold, directly or indirectly, to the public in France. Neither this prospectus nor any other offering material relating to the public units has been or will be:</w:t>
      </w:r>
    </w:p>
    <w:p>
      <w:pPr>
        <w:spacing w:after="0" w:line="85" w:lineRule="exact"/>
        <w:rPr>
          <w:sz w:val="20"/>
          <w:szCs w:val="20"/>
          <w:color w:val="auto"/>
        </w:rPr>
      </w:pPr>
    </w:p>
    <w:p>
      <w:pPr>
        <w:ind w:left="1300" w:hanging="371"/>
        <w:spacing w:after="0"/>
        <w:tabs>
          <w:tab w:leader="none" w:pos="13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released, issued, distributed or caused to be released, issued or distributed to the public in France; or</w:t>
      </w:r>
    </w:p>
    <w:p>
      <w:pPr>
        <w:spacing w:after="0" w:line="123"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used in connection with any offer for subscription or sale of the public units to the public in France.</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Such offers, sales and distributions will be made in France only:</w:t>
      </w:r>
    </w:p>
    <w:p>
      <w:pPr>
        <w:spacing w:after="0" w:line="124" w:lineRule="exact"/>
        <w:rPr>
          <w:sz w:val="20"/>
          <w:szCs w:val="20"/>
          <w:color w:val="auto"/>
        </w:rPr>
      </w:pPr>
    </w:p>
    <w:p>
      <w:pPr>
        <w:ind w:left="1300" w:right="40" w:hanging="371"/>
        <w:spacing w:after="0" w:line="265" w:lineRule="auto"/>
        <w:tabs>
          <w:tab w:leader="none" w:pos="13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80" w:lineRule="exact"/>
        <w:rPr>
          <w:rFonts w:ascii="Times New Roman" w:cs="Times New Roman" w:eastAsia="Times New Roman" w:hAnsi="Times New Roman"/>
          <w:sz w:val="15"/>
          <w:szCs w:val="15"/>
          <w:color w:val="auto"/>
        </w:rPr>
      </w:pPr>
    </w:p>
    <w:p>
      <w:pPr>
        <w:ind w:left="1300" w:hanging="371"/>
        <w:spacing w:after="0"/>
        <w:tabs>
          <w:tab w:leader="none" w:pos="13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investment services providers authorized to engage in portfolio management on behalf of third parties; or</w:t>
      </w:r>
    </w:p>
    <w:p>
      <w:pPr>
        <w:spacing w:after="0" w:line="123" w:lineRule="exact"/>
        <w:rPr>
          <w:rFonts w:ascii="Times New Roman" w:cs="Times New Roman" w:eastAsia="Times New Roman" w:hAnsi="Times New Roman"/>
          <w:sz w:val="15"/>
          <w:szCs w:val="15"/>
          <w:color w:val="auto"/>
        </w:rPr>
      </w:pPr>
    </w:p>
    <w:p>
      <w:pPr>
        <w:ind w:left="1300" w:right="260" w:hanging="371"/>
        <w:spacing w:after="0" w:line="274" w:lineRule="auto"/>
        <w:tabs>
          <w:tab w:leader="none" w:pos="13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 transaction that, in accordance with article L.411-2-II-1° -or-2° -or 3° of the French Code monétaire et financier and article211-2 of the General Regulations (Règlement Général) of the Autorité des Marchés Financiers, does not constitute a public offer (appel public à l’épargne).</w:t>
      </w:r>
    </w:p>
    <w:p>
      <w:pPr>
        <w:spacing w:after="0" w:line="329" w:lineRule="exact"/>
        <w:rPr>
          <w:sz w:val="20"/>
          <w:szCs w:val="20"/>
          <w:color w:val="auto"/>
        </w:rPr>
      </w:pPr>
    </w:p>
    <w:p>
      <w:pPr>
        <w:ind w:left="460" w:right="260" w:firstLine="379"/>
        <w:spacing w:after="0" w:line="284" w:lineRule="auto"/>
        <w:rPr>
          <w:sz w:val="20"/>
          <w:szCs w:val="20"/>
          <w:color w:val="auto"/>
        </w:rPr>
      </w:pPr>
      <w:r>
        <w:rPr>
          <w:rFonts w:ascii="Times New Roman" w:cs="Times New Roman" w:eastAsia="Times New Roman" w:hAnsi="Times New Roman"/>
          <w:sz w:val="15"/>
          <w:szCs w:val="15"/>
          <w:color w:val="auto"/>
        </w:rPr>
        <w:t>The public units may be resold directly or indirectly, only in compliance with ArticlesL.411-1, L.411-2, L.412-1 and L.621-8 through L.621-8-3 of the French Code monétaire et financier.</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Hong Kong</w:t>
      </w:r>
    </w:p>
    <w:p>
      <w:pPr>
        <w:spacing w:after="0" w:line="104" w:lineRule="exact"/>
        <w:rPr>
          <w:sz w:val="20"/>
          <w:szCs w:val="20"/>
          <w:color w:val="auto"/>
        </w:rPr>
      </w:pPr>
    </w:p>
    <w:p>
      <w:pPr>
        <w:ind w:left="460" w:right="40" w:firstLine="379"/>
        <w:spacing w:after="0" w:line="252" w:lineRule="auto"/>
        <w:rPr>
          <w:sz w:val="20"/>
          <w:szCs w:val="20"/>
          <w:color w:val="auto"/>
        </w:rPr>
      </w:pPr>
      <w:r>
        <w:rPr>
          <w:rFonts w:ascii="Times New Roman" w:cs="Times New Roman" w:eastAsia="Times New Roman" w:hAnsi="Times New Roman"/>
          <w:sz w:val="15"/>
          <w:szCs w:val="15"/>
          <w:color w:val="auto"/>
        </w:rPr>
        <w:t>No securities have been offered or sold, and no securities may be offered or sold, in Hong Kong, by means of any document, other than (a) to “professional investors” as defined in the Securities and Futures Ordinance (Cap. 571) of Hong Kong (“SFO”) and any rules made under the SFO; or (b) in other circumstances which do not result in the document being a “prospectus” as defined in the Companies Ordinance (Winding Up and Miscellaneous Provisions Ordinance (Cap. 32) of Hong Kong (the “C(WUMP)O”) or which do not constitute an offer to the public within the meaning of the C(WUMP)O.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62" w:lineRule="exact"/>
        <w:rPr>
          <w:sz w:val="20"/>
          <w:szCs w:val="20"/>
          <w:color w:val="auto"/>
        </w:rPr>
      </w:pPr>
    </w:p>
    <w:p>
      <w:pPr>
        <w:ind w:left="460" w:right="80" w:firstLine="379"/>
        <w:spacing w:after="0" w:line="256" w:lineRule="auto"/>
        <w:rPr>
          <w:sz w:val="20"/>
          <w:szCs w:val="20"/>
          <w:color w:val="auto"/>
        </w:rPr>
      </w:pPr>
      <w:r>
        <w:rPr>
          <w:rFonts w:ascii="Times New Roman" w:cs="Times New Roman" w:eastAsia="Times New Roman" w:hAnsi="Times New Roman"/>
          <w:sz w:val="15"/>
          <w:szCs w:val="15"/>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Singapore</w:t>
      </w:r>
    </w:p>
    <w:p>
      <w:pPr>
        <w:spacing w:after="0" w:line="104" w:lineRule="exact"/>
        <w:rPr>
          <w:sz w:val="20"/>
          <w:szCs w:val="20"/>
          <w:color w:val="auto"/>
        </w:rPr>
      </w:pPr>
    </w:p>
    <w:p>
      <w:pPr>
        <w:ind w:left="460" w:right="540" w:firstLine="379"/>
        <w:spacing w:after="0" w:line="284" w:lineRule="auto"/>
        <w:rPr>
          <w:sz w:val="20"/>
          <w:szCs w:val="20"/>
          <w:color w:val="auto"/>
        </w:rPr>
      </w:pPr>
      <w:r>
        <w:rPr>
          <w:rFonts w:ascii="Times New Roman" w:cs="Times New Roman" w:eastAsia="Times New Roman" w:hAnsi="Times New Roman"/>
          <w:sz w:val="15"/>
          <w:szCs w:val="15"/>
          <w:color w:val="auto"/>
        </w:rPr>
        <w:t>This prospectus has not been and will not be lodged or registered as a prospectus with the Monetary Authority of Singapore. Accordingly, this prospectus and any other document or material in connection with the</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231</w:t>
      </w:r>
    </w:p>
    <w:p>
      <w:pPr>
        <w:sectPr>
          <w:pgSz w:w="11900" w:h="16840" w:orient="portrait"/>
          <w:cols w:equalWidth="0" w:num="1">
            <w:col w:w="10140"/>
          </w:cols>
          <w:pgMar w:left="660" w:top="874" w:right="1100" w:bottom="1440" w:gutter="0" w:footer="0" w:header="0"/>
        </w:sectPr>
      </w:pPr>
    </w:p>
    <w:bookmarkStart w:id="244" w:name="page245"/>
    <w:bookmarkEnd w:id="2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5"/>
          <w:szCs w:val="15"/>
          <w:color w:val="auto"/>
        </w:rPr>
        <w:t>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Where the securities are subscribed or purchased under Section 275 of the SFA by a relevant person which is:</w:t>
      </w:r>
    </w:p>
    <w:p>
      <w:pPr>
        <w:spacing w:after="0" w:line="124" w:lineRule="exact"/>
        <w:rPr>
          <w:sz w:val="20"/>
          <w:szCs w:val="20"/>
          <w:color w:val="auto"/>
        </w:rPr>
      </w:pPr>
    </w:p>
    <w:p>
      <w:pPr>
        <w:ind w:left="1300" w:right="40" w:hanging="371"/>
        <w:spacing w:after="0" w:line="284" w:lineRule="auto"/>
        <w:tabs>
          <w:tab w:leader="none" w:pos="130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78" w:lineRule="exact"/>
        <w:rPr>
          <w:rFonts w:ascii="Times New Roman" w:cs="Times New Roman" w:eastAsia="Times New Roman" w:hAnsi="Times New Roman"/>
          <w:sz w:val="15"/>
          <w:szCs w:val="15"/>
          <w:color w:val="auto"/>
        </w:rPr>
      </w:pPr>
    </w:p>
    <w:p>
      <w:pPr>
        <w:ind w:left="1300" w:hanging="371"/>
        <w:spacing w:after="0" w:line="259" w:lineRule="auto"/>
        <w:tabs>
          <w:tab w:leader="none" w:pos="130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4" w:lineRule="exact"/>
        <w:rPr>
          <w:rFonts w:ascii="Times New Roman" w:cs="Times New Roman" w:eastAsia="Times New Roman" w:hAnsi="Times New Roman"/>
          <w:sz w:val="15"/>
          <w:szCs w:val="15"/>
          <w:color w:val="auto"/>
        </w:rPr>
      </w:pPr>
    </w:p>
    <w:p>
      <w:pPr>
        <w:ind w:left="1700" w:hanging="380"/>
        <w:spacing w:after="0" w:line="284" w:lineRule="auto"/>
        <w:tabs>
          <w:tab w:leader="none" w:pos="170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or to a relevant person defined in Section 275(2) of the SFA, or to any person arising from an offer referred to in Section 275(1A) or Section 276(4)(i)(B) of the SFA;</w:t>
      </w:r>
    </w:p>
    <w:p>
      <w:pPr>
        <w:spacing w:after="0" w:line="65" w:lineRule="exact"/>
        <w:rPr>
          <w:rFonts w:ascii="Times New Roman" w:cs="Times New Roman" w:eastAsia="Times New Roman" w:hAnsi="Times New Roman"/>
          <w:sz w:val="15"/>
          <w:szCs w:val="15"/>
          <w:color w:val="auto"/>
        </w:rPr>
      </w:pPr>
    </w:p>
    <w:p>
      <w:pPr>
        <w:ind w:left="1700" w:hanging="380"/>
        <w:spacing w:after="0"/>
        <w:tabs>
          <w:tab w:leader="none" w:pos="170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or will be given for the transfer;</w:t>
      </w:r>
    </w:p>
    <w:p>
      <w:pPr>
        <w:spacing w:after="0" w:line="123" w:lineRule="exact"/>
        <w:rPr>
          <w:rFonts w:ascii="Times New Roman" w:cs="Times New Roman" w:eastAsia="Times New Roman" w:hAnsi="Times New Roman"/>
          <w:sz w:val="15"/>
          <w:szCs w:val="15"/>
          <w:color w:val="auto"/>
        </w:rPr>
      </w:pPr>
    </w:p>
    <w:p>
      <w:pPr>
        <w:ind w:left="1700" w:hanging="380"/>
        <w:spacing w:after="0"/>
        <w:tabs>
          <w:tab w:leader="none" w:pos="170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transfer is by operation of law;</w:t>
      </w:r>
    </w:p>
    <w:p>
      <w:pPr>
        <w:spacing w:after="0" w:line="123" w:lineRule="exact"/>
        <w:rPr>
          <w:rFonts w:ascii="Times New Roman" w:cs="Times New Roman" w:eastAsia="Times New Roman" w:hAnsi="Times New Roman"/>
          <w:sz w:val="15"/>
          <w:szCs w:val="15"/>
          <w:color w:val="auto"/>
        </w:rPr>
      </w:pPr>
    </w:p>
    <w:p>
      <w:pPr>
        <w:ind w:left="1700" w:hanging="380"/>
        <w:spacing w:after="0"/>
        <w:tabs>
          <w:tab w:leader="none" w:pos="170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Section 276(7) of the SFA; or</w:t>
      </w:r>
    </w:p>
    <w:p>
      <w:pPr>
        <w:spacing w:after="0" w:line="123" w:lineRule="exact"/>
        <w:rPr>
          <w:rFonts w:ascii="Times New Roman" w:cs="Times New Roman" w:eastAsia="Times New Roman" w:hAnsi="Times New Roman"/>
          <w:sz w:val="15"/>
          <w:szCs w:val="15"/>
          <w:color w:val="auto"/>
        </w:rPr>
      </w:pPr>
    </w:p>
    <w:p>
      <w:pPr>
        <w:ind w:left="1700" w:right="520" w:hanging="380"/>
        <w:spacing w:after="0" w:line="284" w:lineRule="auto"/>
        <w:tabs>
          <w:tab w:leader="none" w:pos="170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Regulation 32 of the Securities and Futures (Offers of Investments) (Shares and Debentures) Regulations 2005 of Singapore.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Cayman Islands</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No offer or invitation, whether directly or indirectly may be made to the public in the Cayman Islands to subscribe for our securities.</w:t>
      </w:r>
    </w:p>
    <w:p>
      <w:pPr>
        <w:spacing w:after="0" w:line="15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232</w:t>
      </w:r>
    </w:p>
    <w:p>
      <w:pPr>
        <w:sectPr>
          <w:pgSz w:w="11900" w:h="16840" w:orient="portrait"/>
          <w:cols w:equalWidth="0" w:num="1">
            <w:col w:w="10120"/>
          </w:cols>
          <w:pgMar w:left="660" w:top="874" w:right="1120" w:bottom="1440" w:gutter="0" w:footer="0" w:header="0"/>
        </w:sectPr>
      </w:pPr>
    </w:p>
    <w:bookmarkStart w:id="245" w:name="page246"/>
    <w:bookmarkEnd w:id="2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9"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DLA Piper LLP (US), San Francisco, California, is acting as counsel in connection with the registration of our securities under the Securities Act, and as such, will pass upon the validity of the securities offered in this prospectus with respect to units and rights. Harney Westwood &amp; Riegels (Cayman) LLP will pass upon the validity of the securities offered in this prospectus with respect to the ordinary shares and matters of Cayman Islands law. Ellenoff Grossman &amp; Schole LLP, New York, New York, is acting as counsel to the underwriters in connection with this offering.</w:t>
      </w:r>
    </w:p>
    <w:p>
      <w:pPr>
        <w:spacing w:after="0" w:line="1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233</w:t>
      </w:r>
    </w:p>
    <w:p>
      <w:pPr>
        <w:sectPr>
          <w:pgSz w:w="11900" w:h="16840" w:orient="portrait"/>
          <w:cols w:equalWidth="0" w:num="1">
            <w:col w:w="10080"/>
          </w:cols>
          <w:pgMar w:left="660" w:top="874" w:right="1160" w:bottom="1440" w:gutter="0" w:footer="0" w:header="0"/>
        </w:sectPr>
      </w:pPr>
    </w:p>
    <w:bookmarkStart w:id="246" w:name="page247"/>
    <w:bookmarkEnd w:id="2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9"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The financial statements of the Company as of July 21, 2025 and for the period from June 30, 2025 (date of inception) through July 21, 2025 included in this prospectus have been so included in reliance on the report (which contains an explanatory paragraph relating to the Company’s ability to continue as a going concern as described in Note 1 to the financial statements) of BPM LLP, an independent registered public accounting firm, given on the authority of said firm as experts in auditing and accounting.</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234</w:t>
      </w:r>
    </w:p>
    <w:p>
      <w:pPr>
        <w:sectPr>
          <w:pgSz w:w="11900" w:h="16840" w:orient="portrait"/>
          <w:cols w:equalWidth="0" w:num="1">
            <w:col w:w="10140"/>
          </w:cols>
          <w:pgMar w:left="660" w:top="874" w:right="1100" w:bottom="1440" w:gutter="0" w:footer="0" w:header="0"/>
        </w:sectPr>
      </w:pPr>
    </w:p>
    <w:bookmarkStart w:id="247" w:name="page248"/>
    <w:bookmarkEnd w:id="2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WHERE YOU CAN FIND ADDITIONAL INFORMATION</w:t>
      </w:r>
    </w:p>
    <w:p>
      <w:pPr>
        <w:spacing w:after="0" w:line="199"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60" w:lineRule="exact"/>
        <w:rPr>
          <w:sz w:val="20"/>
          <w:szCs w:val="20"/>
          <w:color w:val="auto"/>
        </w:rPr>
      </w:pPr>
    </w:p>
    <w:p>
      <w:pPr>
        <w:ind w:left="460" w:right="100" w:firstLine="379"/>
        <w:spacing w:after="0" w:line="252" w:lineRule="auto"/>
        <w:rPr>
          <w:sz w:val="20"/>
          <w:szCs w:val="20"/>
          <w:color w:val="auto"/>
        </w:rPr>
      </w:pPr>
      <w:r>
        <w:rPr>
          <w:rFonts w:ascii="Times New Roman" w:cs="Times New Roman" w:eastAsia="Times New Roman" w:hAnsi="Times New Roman"/>
          <w:sz w:val="15"/>
          <w:szCs w:val="15"/>
          <w:color w:val="auto"/>
        </w:rPr>
        <w:t xml:space="preserve">Upon completion of this offering, we will be subject to the information requirements of the Exchange Act and will file (if we are a foreign private issuer, in certain cases voluntarily) annual, quarterly and current event reports, proxy statements (if we will not be a foreign private issuer at such time) and other information with the SEC. You can read our SEC filings, including the registration statement, over the Internet at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In addition, copies of our SEC filings may be accessed on our company website at</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http://www.gigcapital8.com</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235</w:t>
      </w:r>
    </w:p>
    <w:p>
      <w:pPr>
        <w:sectPr>
          <w:pgSz w:w="11900" w:h="16840" w:orient="portrait"/>
          <w:cols w:equalWidth="0" w:num="1">
            <w:col w:w="10120"/>
          </w:cols>
          <w:pgMar w:left="660" w:top="874" w:right="1120"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72"/>
        </w:trPr>
        <w:tc>
          <w:tcPr>
            <w:tcW w:w="8060" w:type="dxa"/>
            <w:vAlign w:val="bottom"/>
            <w:gridSpan w:val="9"/>
          </w:tcPr>
          <w:p>
            <w:pPr>
              <w:spacing w:after="0"/>
              <w:rPr>
                <w:rFonts w:ascii="Times New Roman" w:cs="Times New Roman" w:eastAsia="Times New Roman" w:hAnsi="Times New Roman"/>
                <w:sz w:val="15"/>
                <w:szCs w:val="15"/>
                <w:b w:val="1"/>
                <w:bCs w:val="1"/>
                <w:color w:val="0000EE"/>
              </w:rPr>
            </w:pPr>
            <w:hyperlink w:anchor="page10">
              <w:r>
                <w:rPr>
                  <w:rFonts w:ascii="Times New Roman" w:cs="Times New Roman" w:eastAsia="Times New Roman" w:hAnsi="Times New Roman"/>
                  <w:sz w:val="15"/>
                  <w:szCs w:val="15"/>
                  <w:b w:val="1"/>
                  <w:bCs w:val="1"/>
                  <w:color w:val="0000EE"/>
                </w:rPr>
                <w:t>Table of Contents</w:t>
              </w:r>
            </w:hyperlink>
          </w:p>
        </w:tc>
        <w:tc>
          <w:tcPr>
            <w:tcW w:w="2020" w:type="dxa"/>
            <w:vAlign w:val="bottom"/>
          </w:tcPr>
          <w:p>
            <w:pPr>
              <w:spacing w:after="0"/>
              <w:rPr>
                <w:sz w:val="15"/>
                <w:szCs w:val="15"/>
                <w:color w:val="auto"/>
              </w:rPr>
            </w:pPr>
          </w:p>
        </w:tc>
      </w:tr>
      <w:tr>
        <w:trPr>
          <w:trHeight w:val="452"/>
        </w:trPr>
        <w:tc>
          <w:tcPr>
            <w:tcW w:w="4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20" w:type="dxa"/>
            <w:vAlign w:val="bottom"/>
            <w:gridSpan w:val="2"/>
          </w:tcPr>
          <w:p>
            <w:pPr>
              <w:jc w:val="center"/>
              <w:ind w:right="1020"/>
              <w:spacing w:after="0"/>
              <w:rPr>
                <w:sz w:val="20"/>
                <w:szCs w:val="20"/>
                <w:color w:val="auto"/>
              </w:rPr>
            </w:pPr>
            <w:r>
              <w:rPr>
                <w:rFonts w:ascii="Times New Roman" w:cs="Times New Roman" w:eastAsia="Times New Roman" w:hAnsi="Times New Roman"/>
                <w:sz w:val="15"/>
                <w:szCs w:val="15"/>
                <w:b w:val="1"/>
                <w:bCs w:val="1"/>
                <w:color w:val="auto"/>
              </w:rPr>
              <w:t>GIGCAPITAL8 CORP.</w:t>
            </w:r>
          </w:p>
        </w:tc>
        <w:tc>
          <w:tcPr>
            <w:tcW w:w="2020" w:type="dxa"/>
            <w:vAlign w:val="bottom"/>
          </w:tcPr>
          <w:p>
            <w:pPr>
              <w:spacing w:after="0"/>
              <w:rPr>
                <w:sz w:val="24"/>
                <w:szCs w:val="24"/>
                <w:color w:val="auto"/>
              </w:rPr>
            </w:pPr>
          </w:p>
        </w:tc>
      </w:tr>
      <w:tr>
        <w:trPr>
          <w:trHeight w:val="272"/>
        </w:trPr>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520" w:type="dxa"/>
            <w:vAlign w:val="bottom"/>
            <w:gridSpan w:val="2"/>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tc>
        <w:tc>
          <w:tcPr>
            <w:tcW w:w="2020" w:type="dxa"/>
            <w:vAlign w:val="bottom"/>
          </w:tcPr>
          <w:p>
            <w:pPr>
              <w:spacing w:after="0"/>
              <w:rPr>
                <w:sz w:val="23"/>
                <w:szCs w:val="23"/>
                <w:color w:val="auto"/>
              </w:rPr>
            </w:pPr>
          </w:p>
        </w:tc>
      </w:tr>
      <w:tr>
        <w:trPr>
          <w:trHeight w:val="369"/>
        </w:trPr>
        <w:tc>
          <w:tcPr>
            <w:tcW w:w="460" w:type="dxa"/>
            <w:vAlign w:val="bottom"/>
          </w:tcPr>
          <w:p>
            <w:pPr>
              <w:spacing w:after="0"/>
              <w:rPr>
                <w:sz w:val="24"/>
                <w:szCs w:val="24"/>
                <w:color w:val="auto"/>
              </w:rPr>
            </w:pPr>
          </w:p>
        </w:tc>
        <w:tc>
          <w:tcPr>
            <w:tcW w:w="7600" w:type="dxa"/>
            <w:vAlign w:val="bottom"/>
            <w:gridSpan w:val="8"/>
          </w:tcPr>
          <w:p>
            <w:pPr>
              <w:spacing w:after="0"/>
              <w:rPr>
                <w:rFonts w:ascii="Times New Roman" w:cs="Times New Roman" w:eastAsia="Times New Roman" w:hAnsi="Times New Roman"/>
                <w:sz w:val="15"/>
                <w:szCs w:val="15"/>
                <w:color w:val="0000EE"/>
              </w:rPr>
            </w:pPr>
            <w:hyperlink w:anchor="page250">
              <w:r>
                <w:rPr>
                  <w:rFonts w:ascii="Times New Roman" w:cs="Times New Roman" w:eastAsia="Times New Roman" w:hAnsi="Times New Roman"/>
                  <w:sz w:val="15"/>
                  <w:szCs w:val="15"/>
                  <w:color w:val="0000EE"/>
                </w:rPr>
                <w:t>Report of Independent Registered Public Accounting Firm (PCAOB ID: 207)</w:t>
              </w:r>
            </w:hyperlink>
          </w:p>
        </w:tc>
        <w:tc>
          <w:tcPr>
            <w:tcW w:w="2020" w:type="dxa"/>
            <w:vAlign w:val="bottom"/>
          </w:tcPr>
          <w:p>
            <w:pPr>
              <w:ind w:left="1800"/>
              <w:spacing w:after="0"/>
              <w:rPr>
                <w:sz w:val="20"/>
                <w:szCs w:val="20"/>
                <w:color w:val="auto"/>
              </w:rPr>
            </w:pPr>
            <w:r>
              <w:rPr>
                <w:rFonts w:ascii="Times New Roman" w:cs="Times New Roman" w:eastAsia="Times New Roman" w:hAnsi="Times New Roman"/>
                <w:sz w:val="15"/>
                <w:szCs w:val="15"/>
                <w:color w:val="auto"/>
                <w:w w:val="95"/>
              </w:rPr>
              <w:t>F-2</w:t>
            </w:r>
          </w:p>
        </w:tc>
      </w:tr>
      <w:tr>
        <w:trPr>
          <w:trHeight w:val="158"/>
        </w:trPr>
        <w:tc>
          <w:tcPr>
            <w:tcW w:w="460" w:type="dxa"/>
            <w:vAlign w:val="bottom"/>
          </w:tcPr>
          <w:p>
            <w:pPr>
              <w:spacing w:after="0"/>
              <w:rPr>
                <w:sz w:val="13"/>
                <w:szCs w:val="13"/>
                <w:color w:val="auto"/>
              </w:rPr>
            </w:pPr>
          </w:p>
        </w:tc>
        <w:tc>
          <w:tcPr>
            <w:tcW w:w="880" w:type="dxa"/>
            <w:vAlign w:val="bottom"/>
            <w:tcBorders>
              <w:top w:val="single" w:sz="8" w:color="0000EE"/>
              <w:bottom w:val="single" w:sz="8" w:color="0000EE"/>
            </w:tcBorders>
            <w:gridSpan w:val="2"/>
          </w:tcPr>
          <w:p>
            <w:pPr>
              <w:spacing w:after="0" w:line="158" w:lineRule="exact"/>
              <w:rPr>
                <w:rFonts w:ascii="Times New Roman" w:cs="Times New Roman" w:eastAsia="Times New Roman" w:hAnsi="Times New Roman"/>
                <w:sz w:val="15"/>
                <w:szCs w:val="15"/>
                <w:color w:val="0000EE"/>
              </w:rPr>
            </w:pPr>
            <w:hyperlink w:anchor="page251">
              <w:r>
                <w:rPr>
                  <w:rFonts w:ascii="Times New Roman" w:cs="Times New Roman" w:eastAsia="Times New Roman" w:hAnsi="Times New Roman"/>
                  <w:sz w:val="15"/>
                  <w:szCs w:val="15"/>
                  <w:color w:val="0000EE"/>
                </w:rPr>
                <w:t>Balance Sheet</w:t>
              </w:r>
            </w:hyperlink>
          </w:p>
        </w:tc>
        <w:tc>
          <w:tcPr>
            <w:tcW w:w="3860" w:type="dxa"/>
            <w:vAlign w:val="bottom"/>
            <w:tcBorders>
              <w:top w:val="single" w:sz="8" w:color="0000EE"/>
            </w:tcBorders>
            <w:gridSpan w:val="5"/>
          </w:tcPr>
          <w:p>
            <w:pPr>
              <w:spacing w:after="0"/>
              <w:rPr>
                <w:sz w:val="13"/>
                <w:szCs w:val="13"/>
                <w:color w:val="auto"/>
              </w:rPr>
            </w:pPr>
          </w:p>
        </w:tc>
        <w:tc>
          <w:tcPr>
            <w:tcW w:w="2860" w:type="dxa"/>
            <w:vAlign w:val="bottom"/>
          </w:tcPr>
          <w:p>
            <w:pPr>
              <w:spacing w:after="0"/>
              <w:rPr>
                <w:sz w:val="13"/>
                <w:szCs w:val="13"/>
                <w:color w:val="auto"/>
              </w:rPr>
            </w:pPr>
          </w:p>
        </w:tc>
        <w:tc>
          <w:tcPr>
            <w:tcW w:w="2020" w:type="dxa"/>
            <w:vAlign w:val="bottom"/>
          </w:tcPr>
          <w:p>
            <w:pPr>
              <w:ind w:left="1800"/>
              <w:spacing w:after="0" w:line="158" w:lineRule="exact"/>
              <w:rPr>
                <w:sz w:val="20"/>
                <w:szCs w:val="20"/>
                <w:color w:val="auto"/>
              </w:rPr>
            </w:pPr>
            <w:r>
              <w:rPr>
                <w:rFonts w:ascii="Times New Roman" w:cs="Times New Roman" w:eastAsia="Times New Roman" w:hAnsi="Times New Roman"/>
                <w:sz w:val="15"/>
                <w:szCs w:val="15"/>
                <w:color w:val="auto"/>
                <w:w w:val="95"/>
              </w:rPr>
              <w:t>F-3</w:t>
            </w:r>
          </w:p>
        </w:tc>
      </w:tr>
      <w:tr>
        <w:trPr>
          <w:trHeight w:val="158"/>
        </w:trPr>
        <w:tc>
          <w:tcPr>
            <w:tcW w:w="460" w:type="dxa"/>
            <w:vAlign w:val="bottom"/>
          </w:tcPr>
          <w:p>
            <w:pPr>
              <w:spacing w:after="0"/>
              <w:rPr>
                <w:sz w:val="13"/>
                <w:szCs w:val="13"/>
                <w:color w:val="auto"/>
              </w:rPr>
            </w:pPr>
          </w:p>
        </w:tc>
        <w:tc>
          <w:tcPr>
            <w:tcW w:w="7600" w:type="dxa"/>
            <w:vAlign w:val="bottom"/>
            <w:gridSpan w:val="8"/>
          </w:tcPr>
          <w:p>
            <w:pPr>
              <w:spacing w:after="0" w:line="158" w:lineRule="exact"/>
              <w:rPr>
                <w:rFonts w:ascii="Times New Roman" w:cs="Times New Roman" w:eastAsia="Times New Roman" w:hAnsi="Times New Roman"/>
                <w:sz w:val="15"/>
                <w:szCs w:val="15"/>
                <w:color w:val="0000EE"/>
              </w:rPr>
            </w:pPr>
            <w:hyperlink w:anchor="page252">
              <w:r>
                <w:rPr>
                  <w:rFonts w:ascii="Times New Roman" w:cs="Times New Roman" w:eastAsia="Times New Roman" w:hAnsi="Times New Roman"/>
                  <w:sz w:val="15"/>
                  <w:szCs w:val="15"/>
                  <w:color w:val="0000EE"/>
                </w:rPr>
                <w:t>Statement of Operations and Comprehensive Loss</w:t>
              </w:r>
            </w:hyperlink>
          </w:p>
        </w:tc>
        <w:tc>
          <w:tcPr>
            <w:tcW w:w="2020" w:type="dxa"/>
            <w:vAlign w:val="bottom"/>
          </w:tcPr>
          <w:p>
            <w:pPr>
              <w:ind w:left="1800"/>
              <w:spacing w:after="0" w:line="158" w:lineRule="exact"/>
              <w:rPr>
                <w:sz w:val="20"/>
                <w:szCs w:val="20"/>
                <w:color w:val="auto"/>
              </w:rPr>
            </w:pPr>
            <w:r>
              <w:rPr>
                <w:rFonts w:ascii="Times New Roman" w:cs="Times New Roman" w:eastAsia="Times New Roman" w:hAnsi="Times New Roman"/>
                <w:sz w:val="15"/>
                <w:szCs w:val="15"/>
                <w:color w:val="auto"/>
                <w:w w:val="95"/>
              </w:rPr>
              <w:t>F-4</w:t>
            </w:r>
          </w:p>
        </w:tc>
      </w:tr>
      <w:tr>
        <w:trPr>
          <w:trHeight w:val="158"/>
        </w:trPr>
        <w:tc>
          <w:tcPr>
            <w:tcW w:w="460" w:type="dxa"/>
            <w:vAlign w:val="bottom"/>
          </w:tcPr>
          <w:p>
            <w:pPr>
              <w:spacing w:after="0"/>
              <w:rPr>
                <w:sz w:val="13"/>
                <w:szCs w:val="13"/>
                <w:color w:val="auto"/>
              </w:rPr>
            </w:pPr>
          </w:p>
        </w:tc>
        <w:tc>
          <w:tcPr>
            <w:tcW w:w="2120" w:type="dxa"/>
            <w:vAlign w:val="bottom"/>
            <w:tcBorders>
              <w:top w:val="single" w:sz="8" w:color="0000EE"/>
              <w:bottom w:val="single" w:sz="8" w:color="0000EE"/>
            </w:tcBorders>
            <w:gridSpan w:val="5"/>
          </w:tcPr>
          <w:p>
            <w:pPr>
              <w:spacing w:after="0" w:line="158" w:lineRule="exact"/>
              <w:rPr>
                <w:rFonts w:ascii="Times New Roman" w:cs="Times New Roman" w:eastAsia="Times New Roman" w:hAnsi="Times New Roman"/>
                <w:sz w:val="15"/>
                <w:szCs w:val="15"/>
                <w:color w:val="0000EE"/>
              </w:rPr>
            </w:pPr>
            <w:hyperlink w:anchor="page253">
              <w:r>
                <w:rPr>
                  <w:rFonts w:ascii="Times New Roman" w:cs="Times New Roman" w:eastAsia="Times New Roman" w:hAnsi="Times New Roman"/>
                  <w:sz w:val="15"/>
                  <w:szCs w:val="15"/>
                  <w:color w:val="0000EE"/>
                </w:rPr>
                <w:t>Statement of Shareholders’ Equity</w:t>
              </w:r>
            </w:hyperlink>
          </w:p>
        </w:tc>
        <w:tc>
          <w:tcPr>
            <w:tcW w:w="960" w:type="dxa"/>
            <w:vAlign w:val="bottom"/>
            <w:tcBorders>
              <w:top w:val="single" w:sz="8" w:color="0000EE"/>
            </w:tcBorders>
          </w:tcPr>
          <w:p>
            <w:pPr>
              <w:spacing w:after="0"/>
              <w:rPr>
                <w:sz w:val="13"/>
                <w:szCs w:val="13"/>
                <w:color w:val="auto"/>
              </w:rPr>
            </w:pPr>
          </w:p>
        </w:tc>
        <w:tc>
          <w:tcPr>
            <w:tcW w:w="4520" w:type="dxa"/>
            <w:vAlign w:val="bottom"/>
            <w:gridSpan w:val="2"/>
          </w:tcPr>
          <w:p>
            <w:pPr>
              <w:spacing w:after="0"/>
              <w:rPr>
                <w:sz w:val="13"/>
                <w:szCs w:val="13"/>
                <w:color w:val="auto"/>
              </w:rPr>
            </w:pPr>
          </w:p>
        </w:tc>
        <w:tc>
          <w:tcPr>
            <w:tcW w:w="2020" w:type="dxa"/>
            <w:vAlign w:val="bottom"/>
          </w:tcPr>
          <w:p>
            <w:pPr>
              <w:ind w:left="1800"/>
              <w:spacing w:after="0" w:line="158" w:lineRule="exact"/>
              <w:rPr>
                <w:sz w:val="20"/>
                <w:szCs w:val="20"/>
                <w:color w:val="auto"/>
              </w:rPr>
            </w:pPr>
            <w:r>
              <w:rPr>
                <w:rFonts w:ascii="Times New Roman" w:cs="Times New Roman" w:eastAsia="Times New Roman" w:hAnsi="Times New Roman"/>
                <w:sz w:val="15"/>
                <w:szCs w:val="15"/>
                <w:color w:val="auto"/>
                <w:w w:val="95"/>
              </w:rPr>
              <w:t>F-5</w:t>
            </w:r>
          </w:p>
        </w:tc>
      </w:tr>
      <w:tr>
        <w:trPr>
          <w:trHeight w:val="158"/>
        </w:trPr>
        <w:tc>
          <w:tcPr>
            <w:tcW w:w="460" w:type="dxa"/>
            <w:vAlign w:val="bottom"/>
          </w:tcPr>
          <w:p>
            <w:pPr>
              <w:spacing w:after="0"/>
              <w:rPr>
                <w:sz w:val="13"/>
                <w:szCs w:val="13"/>
                <w:color w:val="auto"/>
              </w:rPr>
            </w:pPr>
          </w:p>
        </w:tc>
        <w:tc>
          <w:tcPr>
            <w:tcW w:w="1540" w:type="dxa"/>
            <w:vAlign w:val="bottom"/>
            <w:tcBorders>
              <w:bottom w:val="single" w:sz="8" w:color="0000EE"/>
            </w:tcBorders>
            <w:gridSpan w:val="3"/>
          </w:tcPr>
          <w:p>
            <w:pPr>
              <w:spacing w:after="0" w:line="158" w:lineRule="exact"/>
              <w:rPr>
                <w:rFonts w:ascii="Times New Roman" w:cs="Times New Roman" w:eastAsia="Times New Roman" w:hAnsi="Times New Roman"/>
                <w:sz w:val="15"/>
                <w:szCs w:val="15"/>
                <w:color w:val="0000EE"/>
              </w:rPr>
            </w:pPr>
            <w:hyperlink w:anchor="page254">
              <w:r>
                <w:rPr>
                  <w:rFonts w:ascii="Times New Roman" w:cs="Times New Roman" w:eastAsia="Times New Roman" w:hAnsi="Times New Roman"/>
                  <w:sz w:val="15"/>
                  <w:szCs w:val="15"/>
                  <w:color w:val="0000EE"/>
                </w:rPr>
                <w:t>Statement of Cash Flows</w:t>
              </w:r>
            </w:hyperlink>
          </w:p>
        </w:tc>
        <w:tc>
          <w:tcPr>
            <w:tcW w:w="6060" w:type="dxa"/>
            <w:vAlign w:val="bottom"/>
            <w:gridSpan w:val="5"/>
          </w:tcPr>
          <w:p>
            <w:pPr>
              <w:spacing w:after="0"/>
              <w:rPr>
                <w:sz w:val="13"/>
                <w:szCs w:val="13"/>
                <w:color w:val="auto"/>
              </w:rPr>
            </w:pPr>
          </w:p>
        </w:tc>
        <w:tc>
          <w:tcPr>
            <w:tcW w:w="2020" w:type="dxa"/>
            <w:vAlign w:val="bottom"/>
          </w:tcPr>
          <w:p>
            <w:pPr>
              <w:ind w:left="1800"/>
              <w:spacing w:after="0" w:line="158" w:lineRule="exact"/>
              <w:rPr>
                <w:sz w:val="20"/>
                <w:szCs w:val="20"/>
                <w:color w:val="auto"/>
              </w:rPr>
            </w:pPr>
            <w:r>
              <w:rPr>
                <w:rFonts w:ascii="Times New Roman" w:cs="Times New Roman" w:eastAsia="Times New Roman" w:hAnsi="Times New Roman"/>
                <w:sz w:val="15"/>
                <w:szCs w:val="15"/>
                <w:color w:val="auto"/>
                <w:w w:val="95"/>
              </w:rPr>
              <w:t>F-6</w:t>
            </w:r>
          </w:p>
        </w:tc>
      </w:tr>
      <w:tr>
        <w:trPr>
          <w:trHeight w:val="158"/>
        </w:trPr>
        <w:tc>
          <w:tcPr>
            <w:tcW w:w="460" w:type="dxa"/>
            <w:vAlign w:val="bottom"/>
          </w:tcPr>
          <w:p>
            <w:pPr>
              <w:spacing w:after="0"/>
              <w:rPr>
                <w:sz w:val="13"/>
                <w:szCs w:val="13"/>
                <w:color w:val="auto"/>
              </w:rPr>
            </w:pPr>
          </w:p>
        </w:tc>
        <w:tc>
          <w:tcPr>
            <w:tcW w:w="7600" w:type="dxa"/>
            <w:vAlign w:val="bottom"/>
            <w:gridSpan w:val="8"/>
          </w:tcPr>
          <w:p>
            <w:pPr>
              <w:spacing w:after="0" w:line="158" w:lineRule="exact"/>
              <w:rPr>
                <w:rFonts w:ascii="Times New Roman" w:cs="Times New Roman" w:eastAsia="Times New Roman" w:hAnsi="Times New Roman"/>
                <w:sz w:val="15"/>
                <w:szCs w:val="15"/>
                <w:color w:val="0000EE"/>
              </w:rPr>
            </w:pPr>
            <w:hyperlink w:anchor="page255">
              <w:r>
                <w:rPr>
                  <w:rFonts w:ascii="Times New Roman" w:cs="Times New Roman" w:eastAsia="Times New Roman" w:hAnsi="Times New Roman"/>
                  <w:sz w:val="15"/>
                  <w:szCs w:val="15"/>
                  <w:color w:val="0000EE"/>
                </w:rPr>
                <w:t>Notes to Financial Statements</w:t>
              </w:r>
            </w:hyperlink>
          </w:p>
        </w:tc>
        <w:tc>
          <w:tcPr>
            <w:tcW w:w="2020" w:type="dxa"/>
            <w:vAlign w:val="bottom"/>
          </w:tcPr>
          <w:p>
            <w:pPr>
              <w:ind w:left="1800"/>
              <w:spacing w:after="0" w:line="158" w:lineRule="exact"/>
              <w:rPr>
                <w:sz w:val="20"/>
                <w:szCs w:val="20"/>
                <w:color w:val="auto"/>
              </w:rPr>
            </w:pPr>
            <w:r>
              <w:rPr>
                <w:rFonts w:ascii="Times New Roman" w:cs="Times New Roman" w:eastAsia="Times New Roman" w:hAnsi="Times New Roman"/>
                <w:sz w:val="15"/>
                <w:szCs w:val="15"/>
                <w:color w:val="auto"/>
                <w:w w:val="95"/>
              </w:rPr>
              <w:t>F-7</w:t>
            </w:r>
          </w:p>
        </w:tc>
      </w:tr>
      <w:tr>
        <w:trPr>
          <w:trHeight w:val="346"/>
        </w:trPr>
        <w:tc>
          <w:tcPr>
            <w:tcW w:w="46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20" w:type="dxa"/>
            <w:vAlign w:val="bottom"/>
            <w:gridSpan w:val="2"/>
          </w:tcPr>
          <w:p>
            <w:pPr>
              <w:jc w:val="center"/>
              <w:ind w:right="1020"/>
              <w:spacing w:after="0"/>
              <w:rPr>
                <w:sz w:val="20"/>
                <w:szCs w:val="20"/>
                <w:color w:val="auto"/>
              </w:rPr>
            </w:pPr>
            <w:r>
              <w:rPr>
                <w:rFonts w:ascii="Times New Roman" w:cs="Times New Roman" w:eastAsia="Times New Roman" w:hAnsi="Times New Roman"/>
                <w:sz w:val="15"/>
                <w:szCs w:val="15"/>
                <w:color w:val="auto"/>
              </w:rPr>
              <w:t>F-1</w:t>
            </w:r>
          </w:p>
        </w:tc>
        <w:tc>
          <w:tcPr>
            <w:tcW w:w="2020" w:type="dxa"/>
            <w:vAlign w:val="bottom"/>
          </w:tcPr>
          <w:p>
            <w:pPr>
              <w:spacing w:after="0"/>
              <w:rPr>
                <w:sz w:val="24"/>
                <w:szCs w:val="24"/>
                <w:color w:val="auto"/>
              </w:rPr>
            </w:pPr>
          </w:p>
        </w:tc>
      </w:tr>
    </w:tbl>
    <w:p>
      <w:pPr>
        <w:spacing w:after="0"/>
        <w:rPr>
          <w:sz w:val="20"/>
          <w:szCs w:val="20"/>
          <w:color w:val="auto"/>
        </w:rPr>
        <w:sectPr>
          <w:pgSz w:w="11900" w:h="16840" w:orient="portrait"/>
          <w:cols w:equalWidth="0" w:num="1">
            <w:col w:w="10080"/>
          </w:cols>
          <w:pgMar w:left="660" w:top="871" w:right="1160" w:bottom="1440" w:gutter="0" w:footer="0" w:header="0"/>
        </w:sectPr>
      </w:pPr>
      <w:r>
        <w:rPr>
          <w:sz w:val="20"/>
          <w:szCs w:val="20"/>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p>
    <w:bookmarkStart w:id="249" w:name="page250"/>
    <w:bookmarkEnd w:id="2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To the Board of Directors and</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Shareholders of GigCapital8 Corp.</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04" w:lineRule="exact"/>
        <w:rPr>
          <w:sz w:val="20"/>
          <w:szCs w:val="20"/>
          <w:color w:val="auto"/>
        </w:rPr>
      </w:pPr>
    </w:p>
    <w:p>
      <w:pPr>
        <w:ind w:left="460" w:right="80"/>
        <w:spacing w:after="0" w:line="256" w:lineRule="auto"/>
        <w:rPr>
          <w:sz w:val="20"/>
          <w:szCs w:val="20"/>
          <w:color w:val="auto"/>
        </w:rPr>
      </w:pPr>
      <w:r>
        <w:rPr>
          <w:rFonts w:ascii="Times New Roman" w:cs="Times New Roman" w:eastAsia="Times New Roman" w:hAnsi="Times New Roman"/>
          <w:sz w:val="15"/>
          <w:szCs w:val="15"/>
          <w:color w:val="auto"/>
        </w:rPr>
        <w:t>We have audited the accompanying balance sheet of GigCapital8 Corp. (a Cayman Islands exempted company) (the “Company”) as of July 21, 2025, and the related statements of operations and comprehensive loss, shareholders’ equity, and cash flows for the period from June 30, 2025 (date of inception) through July 21, 2025, and the related notes (collectively referred to as the “financial statements”). In our opinion, the financial statements present fairly, in all material respects, the financial position of the Company as of July 21, 2025, and the results of its operations and its cash flows for the period from June 30, 2025 (date of inception) through July 21, 2025, in conformity with accounting principles generally accepted in the United States of America.</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Going Concern Uncertainty</w:t>
      </w:r>
    </w:p>
    <w:p>
      <w:pPr>
        <w:spacing w:after="0" w:line="104"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5"/>
          <w:szCs w:val="15"/>
          <w:color w:val="auto"/>
        </w:rPr>
        <w:t>The accompanying financial statements have been prepared assuming that GigCapital8 Corp. will continue as a going concern. As discussed in Note 1 to the financial statements, the Company has no present revenue, its business plan is dependent on the completion of a financing and the Company’s cash and working capital as of July 21, 2025 are not sufficient to complete its planned activities for the upcoming year. These conditions raise substantial doubt about the Company’s ability to continue as a going concern. Management’s plans regarding these matters are also described in Notes 1, 3 and 4. The financial statements do not include any adjustments that might result from the outcome of this uncertainty.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04" w:lineRule="exact"/>
        <w:rPr>
          <w:sz w:val="20"/>
          <w:szCs w:val="20"/>
          <w:color w:val="auto"/>
        </w:rPr>
      </w:pPr>
    </w:p>
    <w:p>
      <w:pPr>
        <w:ind w:left="460" w:right="140"/>
        <w:spacing w:after="0" w:line="259"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left="460" w:right="60"/>
        <w:spacing w:after="0" w:line="256"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ind w:left="460" w:right="120"/>
        <w:spacing w:after="0" w:line="259" w:lineRule="auto"/>
        <w:rPr>
          <w:sz w:val="20"/>
          <w:szCs w:val="20"/>
          <w:color w:val="auto"/>
        </w:rPr>
      </w:pPr>
      <w:r>
        <w:rPr>
          <w:rFonts w:ascii="Times New Roman" w:cs="Times New Roman" w:eastAsia="Times New Roman" w:hAnsi="Times New Roman"/>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 BPM LLP</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We have served as the Company’s auditor since 2025.</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San Jose, California</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September 29, 2025</w:t>
      </w:r>
    </w:p>
    <w:p>
      <w:pPr>
        <w:spacing w:after="0" w:line="14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F-2</w:t>
      </w:r>
    </w:p>
    <w:p>
      <w:pPr>
        <w:sectPr>
          <w:pgSz w:w="11900" w:h="16840" w:orient="portrait"/>
          <w:cols w:equalWidth="0" w:num="1">
            <w:col w:w="10100"/>
          </w:cols>
          <w:pgMar w:left="660" w:top="874" w:right="1140" w:bottom="1440" w:gutter="0" w:footer="0" w:header="0"/>
        </w:sectPr>
      </w:pPr>
    </w:p>
    <w:bookmarkStart w:id="250" w:name="page251"/>
    <w:bookmarkEnd w:id="2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8980" w:type="dxa"/>
            <w:vAlign w:val="bottom"/>
          </w:tcPr>
          <w:p>
            <w:pPr>
              <w:ind w:left="4040"/>
              <w:spacing w:after="0"/>
              <w:rPr>
                <w:sz w:val="20"/>
                <w:szCs w:val="20"/>
                <w:color w:val="auto"/>
              </w:rPr>
            </w:pPr>
            <w:r>
              <w:rPr>
                <w:rFonts w:ascii="Times New Roman" w:cs="Times New Roman" w:eastAsia="Times New Roman" w:hAnsi="Times New Roman"/>
                <w:sz w:val="15"/>
                <w:szCs w:val="15"/>
                <w:b w:val="1"/>
                <w:bCs w:val="1"/>
                <w:color w:val="auto"/>
              </w:rPr>
              <w:t>GIGCAPITAL8 CORP.</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80" w:type="dxa"/>
            <w:vAlign w:val="bottom"/>
          </w:tcPr>
          <w:p>
            <w:pPr>
              <w:ind w:left="4180"/>
              <w:spacing w:after="0"/>
              <w:rPr>
                <w:sz w:val="20"/>
                <w:szCs w:val="20"/>
                <w:color w:val="auto"/>
              </w:rPr>
            </w:pPr>
            <w:r>
              <w:rPr>
                <w:rFonts w:ascii="Times New Roman" w:cs="Times New Roman" w:eastAsia="Times New Roman" w:hAnsi="Times New Roman"/>
                <w:sz w:val="15"/>
                <w:szCs w:val="15"/>
                <w:b w:val="1"/>
                <w:bCs w:val="1"/>
                <w:color w:val="auto"/>
              </w:rPr>
              <w:t>BALANCE SHEET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89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July 21,</w:t>
            </w:r>
          </w:p>
        </w:tc>
        <w:tc>
          <w:tcPr>
            <w:tcW w:w="0" w:type="dxa"/>
            <w:vAlign w:val="bottom"/>
          </w:tcPr>
          <w:p>
            <w:pPr>
              <w:spacing w:after="0"/>
              <w:rPr>
                <w:sz w:val="1"/>
                <w:szCs w:val="1"/>
                <w:color w:val="auto"/>
              </w:rPr>
            </w:pPr>
          </w:p>
        </w:tc>
      </w:tr>
      <w:tr>
        <w:trPr>
          <w:trHeight w:val="168"/>
        </w:trPr>
        <w:tc>
          <w:tcPr>
            <w:tcW w:w="89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9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5"/>
                <w:szCs w:val="15"/>
                <w:b w:val="1"/>
                <w:bCs w:val="1"/>
                <w:color w:val="auto"/>
              </w:rPr>
              <w:t>ASSETS</w:t>
            </w: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Current assets—cash</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125,000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125,000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9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Related party payable</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expenses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19,332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98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119,332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(Note 4-Related Party Transactions)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Preferred shares, par value of $0.0001 per share; 1,000,000 shares authorized; none issued or outstanding</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78"/>
        </w:trPr>
        <w:tc>
          <w:tcPr>
            <w:tcW w:w="8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Class A ordinary shares, par value of $0.0001 per share; 200,000,000 shares authorized; none issued or outstanding</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07"/>
        </w:trPr>
        <w:tc>
          <w:tcPr>
            <w:tcW w:w="8980" w:type="dxa"/>
            <w:vAlign w:val="bottom"/>
            <w:shd w:val="clear" w:color="auto" w:fill="CCEEFF"/>
          </w:tcPr>
          <w:p>
            <w:pPr>
              <w:ind w:left="8120"/>
              <w:spacing w:after="0" w:line="107" w:lineRule="exact"/>
              <w:rPr>
                <w:sz w:val="20"/>
                <w:szCs w:val="20"/>
                <w:color w:val="auto"/>
              </w:rPr>
            </w:pPr>
            <w:r>
              <w:rPr>
                <w:rFonts w:ascii="Times New Roman" w:cs="Times New Roman" w:eastAsia="Times New Roman" w:hAnsi="Times New Roman"/>
                <w:sz w:val="12"/>
                <w:szCs w:val="12"/>
                <w:color w:val="auto"/>
              </w:rPr>
              <w:t>(1)</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8980" w:type="dxa"/>
            <w:vAlign w:val="bottom"/>
            <w:shd w:val="clear" w:color="auto" w:fill="CCEEFF"/>
          </w:tcPr>
          <w:p>
            <w:pPr>
              <w:ind w:left="320"/>
              <w:spacing w:after="0" w:line="71" w:lineRule="exact"/>
              <w:rPr>
                <w:sz w:val="20"/>
                <w:szCs w:val="20"/>
                <w:color w:val="auto"/>
              </w:rPr>
            </w:pPr>
            <w:r>
              <w:rPr>
                <w:rFonts w:ascii="Times New Roman" w:cs="Times New Roman" w:eastAsia="Times New Roman" w:hAnsi="Times New Roman"/>
                <w:sz w:val="8"/>
                <w:szCs w:val="8"/>
                <w:color w:val="auto"/>
              </w:rPr>
              <w:t>Class B ordinary shares, par value of $0.0001 per share; 20,000,000 shares authorized; 7,850,229 shares issued and outstanding</w:t>
            </w: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Accumulated deficit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(19,332)</w:t>
            </w:r>
          </w:p>
        </w:tc>
        <w:tc>
          <w:tcPr>
            <w:tcW w:w="0" w:type="dxa"/>
            <w:vAlign w:val="bottom"/>
          </w:tcPr>
          <w:p>
            <w:pPr>
              <w:spacing w:after="0"/>
              <w:rPr>
                <w:sz w:val="1"/>
                <w:szCs w:val="1"/>
                <w:color w:val="auto"/>
              </w:rPr>
            </w:pPr>
          </w:p>
        </w:tc>
      </w:tr>
      <w:tr>
        <w:trPr>
          <w:trHeight w:val="193"/>
        </w:trPr>
        <w:tc>
          <w:tcPr>
            <w:tcW w:w="8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125,000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90170</wp:posOffset>
            </wp:positionV>
            <wp:extent cx="66929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69290" cy="7620"/>
                    </a:xfrm>
                    <a:prstGeom prst="rect">
                      <a:avLst/>
                    </a:prstGeom>
                    <a:noFill/>
                  </pic:spPr>
                </pic:pic>
              </a:graphicData>
            </a:graphic>
          </wp:anchor>
        </w:drawing>
      </w:r>
    </w:p>
    <w:p>
      <w:pPr>
        <w:spacing w:after="0" w:line="147" w:lineRule="exact"/>
        <w:rPr>
          <w:sz w:val="20"/>
          <w:szCs w:val="20"/>
          <w:color w:val="auto"/>
        </w:rPr>
      </w:pPr>
    </w:p>
    <w:p>
      <w:pPr>
        <w:ind w:left="840" w:right="40" w:hanging="385"/>
        <w:spacing w:after="0" w:line="201" w:lineRule="auto"/>
        <w:tabs>
          <w:tab w:leader="none" w:pos="840" w:val="left"/>
        </w:tabs>
        <w:numPr>
          <w:ilvl w:val="0"/>
          <w:numId w:val="1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This number includes up to 1,023,943 Class B ordinary shares subject to forfeiture if the over-allotment option is not exercised in full or in part by the underwriter.</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1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F-3</w:t>
      </w:r>
    </w:p>
    <w:p>
      <w:pPr>
        <w:sectPr>
          <w:pgSz w:w="11900" w:h="16840" w:orient="portrait"/>
          <w:cols w:equalWidth="0" w:num="1">
            <w:col w:w="10120"/>
          </w:cols>
          <w:pgMar w:left="660" w:top="874" w:right="1120" w:bottom="1440" w:gutter="0" w:footer="0" w:header="0"/>
        </w:sectPr>
      </w:pPr>
    </w:p>
    <w:bookmarkStart w:id="251" w:name="page252"/>
    <w:bookmarkEnd w:id="2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STATEMENT OF OPERATIONS</w:t>
      </w:r>
    </w:p>
    <w:p>
      <w:pPr>
        <w:spacing w:after="0" w:line="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AND COMPREHENSIVE LOSS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8800" w:type="dxa"/>
            <w:vAlign w:val="bottom"/>
          </w:tcPr>
          <w:p>
            <w:pPr>
              <w:spacing w:after="0"/>
              <w:rPr>
                <w:sz w:val="13"/>
                <w:szCs w:val="13"/>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Period from</w:t>
            </w:r>
          </w:p>
        </w:tc>
      </w:tr>
      <w:tr>
        <w:trPr>
          <w:trHeight w:val="154"/>
        </w:trPr>
        <w:tc>
          <w:tcPr>
            <w:tcW w:w="88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June 30, 2025</w:t>
            </w:r>
          </w:p>
        </w:tc>
      </w:tr>
      <w:tr>
        <w:trPr>
          <w:trHeight w:val="154"/>
        </w:trPr>
        <w:tc>
          <w:tcPr>
            <w:tcW w:w="880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(Inception)</w:t>
            </w:r>
          </w:p>
        </w:tc>
      </w:tr>
      <w:tr>
        <w:trPr>
          <w:trHeight w:val="154"/>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through</w:t>
            </w:r>
          </w:p>
        </w:tc>
      </w:tr>
      <w:tr>
        <w:trPr>
          <w:trHeight w:val="168"/>
        </w:trPr>
        <w:tc>
          <w:tcPr>
            <w:tcW w:w="88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July 21, 2025</w:t>
            </w:r>
          </w:p>
        </w:tc>
      </w:tr>
      <w:tr>
        <w:trPr>
          <w:trHeight w:val="170"/>
        </w:trPr>
        <w:tc>
          <w:tcPr>
            <w:tcW w:w="880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Revenues</w:t>
            </w:r>
          </w:p>
        </w:tc>
        <w:tc>
          <w:tcPr>
            <w:tcW w:w="1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100" w:type="dxa"/>
            <w:vAlign w:val="bottom"/>
            <w:tcBorders>
              <w:top w:val="single" w:sz="8" w:color="CCEEFF"/>
            </w:tcBorders>
            <w:shd w:val="clear" w:color="auto" w:fill="CCEEFF"/>
          </w:tcPr>
          <w:p>
            <w:pPr>
              <w:spacing w:after="0"/>
              <w:rPr>
                <w:sz w:val="14"/>
                <w:szCs w:val="14"/>
                <w:color w:val="auto"/>
              </w:rPr>
            </w:pPr>
          </w:p>
        </w:tc>
      </w:tr>
      <w:tr>
        <w:trPr>
          <w:trHeight w:val="178"/>
        </w:trPr>
        <w:tc>
          <w:tcPr>
            <w:tcW w:w="880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19,332</w:t>
            </w:r>
          </w:p>
        </w:tc>
        <w:tc>
          <w:tcPr>
            <w:tcW w:w="100" w:type="dxa"/>
            <w:vAlign w:val="bottom"/>
          </w:tcPr>
          <w:p>
            <w:pPr>
              <w:spacing w:after="0"/>
              <w:rPr>
                <w:sz w:val="15"/>
                <w:szCs w:val="15"/>
                <w:color w:val="auto"/>
              </w:rPr>
            </w:pPr>
          </w:p>
        </w:tc>
      </w:tr>
      <w:tr>
        <w:trPr>
          <w:trHeight w:val="19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and comprehensive loss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19,332</w:t>
            </w:r>
          </w:p>
        </w:tc>
        <w:tc>
          <w:tcPr>
            <w:tcW w:w="100" w:type="dxa"/>
            <w:vAlign w:val="bottom"/>
            <w:shd w:val="clear" w:color="auto" w:fill="CCEEFF"/>
          </w:tcPr>
          <w:p>
            <w:pPr>
              <w:spacing w:after="0"/>
              <w:rPr>
                <w:sz w:val="16"/>
                <w:szCs w:val="16"/>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8800" w:type="dxa"/>
            <w:vAlign w:val="bottom"/>
          </w:tcPr>
          <w:p>
            <w:pPr>
              <w:spacing w:after="0" w:line="177" w:lineRule="exact"/>
              <w:rPr>
                <w:sz w:val="20"/>
                <w:szCs w:val="20"/>
                <w:color w:val="auto"/>
              </w:rPr>
            </w:pPr>
            <w:r>
              <w:rPr>
                <w:rFonts w:ascii="Times New Roman" w:cs="Times New Roman" w:eastAsia="Times New Roman" w:hAnsi="Times New Roman"/>
                <w:sz w:val="14"/>
                <w:szCs w:val="14"/>
                <w:color w:val="auto"/>
              </w:rPr>
              <w:t>Weighted-average shares outstanding, basic and diluted</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7,868,100</w:t>
            </w:r>
          </w:p>
        </w:tc>
        <w:tc>
          <w:tcPr>
            <w:tcW w:w="100" w:type="dxa"/>
            <w:vAlign w:val="bottom"/>
          </w:tcPr>
          <w:p>
            <w:pPr>
              <w:spacing w:after="0"/>
              <w:rPr>
                <w:sz w:val="15"/>
                <w:szCs w:val="15"/>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per ordinary share, basic and diluted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(0.00)</w:t>
            </w: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90170</wp:posOffset>
            </wp:positionV>
            <wp:extent cx="66929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69290" cy="7620"/>
                    </a:xfrm>
                    <a:prstGeom prst="rect">
                      <a:avLst/>
                    </a:prstGeom>
                    <a:noFill/>
                  </pic:spPr>
                </pic:pic>
              </a:graphicData>
            </a:graphic>
          </wp:anchor>
        </w:drawing>
      </w:r>
    </w:p>
    <w:p>
      <w:pPr>
        <w:spacing w:after="0" w:line="147" w:lineRule="exact"/>
        <w:rPr>
          <w:sz w:val="20"/>
          <w:szCs w:val="20"/>
          <w:color w:val="auto"/>
        </w:rPr>
      </w:pPr>
    </w:p>
    <w:p>
      <w:pPr>
        <w:ind w:left="840" w:right="20" w:hanging="385"/>
        <w:spacing w:after="0" w:line="201" w:lineRule="auto"/>
        <w:tabs>
          <w:tab w:leader="none" w:pos="840" w:val="left"/>
        </w:tabs>
        <w:numPr>
          <w:ilvl w:val="0"/>
          <w:numId w:val="1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This number excludes up to 1,023,943 Class B ordinary shares subject to forfeiture if the over-allotment option is not exercised in full or in part by the underwriter.</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1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F-4</w:t>
      </w:r>
    </w:p>
    <w:p>
      <w:pPr>
        <w:sectPr>
          <w:pgSz w:w="11900" w:h="16840" w:orient="portrait"/>
          <w:cols w:equalWidth="0" w:num="1">
            <w:col w:w="10120"/>
          </w:cols>
          <w:pgMar w:left="660" w:top="874" w:right="1120" w:bottom="1440" w:gutter="0" w:footer="0" w:header="0"/>
        </w:sectPr>
      </w:pPr>
    </w:p>
    <w:bookmarkStart w:id="252" w:name="page253"/>
    <w:bookmarkEnd w:id="2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STATEMENT OF SHAREHOLDERS’ EQUITY</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12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2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00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80"/>
              <w:spacing w:after="0" w:line="146" w:lineRule="exact"/>
              <w:rPr>
                <w:sz w:val="20"/>
                <w:szCs w:val="20"/>
                <w:color w:val="auto"/>
              </w:rPr>
            </w:pPr>
            <w:r>
              <w:rPr>
                <w:rFonts w:ascii="Times New Roman" w:cs="Times New Roman" w:eastAsia="Times New Roman" w:hAnsi="Times New Roman"/>
                <w:sz w:val="13"/>
                <w:szCs w:val="13"/>
                <w:b w:val="1"/>
                <w:bCs w:val="1"/>
                <w:color w:val="auto"/>
              </w:rPr>
              <w:t>Class B</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Paid-In</w:t>
            </w:r>
          </w:p>
        </w:tc>
        <w:tc>
          <w:tcPr>
            <w:tcW w:w="940" w:type="dxa"/>
            <w:vAlign w:val="bottom"/>
            <w:gridSpan w:val="3"/>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4"/>
          </w:tcPr>
          <w:p>
            <w:pPr>
              <w:ind w:left="140"/>
              <w:spacing w:after="0" w:line="146" w:lineRule="exact"/>
              <w:rPr>
                <w:sz w:val="20"/>
                <w:szCs w:val="20"/>
                <w:color w:val="auto"/>
              </w:rPr>
            </w:pPr>
            <w:r>
              <w:rPr>
                <w:rFonts w:ascii="Times New Roman" w:cs="Times New Roman" w:eastAsia="Times New Roman" w:hAnsi="Times New Roman"/>
                <w:sz w:val="13"/>
                <w:szCs w:val="13"/>
                <w:b w:val="1"/>
                <w:bCs w:val="1"/>
                <w:color w:val="auto"/>
              </w:rPr>
              <w:t>Shareholders’</w:t>
            </w:r>
          </w:p>
        </w:tc>
      </w:tr>
      <w:tr>
        <w:trPr>
          <w:trHeight w:val="146"/>
        </w:trPr>
        <w:tc>
          <w:tcPr>
            <w:tcW w:w="5000" w:type="dxa"/>
            <w:vAlign w:val="bottom"/>
          </w:tcPr>
          <w:p>
            <w:pPr>
              <w:spacing w:after="0"/>
              <w:rPr>
                <w:sz w:val="12"/>
                <w:szCs w:val="12"/>
                <w:color w:val="auto"/>
              </w:rPr>
            </w:pPr>
          </w:p>
        </w:tc>
        <w:tc>
          <w:tcPr>
            <w:tcW w:w="100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820" w:type="dxa"/>
            <w:vAlign w:val="bottom"/>
            <w:gridSpan w:val="2"/>
          </w:tcPr>
          <w:p>
            <w:pPr>
              <w:jc w:val="right"/>
              <w:ind w:right="400"/>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70"/>
        </w:trPr>
        <w:tc>
          <w:tcPr>
            <w:tcW w:w="500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Balance as of June 30, 2025 (inception)</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3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100" w:type="dxa"/>
            <w:vAlign w:val="bottom"/>
            <w:tcBorders>
              <w:top w:val="single" w:sz="8" w:color="CCEEFF"/>
            </w:tcBorders>
            <w:shd w:val="clear" w:color="auto" w:fill="CCEEFF"/>
          </w:tcPr>
          <w:p>
            <w:pPr>
              <w:spacing w:after="0"/>
              <w:rPr>
                <w:sz w:val="14"/>
                <w:szCs w:val="14"/>
                <w:color w:val="auto"/>
              </w:rPr>
            </w:pPr>
          </w:p>
        </w:tc>
      </w:tr>
      <w:tr>
        <w:trPr>
          <w:trHeight w:val="178"/>
        </w:trPr>
        <w:tc>
          <w:tcPr>
            <w:tcW w:w="5000" w:type="dxa"/>
            <w:vAlign w:val="bottom"/>
          </w:tcPr>
          <w:p>
            <w:pPr>
              <w:spacing w:after="0" w:line="178" w:lineRule="exact"/>
              <w:rPr>
                <w:sz w:val="20"/>
                <w:szCs w:val="20"/>
                <w:color w:val="auto"/>
              </w:rPr>
            </w:pPr>
            <w:r>
              <w:rPr>
                <w:rFonts w:ascii="Times New Roman" w:cs="Times New Roman" w:eastAsia="Times New Roman" w:hAnsi="Times New Roman"/>
                <w:sz w:val="14"/>
                <w:szCs w:val="14"/>
                <w:color w:val="auto"/>
              </w:rPr>
              <w:t>Issuance of Class B ordinary shares by Founder</w:t>
            </w:r>
            <w:r>
              <w:rPr>
                <w:rFonts w:ascii="Times New Roman" w:cs="Times New Roman" w:eastAsia="Times New Roman" w:hAnsi="Times New Roman"/>
                <w:sz w:val="20"/>
                <w:szCs w:val="20"/>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8,099,614</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7"/>
              </w:rPr>
              <w:t>810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24,190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100" w:type="dxa"/>
            <w:vAlign w:val="bottom"/>
          </w:tcPr>
          <w:p>
            <w:pPr>
              <w:spacing w:after="0"/>
              <w:rPr>
                <w:sz w:val="15"/>
                <w:szCs w:val="15"/>
                <w:color w:val="auto"/>
              </w:rPr>
            </w:pPr>
          </w:p>
        </w:tc>
      </w:tr>
      <w:tr>
        <w:trPr>
          <w:trHeight w:val="17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Surrender of Class B ordinary shares by Founder</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(249,385)</w:t>
            </w:r>
          </w:p>
        </w:tc>
        <w:tc>
          <w:tcPr>
            <w:tcW w:w="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r>
      <w:tr>
        <w:trPr>
          <w:trHeight w:val="178"/>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(19,332)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(19,332)</w:t>
            </w:r>
          </w:p>
        </w:tc>
      </w:tr>
      <w:tr>
        <w:trPr>
          <w:trHeight w:val="20"/>
        </w:trPr>
        <w:tc>
          <w:tcPr>
            <w:tcW w:w="5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50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Balance as of July 21, 2025</w:t>
            </w:r>
            <w:r>
              <w:rPr>
                <w:rFonts w:ascii="Times New Roman" w:cs="Times New Roman" w:eastAsia="Times New Roman" w:hAnsi="Times New Roman"/>
                <w:sz w:val="22"/>
                <w:szCs w:val="22"/>
                <w:color w:val="auto"/>
                <w:vertAlign w:val="superscript"/>
              </w:rPr>
              <w:t>(1)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7,850,229</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7"/>
              </w:rPr>
              <w:t>785</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24,215</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(19,332)</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5,668</w:t>
            </w:r>
          </w:p>
        </w:tc>
      </w:tr>
      <w:tr>
        <w:trPr>
          <w:trHeight w:val="20"/>
        </w:trPr>
        <w:tc>
          <w:tcPr>
            <w:tcW w:w="5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90170</wp:posOffset>
            </wp:positionV>
            <wp:extent cx="66929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69290" cy="7620"/>
                    </a:xfrm>
                    <a:prstGeom prst="rect">
                      <a:avLst/>
                    </a:prstGeom>
                    <a:noFill/>
                  </pic:spPr>
                </pic:pic>
              </a:graphicData>
            </a:graphic>
          </wp:anchor>
        </w:drawing>
      </w:r>
    </w:p>
    <w:p>
      <w:pPr>
        <w:spacing w:after="0" w:line="147" w:lineRule="exact"/>
        <w:rPr>
          <w:sz w:val="20"/>
          <w:szCs w:val="20"/>
          <w:color w:val="auto"/>
        </w:rPr>
      </w:pPr>
    </w:p>
    <w:p>
      <w:pPr>
        <w:ind w:left="840" w:right="40" w:hanging="385"/>
        <w:spacing w:after="0" w:line="201" w:lineRule="auto"/>
        <w:tabs>
          <w:tab w:leader="none" w:pos="840" w:val="left"/>
        </w:tabs>
        <w:numPr>
          <w:ilvl w:val="0"/>
          <w:numId w:val="1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This number includes up to 1,023,943 Class B ordinary shares subject to forfeiture if the over-allotment option is not exercised in full or in part by the underwriter.</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1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F-5</w:t>
      </w:r>
    </w:p>
    <w:p>
      <w:pPr>
        <w:sectPr>
          <w:pgSz w:w="11900" w:h="16840" w:orient="portrait"/>
          <w:cols w:equalWidth="0" w:num="1">
            <w:col w:w="10120"/>
          </w:cols>
          <w:pgMar w:left="660" w:top="874" w:right="1120" w:bottom="1440" w:gutter="0" w:footer="0" w:header="0"/>
        </w:sectPr>
      </w:pPr>
    </w:p>
    <w:bookmarkStart w:id="253" w:name="page254"/>
    <w:bookmarkEnd w:id="2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STATEMENT OF CASH FLOWS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8800" w:type="dxa"/>
            <w:vAlign w:val="bottom"/>
          </w:tcPr>
          <w:p>
            <w:pPr>
              <w:spacing w:after="0"/>
              <w:rPr>
                <w:sz w:val="13"/>
                <w:szCs w:val="13"/>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Period from</w:t>
            </w:r>
          </w:p>
        </w:tc>
      </w:tr>
      <w:tr>
        <w:trPr>
          <w:trHeight w:val="154"/>
        </w:trPr>
        <w:tc>
          <w:tcPr>
            <w:tcW w:w="8800" w:type="dxa"/>
            <w:vAlign w:val="bottom"/>
          </w:tcPr>
          <w:p>
            <w:pPr>
              <w:spacing w:after="0"/>
              <w:rPr>
                <w:sz w:val="13"/>
                <w:szCs w:val="13"/>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June 30, 2025</w:t>
            </w:r>
          </w:p>
        </w:tc>
      </w:tr>
      <w:tr>
        <w:trPr>
          <w:trHeight w:val="154"/>
        </w:trPr>
        <w:tc>
          <w:tcPr>
            <w:tcW w:w="880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(Inception)</w:t>
            </w:r>
          </w:p>
        </w:tc>
      </w:tr>
      <w:tr>
        <w:trPr>
          <w:trHeight w:val="154"/>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through</w:t>
            </w:r>
          </w:p>
        </w:tc>
      </w:tr>
      <w:tr>
        <w:trPr>
          <w:trHeight w:val="168"/>
        </w:trPr>
        <w:tc>
          <w:tcPr>
            <w:tcW w:w="880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July 21, 2025</w:t>
            </w:r>
          </w:p>
        </w:tc>
      </w:tr>
      <w:tr>
        <w:trPr>
          <w:trHeight w:val="158"/>
        </w:trPr>
        <w:tc>
          <w:tcPr>
            <w:tcW w:w="880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5"/>
                <w:szCs w:val="15"/>
                <w:b w:val="1"/>
                <w:bCs w:val="1"/>
                <w:color w:val="auto"/>
              </w:rPr>
              <w:t>OPERATING ACTIVITIES</w:t>
            </w: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78"/>
        </w:trPr>
        <w:tc>
          <w:tcPr>
            <w:tcW w:w="88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(19,332)</w:t>
            </w:r>
          </w:p>
        </w:tc>
      </w:tr>
      <w:tr>
        <w:trPr>
          <w:trHeight w:val="178"/>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5"/>
        </w:trPr>
        <w:tc>
          <w:tcPr>
            <w:tcW w:w="8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Increase in accrued expenses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19,332</w:t>
            </w:r>
          </w:p>
        </w:tc>
        <w:tc>
          <w:tcPr>
            <w:tcW w:w="100" w:type="dxa"/>
            <w:vAlign w:val="bottom"/>
          </w:tcPr>
          <w:p>
            <w:pPr>
              <w:spacing w:after="0"/>
              <w:rPr>
                <w:sz w:val="16"/>
                <w:szCs w:val="16"/>
                <w:color w:val="auto"/>
              </w:rPr>
            </w:pPr>
          </w:p>
        </w:tc>
      </w:tr>
      <w:tr>
        <w:trPr>
          <w:trHeight w:val="185"/>
        </w:trPr>
        <w:tc>
          <w:tcPr>
            <w:tcW w:w="8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r>
      <w:tr>
        <w:trPr>
          <w:trHeight w:val="193"/>
        </w:trPr>
        <w:tc>
          <w:tcPr>
            <w:tcW w:w="88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8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Proceeds from sale of Class B ordinary shares to Sponsor</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100" w:type="dxa"/>
            <w:vAlign w:val="bottom"/>
            <w:shd w:val="clear" w:color="auto" w:fill="CCEEFF"/>
          </w:tcPr>
          <w:p>
            <w:pPr>
              <w:spacing w:after="0"/>
              <w:rPr>
                <w:sz w:val="15"/>
                <w:szCs w:val="15"/>
                <w:color w:val="auto"/>
              </w:rPr>
            </w:pPr>
          </w:p>
        </w:tc>
      </w:tr>
      <w:tr>
        <w:trPr>
          <w:trHeight w:val="185"/>
        </w:trPr>
        <w:tc>
          <w:tcPr>
            <w:tcW w:w="8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Proceeds from related party loan</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Pr>
          <w:p>
            <w:pPr>
              <w:spacing w:after="0"/>
              <w:rPr>
                <w:sz w:val="16"/>
                <w:szCs w:val="16"/>
                <w:color w:val="auto"/>
              </w:rPr>
            </w:pPr>
          </w:p>
        </w:tc>
      </w:tr>
      <w:tr>
        <w:trPr>
          <w:trHeight w:val="185"/>
        </w:trPr>
        <w:tc>
          <w:tcPr>
            <w:tcW w:w="8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125,000</w:t>
            </w:r>
          </w:p>
        </w:tc>
        <w:tc>
          <w:tcPr>
            <w:tcW w:w="100" w:type="dxa"/>
            <w:vAlign w:val="bottom"/>
            <w:shd w:val="clear" w:color="auto" w:fill="CCEEFF"/>
          </w:tcPr>
          <w:p>
            <w:pPr>
              <w:spacing w:after="0"/>
              <w:rPr>
                <w:sz w:val="16"/>
                <w:szCs w:val="16"/>
                <w:color w:val="auto"/>
              </w:rPr>
            </w:pPr>
          </w:p>
        </w:tc>
      </w:tr>
      <w:tr>
        <w:trPr>
          <w:trHeight w:val="193"/>
        </w:trPr>
        <w:tc>
          <w:tcPr>
            <w:tcW w:w="880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in cash during period</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125,000</w:t>
            </w:r>
          </w:p>
        </w:tc>
        <w:tc>
          <w:tcPr>
            <w:tcW w:w="100" w:type="dxa"/>
            <w:vAlign w:val="bottom"/>
          </w:tcPr>
          <w:p>
            <w:pPr>
              <w:spacing w:after="0"/>
              <w:rPr>
                <w:sz w:val="16"/>
                <w:szCs w:val="16"/>
                <w:color w:val="auto"/>
              </w:rPr>
            </w:pPr>
          </w:p>
        </w:tc>
      </w:tr>
      <w:tr>
        <w:trPr>
          <w:trHeight w:val="178"/>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beginning of period</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p>
        </w:tc>
      </w:tr>
      <w:tr>
        <w:trPr>
          <w:trHeight w:val="193"/>
        </w:trPr>
        <w:tc>
          <w:tcPr>
            <w:tcW w:w="8800" w:type="dxa"/>
            <w:vAlign w:val="bottom"/>
          </w:tcPr>
          <w:p>
            <w:pPr>
              <w:spacing w:after="0"/>
              <w:rPr>
                <w:sz w:val="20"/>
                <w:szCs w:val="20"/>
                <w:color w:val="auto"/>
              </w:rPr>
            </w:pPr>
            <w:r>
              <w:rPr>
                <w:rFonts w:ascii="Times New Roman" w:cs="Times New Roman" w:eastAsia="Times New Roman" w:hAnsi="Times New Roman"/>
                <w:sz w:val="15"/>
                <w:szCs w:val="15"/>
                <w:color w:val="auto"/>
              </w:rPr>
              <w:t>Cash,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125,000</w:t>
            </w:r>
          </w:p>
        </w:tc>
        <w:tc>
          <w:tcPr>
            <w:tcW w:w="100" w:type="dxa"/>
            <w:vAlign w:val="bottom"/>
          </w:tcPr>
          <w:p>
            <w:pPr>
              <w:spacing w:after="0"/>
              <w:rPr>
                <w:sz w:val="16"/>
                <w:szCs w:val="16"/>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1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F-6</w:t>
      </w:r>
    </w:p>
    <w:p>
      <w:pPr>
        <w:sectPr>
          <w:pgSz w:w="11900" w:h="16840" w:orient="portrait"/>
          <w:cols w:equalWidth="0" w:num="1">
            <w:col w:w="10120"/>
          </w:cols>
          <w:pgMar w:left="660" w:top="874" w:right="1120" w:bottom="1440" w:gutter="0" w:footer="0" w:header="0"/>
        </w:sectPr>
      </w:pPr>
    </w:p>
    <w:bookmarkStart w:id="254" w:name="page255"/>
    <w:bookmarkEnd w:id="2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75" w:lineRule="exact"/>
        <w:rPr>
          <w:sz w:val="20"/>
          <w:szCs w:val="20"/>
          <w:color w:val="auto"/>
        </w:rPr>
      </w:pPr>
    </w:p>
    <w:p>
      <w:pPr>
        <w:ind w:left="460" w:right="4700" w:hanging="5"/>
        <w:spacing w:after="0" w:line="381" w:lineRule="auto"/>
        <w:tabs>
          <w:tab w:leader="none" w:pos="614" w:val="left"/>
        </w:tabs>
        <w:numPr>
          <w:ilvl w:val="0"/>
          <w:numId w:val="1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DESCRIPTION OF ORGANIZATION AND BUSINESS OPERATIONS </w:t>
      </w:r>
      <w:r>
        <w:rPr>
          <w:rFonts w:ascii="Times New Roman" w:cs="Times New Roman" w:eastAsia="Times New Roman" w:hAnsi="Times New Roman"/>
          <w:sz w:val="15"/>
          <w:szCs w:val="15"/>
          <w:b w:val="1"/>
          <w:bCs w:val="1"/>
          <w:i w:val="1"/>
          <w:iCs w:val="1"/>
          <w:color w:val="auto"/>
        </w:rPr>
        <w:t>Organization and General</w:t>
      </w:r>
    </w:p>
    <w:p>
      <w:pPr>
        <w:spacing w:after="0" w:line="1"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will be an “emerging growth company,” as defined in Section 2(a) of the Securities Act of 1933, as amended (the “Securities Act”), as modified by the Jumpstart Our Business Startups Act of 2012 (the “JOBS Act”) upon the closing of the initial public offering.</w:t>
      </w:r>
    </w:p>
    <w:p>
      <w:pPr>
        <w:spacing w:after="0" w:line="158" w:lineRule="exact"/>
        <w:rPr>
          <w:sz w:val="20"/>
          <w:szCs w:val="20"/>
          <w:color w:val="auto"/>
        </w:rPr>
      </w:pPr>
    </w:p>
    <w:p>
      <w:pPr>
        <w:ind w:left="460" w:right="20" w:firstLine="379"/>
        <w:spacing w:after="0" w:line="257" w:lineRule="auto"/>
        <w:rPr>
          <w:sz w:val="20"/>
          <w:szCs w:val="20"/>
          <w:color w:val="auto"/>
        </w:rPr>
      </w:pPr>
      <w:r>
        <w:rPr>
          <w:rFonts w:ascii="Times New Roman" w:cs="Times New Roman" w:eastAsia="Times New Roman" w:hAnsi="Times New Roman"/>
          <w:sz w:val="15"/>
          <w:szCs w:val="15"/>
          <w:color w:val="auto"/>
        </w:rPr>
        <w:t>As of July 21, 2025, the Company had not commenced any operations. All activity for the period from June 30, 2025 (date of inception) through July 21, 2025 relates to the Company’s formation and the proposed initial public offering (“Proposed Offering”) described below. The Company will not generate any operating revenues until after completion of the Business Combination, at the earliest. The Company will generate non-operating income in the form of interest income on cash and cash equivalents from the proceeds derived from the Proposed Offering. The Company has selected December 31 as its fiscal year end.</w:t>
      </w: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Sponsor, Founder and Proposed Financing</w:t>
      </w:r>
    </w:p>
    <w:p>
      <w:pPr>
        <w:spacing w:after="0" w:line="104" w:lineRule="exact"/>
        <w:rPr>
          <w:sz w:val="20"/>
          <w:szCs w:val="20"/>
          <w:color w:val="auto"/>
        </w:rPr>
      </w:pPr>
    </w:p>
    <w:p>
      <w:pPr>
        <w:ind w:left="460" w:firstLine="379"/>
        <w:spacing w:after="0" w:line="259" w:lineRule="auto"/>
        <w:rPr>
          <w:sz w:val="20"/>
          <w:szCs w:val="20"/>
          <w:color w:val="auto"/>
        </w:rPr>
      </w:pPr>
      <w:r>
        <w:rPr>
          <w:rFonts w:ascii="Times New Roman" w:cs="Times New Roman" w:eastAsia="Times New Roman" w:hAnsi="Times New Roman"/>
          <w:sz w:val="15"/>
          <w:szCs w:val="15"/>
          <w:color w:val="auto"/>
        </w:rPr>
        <w:t>The Company’s sponsor is GigAcquisitions8 Corp., a Cayman Island exempted company (the “Sponsor” and is sometimes referred to as the “Founder”). The Company intends to finance a Business Combination with proceeds from a $220,000,000 public offering (Note 3), and a $3,357,006 private placement with the Sponsor and certain institutional investors (Notes 3 and 4). Upon the closing of the Proposed Offering, $220,000,000 (or $253,000,000 if the over-allotment option is exercised in full by D. Boral Capital LLC (the “Underwriter”)—Note 3) will be held in the Trust Account (discussed below).</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The Trust Account</w:t>
      </w:r>
    </w:p>
    <w:p>
      <w:pPr>
        <w:spacing w:after="0" w:line="104" w:lineRule="exact"/>
        <w:rPr>
          <w:sz w:val="20"/>
          <w:szCs w:val="20"/>
          <w:color w:val="auto"/>
        </w:rPr>
      </w:pPr>
    </w:p>
    <w:p>
      <w:pPr>
        <w:ind w:left="460" w:right="60" w:firstLine="379"/>
        <w:spacing w:after="0" w:line="259" w:lineRule="auto"/>
        <w:rPr>
          <w:sz w:val="20"/>
          <w:szCs w:val="20"/>
          <w:color w:val="auto"/>
        </w:rPr>
      </w:pPr>
      <w:r>
        <w:rPr>
          <w:rFonts w:ascii="Times New Roman" w:cs="Times New Roman" w:eastAsia="Times New Roman" w:hAnsi="Times New Roman"/>
          <w:sz w:val="15"/>
          <w:szCs w:val="15"/>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w:t>
      </w:r>
    </w:p>
    <w:p>
      <w:pPr>
        <w:spacing w:after="0" w:line="156"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The Company’s memorandum and articles of association provides that, other than the withdrawal of interest to pay taxes none of the funds held in the Trust Account will be released until the earlier of: (1) the completion of the Business Combination; (2) the redemption of 100% of the outstanding public shares if the Company has not completed an initial Business Combination within 24 months from the closing of the Proposed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200" w:lineRule="exact"/>
        <w:rPr>
          <w:sz w:val="20"/>
          <w:szCs w:val="20"/>
          <w:color w:val="auto"/>
        </w:rPr>
      </w:pP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Business Combination</w:t>
      </w:r>
    </w:p>
    <w:p>
      <w:pPr>
        <w:spacing w:after="0" w:line="104" w:lineRule="exact"/>
        <w:rPr>
          <w:sz w:val="20"/>
          <w:szCs w:val="20"/>
          <w:color w:val="auto"/>
        </w:rPr>
      </w:pPr>
    </w:p>
    <w:p>
      <w:pPr>
        <w:ind w:left="460" w:right="200" w:firstLine="379"/>
        <w:spacing w:after="0" w:line="265" w:lineRule="auto"/>
        <w:rPr>
          <w:sz w:val="20"/>
          <w:szCs w:val="20"/>
          <w:color w:val="auto"/>
        </w:rPr>
      </w:pPr>
      <w:r>
        <w:rPr>
          <w:rFonts w:ascii="Times New Roman" w:cs="Times New Roman" w:eastAsia="Times New Roman" w:hAnsi="Times New Roman"/>
          <w:sz w:val="15"/>
          <w:szCs w:val="15"/>
          <w:color w:val="auto"/>
        </w:rPr>
        <w:t>The Company’s management has broad discretion with respect to the specific application of the net proceeds of the Proposed Offering, although substantially all of the net proceeds of the Proposed Offering are intended to be generally applied toward consummating a Business Combination with (or acquisition of) a Target</w:t>
      </w:r>
    </w:p>
    <w:p>
      <w:pPr>
        <w:spacing w:after="0" w:line="1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F-7</w:t>
      </w:r>
    </w:p>
    <w:p>
      <w:pPr>
        <w:sectPr>
          <w:pgSz w:w="11900" w:h="16840" w:orient="portrait"/>
          <w:cols w:equalWidth="0" w:num="1">
            <w:col w:w="10120"/>
          </w:cols>
          <w:pgMar w:left="660" w:top="874" w:right="1120" w:bottom="1440" w:gutter="0" w:footer="0" w:header="0"/>
        </w:sectPr>
      </w:pPr>
    </w:p>
    <w:bookmarkStart w:id="255" w:name="page256"/>
    <w:bookmarkEnd w:id="2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14" w:lineRule="exact"/>
        <w:rPr>
          <w:sz w:val="20"/>
          <w:szCs w:val="20"/>
          <w:color w:val="auto"/>
        </w:rPr>
      </w:pPr>
    </w:p>
    <w:p>
      <w:pPr>
        <w:jc w:val="both"/>
        <w:ind w:left="460" w:right="60"/>
        <w:spacing w:after="0" w:line="259" w:lineRule="auto"/>
        <w:rPr>
          <w:sz w:val="20"/>
          <w:szCs w:val="20"/>
          <w:color w:val="auto"/>
        </w:rPr>
      </w:pPr>
      <w:r>
        <w:rPr>
          <w:rFonts w:ascii="Times New Roman" w:cs="Times New Roman" w:eastAsia="Times New Roman" w:hAnsi="Times New Roman"/>
          <w:sz w:val="15"/>
          <w:szCs w:val="15"/>
          <w:color w:val="auto"/>
        </w:rPr>
        <w:t>Business. As used herein, “Target Business” must be with one or more target businesses that together have a fair market value equal to at least 80% of the balance in the Trust Account (less withdrawals to fund working capital requirements, subject to an annual limit of $1,000,000, and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spacing w:after="0" w:line="156" w:lineRule="exact"/>
        <w:rPr>
          <w:sz w:val="20"/>
          <w:szCs w:val="20"/>
          <w:color w:val="auto"/>
        </w:rPr>
      </w:pPr>
    </w:p>
    <w:p>
      <w:pPr>
        <w:ind w:left="460" w:firstLine="379"/>
        <w:spacing w:after="0" w:line="250" w:lineRule="auto"/>
        <w:rPr>
          <w:sz w:val="20"/>
          <w:szCs w:val="20"/>
          <w:color w:val="auto"/>
        </w:rPr>
      </w:pPr>
      <w:r>
        <w:rPr>
          <w:rFonts w:ascii="Times New Roman" w:cs="Times New Roman" w:eastAsia="Times New Roman" w:hAnsi="Times New Roman"/>
          <w:sz w:val="15"/>
          <w:szCs w:val="15"/>
          <w:color w:val="auto"/>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Nasdaq rules. If the Company seeks shareholder approval, it will complete its Business Combination only if a majority of the outstanding shares are voted in favor of the Business Combination.</w:t>
      </w:r>
    </w:p>
    <w:p>
      <w:pPr>
        <w:spacing w:after="0" w:line="167" w:lineRule="exact"/>
        <w:rPr>
          <w:sz w:val="20"/>
          <w:szCs w:val="20"/>
          <w:color w:val="auto"/>
        </w:rPr>
      </w:pPr>
    </w:p>
    <w:p>
      <w:pPr>
        <w:ind w:left="460" w:right="20" w:firstLine="379"/>
        <w:spacing w:after="0" w:line="256" w:lineRule="auto"/>
        <w:rPr>
          <w:sz w:val="20"/>
          <w:szCs w:val="20"/>
          <w:color w:val="auto"/>
        </w:rPr>
      </w:pPr>
      <w:r>
        <w:rPr>
          <w:rFonts w:ascii="Times New Roman" w:cs="Times New Roman" w:eastAsia="Times New Roman" w:hAnsi="Times New Roman"/>
          <w:sz w:val="15"/>
          <w:szCs w:val="15"/>
          <w:color w:val="auto"/>
        </w:rPr>
        <w:t>If the Company holds a shareholder vote or there is a tender offer for shares in connection with the Business Combination, a public shareholder will have the right to redeem its shares for an amount in cash equal to its pro rata share of the aggregate amount then on deposit in the Trust Account as of two business days prior to the consummation of the initial Business Combination, including interest but less taxes payable. As a result, such ordinary shares will be recorded at redemption amount and classified as temporary equity upon the completion of the Proposed Offering. The amount in the Trust Account is initially anticipated to be $10.00 per public share ($220,000,000 held in the Trust Account divided by 22,000,000 public shares).</w:t>
      </w:r>
    </w:p>
    <w:p>
      <w:pPr>
        <w:spacing w:after="0" w:line="158" w:lineRule="exact"/>
        <w:rPr>
          <w:sz w:val="20"/>
          <w:szCs w:val="20"/>
          <w:color w:val="auto"/>
        </w:rPr>
      </w:pPr>
    </w:p>
    <w:p>
      <w:pPr>
        <w:ind w:left="460" w:right="20" w:firstLine="379"/>
        <w:spacing w:after="0" w:line="250" w:lineRule="auto"/>
        <w:rPr>
          <w:sz w:val="20"/>
          <w:szCs w:val="20"/>
          <w:color w:val="auto"/>
        </w:rPr>
      </w:pPr>
      <w:r>
        <w:rPr>
          <w:rFonts w:ascii="Times New Roman" w:cs="Times New Roman" w:eastAsia="Times New Roman" w:hAnsi="Times New Roman"/>
          <w:sz w:val="15"/>
          <w:szCs w:val="15"/>
          <w:color w:val="auto"/>
        </w:rPr>
        <w:t>The Company will have 24 months from the closing date of the Proposed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fund the Company’s working capital requirements, subject to an annual limit of $1,000,000, and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will each enter into agreements with the Company, pursuant to which they will agree:</w:t>
      </w:r>
    </w:p>
    <w:p>
      <w:pPr>
        <w:spacing w:after="0" w:line="2" w:lineRule="exact"/>
        <w:rPr>
          <w:sz w:val="20"/>
          <w:szCs w:val="20"/>
          <w:color w:val="auto"/>
        </w:rPr>
      </w:pPr>
    </w:p>
    <w:p>
      <w:pPr>
        <w:ind w:left="460" w:right="60" w:hanging="5"/>
        <w:spacing w:after="0" w:line="250" w:lineRule="auto"/>
        <w:tabs>
          <w:tab w:leader="none" w:pos="678"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we fail to complete the Company’s initial Business Combination within 24 months from the closing of this offering, although they will be entitled to liquidating distributions from the trust account with respect to any public shares they hold if we fail to complete the Company’s initial Business Combination within the prescribed time frame; and (3) to</w:t>
      </w:r>
    </w:p>
    <w:p>
      <w:pPr>
        <w:spacing w:after="0" w:line="1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F-8</w:t>
      </w:r>
    </w:p>
    <w:p>
      <w:pPr>
        <w:sectPr>
          <w:pgSz w:w="11900" w:h="16840" w:orient="portrait"/>
          <w:cols w:equalWidth="0" w:num="1">
            <w:col w:w="10080"/>
          </w:cols>
          <w:pgMar w:left="660" w:top="874" w:right="1160" w:bottom="1440" w:gutter="0" w:footer="0" w:header="0"/>
        </w:sectPr>
      </w:pPr>
    </w:p>
    <w:bookmarkStart w:id="256" w:name="page257"/>
    <w:bookmarkEnd w:id="2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14" w:lineRule="exact"/>
        <w:rPr>
          <w:sz w:val="20"/>
          <w:szCs w:val="20"/>
          <w:color w:val="auto"/>
        </w:rPr>
      </w:pPr>
    </w:p>
    <w:p>
      <w:pPr>
        <w:ind w:left="460" w:right="80"/>
        <w:spacing w:after="0" w:line="259" w:lineRule="auto"/>
        <w:rPr>
          <w:sz w:val="20"/>
          <w:szCs w:val="20"/>
          <w:color w:val="auto"/>
        </w:rPr>
      </w:pPr>
      <w:r>
        <w:rPr>
          <w:rFonts w:ascii="Times New Roman" w:cs="Times New Roman" w:eastAsia="Times New Roman" w:hAnsi="Times New Roman"/>
          <w:sz w:val="15"/>
          <w:szCs w:val="15"/>
          <w:color w:val="auto"/>
        </w:rPr>
        <w:t>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Company’s initial Business Combination or with respect to any other provision relating to shareholders’ rights or pre business combination activity.</w:t>
      </w:r>
    </w:p>
    <w:p>
      <w:pPr>
        <w:spacing w:after="0" w:line="156" w:lineRule="exact"/>
        <w:rPr>
          <w:sz w:val="20"/>
          <w:szCs w:val="20"/>
          <w:color w:val="auto"/>
        </w:rPr>
      </w:pPr>
    </w:p>
    <w:p>
      <w:pPr>
        <w:ind w:left="460" w:right="420" w:firstLine="379"/>
        <w:spacing w:after="0" w:line="284" w:lineRule="auto"/>
        <w:rPr>
          <w:sz w:val="20"/>
          <w:szCs w:val="20"/>
          <w:color w:val="auto"/>
        </w:rPr>
      </w:pPr>
      <w:r>
        <w:rPr>
          <w:rFonts w:ascii="Times New Roman" w:cs="Times New Roman" w:eastAsia="Times New Roman" w:hAnsi="Times New Roman"/>
          <w:sz w:val="15"/>
          <w:szCs w:val="15"/>
          <w:color w:val="auto"/>
        </w:rPr>
        <w:t>In the event of such distribution, it is possible that the per share value of the residual assets remaining available for distribution (including Trust Account assets) will be less than the initial public offering price per unit in the Proposed Offering.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Going Concern Consideration</w:t>
      </w:r>
    </w:p>
    <w:p>
      <w:pPr>
        <w:spacing w:after="0" w:line="104"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As of July 21, 2025, the Company had $ 125,000 in cash and a working capital of $5,668. Further, the Company expects to continue to incur significant costs in pursuit of its financing and acquisition plans. These conditions raise substantial doubt about the Company’s ability to continue as a going concern. The Company plans to address this uncertainty through a Proposed Offering as discussed in Note 3 and the sale of Private Investor Shares and Private Placement Units (as defined below) as discussed in Note 4. There is no assurance that the Company’s plans to raise capital or to consummate a Business Combination will be successful or successful within the target business acquisition period. The financial statements do not include any adjustments that might result from the outcome of this uncertainty.</w:t>
      </w:r>
    </w:p>
    <w:p>
      <w:pPr>
        <w:spacing w:after="0" w:line="251" w:lineRule="exact"/>
        <w:rPr>
          <w:sz w:val="20"/>
          <w:szCs w:val="20"/>
          <w:color w:val="auto"/>
        </w:rPr>
      </w:pPr>
    </w:p>
    <w:p>
      <w:pPr>
        <w:ind w:left="460" w:right="5480" w:hanging="5"/>
        <w:spacing w:after="0" w:line="381" w:lineRule="auto"/>
        <w:tabs>
          <w:tab w:leader="none" w:pos="614" w:val="left"/>
        </w:tabs>
        <w:numPr>
          <w:ilvl w:val="0"/>
          <w:numId w:val="1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SUMMARY OF SIGNIFICANT ACCOUNTING POLICIES </w:t>
      </w:r>
      <w:r>
        <w:rPr>
          <w:rFonts w:ascii="Times New Roman" w:cs="Times New Roman" w:eastAsia="Times New Roman" w:hAnsi="Times New Roman"/>
          <w:sz w:val="15"/>
          <w:szCs w:val="15"/>
          <w:b w:val="1"/>
          <w:bCs w:val="1"/>
          <w:i w:val="1"/>
          <w:iCs w:val="1"/>
          <w:color w:val="auto"/>
        </w:rPr>
        <w:t>Basis of Presentation</w:t>
      </w:r>
    </w:p>
    <w:p>
      <w:pPr>
        <w:spacing w:after="0" w:line="1" w:lineRule="exact"/>
        <w:rPr>
          <w:sz w:val="20"/>
          <w:szCs w:val="20"/>
          <w:color w:val="auto"/>
        </w:rPr>
      </w:pPr>
    </w:p>
    <w:p>
      <w:pPr>
        <w:ind w:left="460" w:right="340" w:firstLine="379"/>
        <w:spacing w:after="0" w:line="284" w:lineRule="auto"/>
        <w:rPr>
          <w:sz w:val="20"/>
          <w:szCs w:val="20"/>
          <w:color w:val="auto"/>
        </w:rPr>
      </w:pPr>
      <w:r>
        <w:rPr>
          <w:rFonts w:ascii="Times New Roman" w:cs="Times New Roman" w:eastAsia="Times New Roman" w:hAnsi="Times New Roman"/>
          <w:sz w:val="15"/>
          <w:szCs w:val="15"/>
          <w:color w:val="auto"/>
        </w:rPr>
        <w:t>The financial statements of the Company have been prepared in conformity with accounting principles generally accepted in the United States of America.</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Emerging Growth Company</w:t>
      </w:r>
    </w:p>
    <w:p>
      <w:pPr>
        <w:spacing w:after="0" w:line="104" w:lineRule="exact"/>
        <w:rPr>
          <w:sz w:val="20"/>
          <w:szCs w:val="20"/>
          <w:color w:val="auto"/>
        </w:rPr>
      </w:pPr>
    </w:p>
    <w:p>
      <w:pPr>
        <w:ind w:left="460" w:firstLine="379"/>
        <w:spacing w:after="0" w:line="253" w:lineRule="auto"/>
        <w:rPr>
          <w:sz w:val="20"/>
          <w:szCs w:val="20"/>
          <w:color w:val="auto"/>
        </w:rPr>
      </w:pPr>
      <w:r>
        <w:rPr>
          <w:rFonts w:ascii="Times New Roman" w:cs="Times New Roman" w:eastAsia="Times New Roman" w:hAnsi="Times New Roman"/>
          <w:sz w:val="15"/>
          <w:szCs w:val="15"/>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Net Loss Per Ordinary Share</w:t>
      </w:r>
    </w:p>
    <w:p>
      <w:pPr>
        <w:spacing w:after="0" w:line="104" w:lineRule="exact"/>
        <w:rPr>
          <w:sz w:val="20"/>
          <w:szCs w:val="20"/>
          <w:color w:val="auto"/>
        </w:rPr>
      </w:pPr>
    </w:p>
    <w:p>
      <w:pPr>
        <w:ind w:left="460" w:right="100" w:firstLine="379"/>
        <w:spacing w:after="0" w:line="259" w:lineRule="auto"/>
        <w:rPr>
          <w:sz w:val="20"/>
          <w:szCs w:val="20"/>
          <w:color w:val="auto"/>
        </w:rPr>
      </w:pPr>
      <w:r>
        <w:rPr>
          <w:rFonts w:ascii="Times New Roman" w:cs="Times New Roman" w:eastAsia="Times New Roman" w:hAnsi="Times New Roman"/>
          <w:sz w:val="15"/>
          <w:szCs w:val="15"/>
          <w:color w:val="auto"/>
        </w:rPr>
        <w:t>Net loss per ordinary share is computed by dividing net loss by the weighted-average number of ordinary shares outstanding during the period (after deducting 1,023,943 ordinary shares subject to forfeiture in connection with the Proposed Offering). As of July 21, 2025, the Company did not have any dilutive securities and other contracts that could, potentially, be exercised or converted into ordinary shares and then share in the earnings of the Company. As a result, diluted net loss per ordinary share is the same as basic net loss per ordinary share for the period presented.</w:t>
      </w:r>
    </w:p>
    <w:p>
      <w:pPr>
        <w:spacing w:after="0" w:line="1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F-9</w:t>
      </w:r>
    </w:p>
    <w:p>
      <w:pPr>
        <w:sectPr>
          <w:pgSz w:w="11900" w:h="16840" w:orient="portrait"/>
          <w:cols w:equalWidth="0" w:num="1">
            <w:col w:w="10100"/>
          </w:cols>
          <w:pgMar w:left="660" w:top="874" w:right="1140" w:bottom="1440" w:gutter="0" w:footer="0" w:header="0"/>
        </w:sectPr>
      </w:pPr>
    </w:p>
    <w:bookmarkStart w:id="257" w:name="page258"/>
    <w:bookmarkEnd w:id="2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w:t>
      </w:r>
    </w:p>
    <w:p>
      <w:pPr>
        <w:spacing w:after="0" w:line="104"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concentrations of credit risk consist of a cash account in a financial institution, which at times, may exceed federally insured limits. The Company has not experienced losses on these accounts and management believes the Company is not exposed to significant risks on such accounts.</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Financial Instruments</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fair value of the Company’s assets and liabilities approximates the carrying amounts represented in the balance sheet.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04" w:lineRule="exact"/>
        <w:rPr>
          <w:sz w:val="20"/>
          <w:szCs w:val="20"/>
          <w:color w:val="auto"/>
        </w:rPr>
      </w:pPr>
    </w:p>
    <w:p>
      <w:pPr>
        <w:ind w:left="460" w:right="40" w:firstLine="379"/>
        <w:spacing w:after="0" w:line="259"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accounting principles generally accepted in the United States of America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Deferred Offering Costs Associated with the Proposed Offering</w:t>
      </w:r>
    </w:p>
    <w:p>
      <w:pPr>
        <w:spacing w:after="0" w:line="104" w:lineRule="exact"/>
        <w:rPr>
          <w:sz w:val="20"/>
          <w:szCs w:val="20"/>
          <w:color w:val="auto"/>
        </w:rPr>
      </w:pPr>
    </w:p>
    <w:p>
      <w:pPr>
        <w:ind w:left="460" w:right="200" w:firstLine="379"/>
        <w:spacing w:after="0" w:line="265" w:lineRule="auto"/>
        <w:rPr>
          <w:sz w:val="20"/>
          <w:szCs w:val="20"/>
          <w:color w:val="auto"/>
        </w:rPr>
      </w:pPr>
      <w:r>
        <w:rPr>
          <w:rFonts w:ascii="Times New Roman" w:cs="Times New Roman" w:eastAsia="Times New Roman" w:hAnsi="Times New Roman"/>
          <w:sz w:val="15"/>
          <w:szCs w:val="15"/>
          <w:color w:val="auto"/>
        </w:rPr>
        <w:t>Deferred offering costs consist of legal, accounting, and other costs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to be incurred, will be charged to operations.</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Segment Information</w:t>
      </w:r>
    </w:p>
    <w:p>
      <w:pPr>
        <w:spacing w:after="0" w:line="104" w:lineRule="exact"/>
        <w:rPr>
          <w:sz w:val="20"/>
          <w:szCs w:val="20"/>
          <w:color w:val="auto"/>
        </w:rPr>
      </w:pPr>
    </w:p>
    <w:p>
      <w:pPr>
        <w:ind w:left="460" w:right="20" w:firstLine="379"/>
        <w:spacing w:after="0" w:line="265" w:lineRule="auto"/>
        <w:rPr>
          <w:sz w:val="20"/>
          <w:szCs w:val="20"/>
          <w:color w:val="auto"/>
        </w:rPr>
      </w:pPr>
      <w:r>
        <w:rPr>
          <w:rFonts w:ascii="Times New Roman" w:cs="Times New Roman" w:eastAsia="Times New Roman" w:hAnsi="Times New Roman"/>
          <w:sz w:val="15"/>
          <w:szCs w:val="15"/>
          <w:color w:val="auto"/>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151" w:lineRule="exact"/>
        <w:rPr>
          <w:sz w:val="20"/>
          <w:szCs w:val="20"/>
          <w:color w:val="auto"/>
        </w:rPr>
      </w:pPr>
    </w:p>
    <w:p>
      <w:pPr>
        <w:ind w:left="460" w:right="220" w:firstLine="379"/>
        <w:spacing w:after="0" w:line="265" w:lineRule="auto"/>
        <w:rPr>
          <w:sz w:val="20"/>
          <w:szCs w:val="20"/>
          <w:color w:val="auto"/>
        </w:rPr>
      </w:pPr>
      <w:r>
        <w:rPr>
          <w:rFonts w:ascii="Times New Roman" w:cs="Times New Roman" w:eastAsia="Times New Roman" w:hAnsi="Times New Roman"/>
          <w:sz w:val="15"/>
          <w:szCs w:val="15"/>
          <w:color w:val="auto"/>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151" w:lineRule="exact"/>
        <w:rPr>
          <w:sz w:val="20"/>
          <w:szCs w:val="20"/>
          <w:color w:val="auto"/>
        </w:rPr>
      </w:pPr>
    </w:p>
    <w:p>
      <w:pPr>
        <w:ind w:left="460" w:firstLine="379"/>
        <w:spacing w:after="0" w:line="255" w:lineRule="auto"/>
        <w:rPr>
          <w:sz w:val="20"/>
          <w:szCs w:val="20"/>
          <w:color w:val="auto"/>
        </w:rPr>
      </w:pPr>
      <w:r>
        <w:rPr>
          <w:rFonts w:ascii="Times New Roman" w:cs="Times New Roman" w:eastAsia="Times New Roman" w:hAnsi="Times New Roman"/>
          <w:sz w:val="15"/>
          <w:szCs w:val="15"/>
          <w:color w:val="auto"/>
        </w:rPr>
        <w:t>The CODM assesses performance for the single segment and decides how to allocate resources based on net income or loss that also is reported on the statement of operations and comprehensive loss as net income or loss. The key measures of segment profit or loss reviewed by the CODM are general and administrative expenses. General and administrative expenses are reviewed and monitored by the CODM to manage and forecast cash to ensure enough capital is available to complete a Proposed Offering and eventually a Business Combination within the business combination period. The CODM also reviews general and administrative expenses to manage, maintain and enforce all contractual agreements to ensure costs are aligned with all agreements and budget.</w:t>
      </w: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00" w:lineRule="exact"/>
        <w:rPr>
          <w:sz w:val="20"/>
          <w:szCs w:val="20"/>
          <w:color w:val="auto"/>
        </w:rPr>
      </w:pPr>
    </w:p>
    <w:p>
      <w:pPr>
        <w:ind w:left="460" w:right="220" w:firstLine="379"/>
        <w:spacing w:after="0" w:line="289" w:lineRule="auto"/>
        <w:rPr>
          <w:sz w:val="20"/>
          <w:szCs w:val="20"/>
          <w:color w:val="auto"/>
        </w:rPr>
      </w:pPr>
      <w:r>
        <w:rPr>
          <w:rFonts w:ascii="Times New Roman" w:cs="Times New Roman" w:eastAsia="Times New Roman" w:hAnsi="Times New Roman"/>
          <w:sz w:val="15"/>
          <w:szCs w:val="15"/>
          <w:color w:val="auto"/>
        </w:rPr>
        <w:t>The Company follows the asset and liability method of accounting for income taxes under Accounting Standards Codification 740, “</w:t>
      </w:r>
      <w:r>
        <w:rPr>
          <w:rFonts w:ascii="Times New Roman" w:cs="Times New Roman" w:eastAsia="Times New Roman" w:hAnsi="Times New Roman"/>
          <w:sz w:val="15"/>
          <w:szCs w:val="15"/>
          <w:i w:val="1"/>
          <w:iCs w:val="1"/>
          <w:color w:val="auto"/>
        </w:rPr>
        <w:t>Income Taxes</w:t>
      </w:r>
      <w:r>
        <w:rPr>
          <w:rFonts w:ascii="Times New Roman" w:cs="Times New Roman" w:eastAsia="Times New Roman" w:hAnsi="Times New Roman"/>
          <w:sz w:val="15"/>
          <w:szCs w:val="15"/>
          <w:color w:val="auto"/>
        </w:rPr>
        <w:t>” (“ASC 740”). Deferred tax assets and liabilities are recognized for</w:t>
      </w:r>
    </w:p>
    <w:p>
      <w:pPr>
        <w:spacing w:after="0" w:line="9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F-10</w:t>
      </w:r>
    </w:p>
    <w:p>
      <w:pPr>
        <w:sectPr>
          <w:pgSz w:w="11900" w:h="16840" w:orient="portrait"/>
          <w:cols w:equalWidth="0" w:num="1">
            <w:col w:w="10100"/>
          </w:cols>
          <w:pgMar w:left="660" w:top="874" w:right="1140" w:bottom="1440" w:gutter="0" w:footer="0" w:header="0"/>
        </w:sectPr>
      </w:pPr>
    </w:p>
    <w:bookmarkStart w:id="258" w:name="page259"/>
    <w:bookmarkEnd w:id="2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14"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5"/>
          <w:szCs w:val="15"/>
          <w:color w:val="auto"/>
        </w:rPr>
        <w:t>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58"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July 21, 2025. The Company is currently not aware of any issues under review that could result in significant payments, accruals or material deviation from its position.</w:t>
      </w:r>
    </w:p>
    <w:p>
      <w:pPr>
        <w:spacing w:after="0" w:line="158" w:lineRule="exact"/>
        <w:rPr>
          <w:sz w:val="20"/>
          <w:szCs w:val="20"/>
          <w:color w:val="auto"/>
        </w:rPr>
      </w:pPr>
    </w:p>
    <w:p>
      <w:pPr>
        <w:jc w:val="both"/>
        <w:ind w:left="460" w:right="260" w:firstLine="379"/>
        <w:spacing w:after="0" w:line="265" w:lineRule="auto"/>
        <w:rPr>
          <w:sz w:val="20"/>
          <w:szCs w:val="20"/>
          <w:color w:val="auto"/>
        </w:rPr>
      </w:pPr>
      <w:r>
        <w:rPr>
          <w:rFonts w:ascii="Times New Roman" w:cs="Times New Roman" w:eastAsia="Times New Roman" w:hAnsi="Times New Roman"/>
          <w:sz w:val="15"/>
          <w:szCs w:val="15"/>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 presented.</w:t>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104" w:lineRule="exact"/>
        <w:rPr>
          <w:sz w:val="20"/>
          <w:szCs w:val="20"/>
          <w:color w:val="auto"/>
        </w:rPr>
      </w:pPr>
    </w:p>
    <w:p>
      <w:pPr>
        <w:ind w:left="460" w:right="40" w:firstLine="379"/>
        <w:spacing w:after="0" w:line="284" w:lineRule="auto"/>
        <w:rPr>
          <w:sz w:val="20"/>
          <w:szCs w:val="20"/>
          <w:color w:val="auto"/>
        </w:rPr>
      </w:pPr>
      <w:r>
        <w:rPr>
          <w:rFonts w:ascii="Times New Roman" w:cs="Times New Roman" w:eastAsia="Times New Roman" w:hAnsi="Times New Roman"/>
          <w:sz w:val="15"/>
          <w:szCs w:val="15"/>
          <w:color w:val="auto"/>
        </w:rPr>
        <w:t>The Company does not believe that any recently issued, but not yet effective, accounting pronouncements, if currently adopted, would have a material effect on the Company’s financial statements.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3. PROPOSED OFFERING</w:t>
      </w:r>
    </w:p>
    <w:p>
      <w:pPr>
        <w:spacing w:after="0" w:line="104" w:lineRule="exact"/>
        <w:rPr>
          <w:sz w:val="20"/>
          <w:szCs w:val="20"/>
          <w:color w:val="auto"/>
        </w:rPr>
      </w:pPr>
    </w:p>
    <w:p>
      <w:pPr>
        <w:jc w:val="both"/>
        <w:ind w:left="460" w:right="100" w:firstLine="379"/>
        <w:spacing w:after="0" w:line="265" w:lineRule="auto"/>
        <w:rPr>
          <w:sz w:val="20"/>
          <w:szCs w:val="20"/>
          <w:color w:val="auto"/>
        </w:rPr>
      </w:pPr>
      <w:r>
        <w:rPr>
          <w:rFonts w:ascii="Times New Roman" w:cs="Times New Roman" w:eastAsia="Times New Roman" w:hAnsi="Times New Roman"/>
          <w:sz w:val="15"/>
          <w:szCs w:val="15"/>
          <w:color w:val="auto"/>
        </w:rPr>
        <w:t>Pursuant to the Proposed Offering, the Company intends to offer for sale up to 22,000,000 units at a price of $10.00 per unit (the “Units”). Each Unit consists of one share of the Company’s Class A ordinary shares, $0.0001 par value and one right to receive one-tenth (1/10) of one Class A ordinary share upon consummation of the initial Business Combination.</w:t>
      </w:r>
    </w:p>
    <w:p>
      <w:pPr>
        <w:spacing w:after="0" w:line="151" w:lineRule="exact"/>
        <w:rPr>
          <w:sz w:val="20"/>
          <w:szCs w:val="20"/>
          <w:color w:val="auto"/>
        </w:rPr>
      </w:pPr>
    </w:p>
    <w:p>
      <w:pPr>
        <w:jc w:val="both"/>
        <w:ind w:left="460" w:right="140" w:firstLine="379"/>
        <w:spacing w:after="0" w:line="265" w:lineRule="auto"/>
        <w:rPr>
          <w:sz w:val="20"/>
          <w:szCs w:val="20"/>
          <w:color w:val="auto"/>
        </w:rPr>
      </w:pPr>
      <w:r>
        <w:rPr>
          <w:rFonts w:ascii="Times New Roman" w:cs="Times New Roman" w:eastAsia="Times New Roman" w:hAnsi="Times New Roman"/>
          <w:sz w:val="15"/>
          <w:szCs w:val="15"/>
          <w:color w:val="auto"/>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ten in order to receive shares for all of the rights upon closing of an initial business combination.</w:t>
      </w:r>
    </w:p>
    <w:p>
      <w:pPr>
        <w:spacing w:after="0" w:line="151" w:lineRule="exact"/>
        <w:rPr>
          <w:sz w:val="20"/>
          <w:szCs w:val="20"/>
          <w:color w:val="auto"/>
        </w:rPr>
      </w:pPr>
    </w:p>
    <w:p>
      <w:pPr>
        <w:ind w:left="460" w:firstLine="379"/>
        <w:spacing w:after="0" w:line="284" w:lineRule="auto"/>
        <w:rPr>
          <w:sz w:val="20"/>
          <w:szCs w:val="20"/>
          <w:color w:val="auto"/>
        </w:rPr>
      </w:pPr>
      <w:r>
        <w:rPr>
          <w:rFonts w:ascii="Times New Roman" w:cs="Times New Roman" w:eastAsia="Times New Roman" w:hAnsi="Times New Roman"/>
          <w:sz w:val="15"/>
          <w:szCs w:val="15"/>
          <w:color w:val="auto"/>
        </w:rPr>
        <w:t>The Company expects to grant the Underwriter a 45-day option to purchase up to 3,300,000 additional Units to cover any over-allotments, at the initial public offering price less the underwriting discounts.</w:t>
      </w:r>
    </w:p>
    <w:p>
      <w:pPr>
        <w:spacing w:after="0" w:line="137" w:lineRule="exact"/>
        <w:rPr>
          <w:sz w:val="20"/>
          <w:szCs w:val="20"/>
          <w:color w:val="auto"/>
        </w:rPr>
      </w:pPr>
    </w:p>
    <w:p>
      <w:pPr>
        <w:ind w:left="460" w:right="260" w:firstLine="379"/>
        <w:spacing w:after="0" w:line="284" w:lineRule="auto"/>
        <w:rPr>
          <w:sz w:val="20"/>
          <w:szCs w:val="20"/>
          <w:color w:val="auto"/>
        </w:rPr>
      </w:pPr>
      <w:r>
        <w:rPr>
          <w:rFonts w:ascii="Times New Roman" w:cs="Times New Roman" w:eastAsia="Times New Roman" w:hAnsi="Times New Roman"/>
          <w:sz w:val="15"/>
          <w:szCs w:val="15"/>
          <w:color w:val="auto"/>
        </w:rPr>
        <w:t>The Company expects to pay an underwriting discount of $0.0455 per Unit (or $0.0405 per Unit if the Underwriter’s option to purchase additional Units is exercised in full) to the Underwriter at the closing of the Proposed Offering. The underwriting discount is payable in cash.</w:t>
      </w:r>
    </w:p>
    <w:p>
      <w:pPr>
        <w:spacing w:after="0" w:line="137" w:lineRule="exact"/>
        <w:rPr>
          <w:sz w:val="20"/>
          <w:szCs w:val="20"/>
          <w:color w:val="auto"/>
        </w:rPr>
      </w:pPr>
    </w:p>
    <w:p>
      <w:pPr>
        <w:ind w:left="460" w:right="80" w:firstLine="379"/>
        <w:spacing w:after="0" w:line="256" w:lineRule="auto"/>
        <w:rPr>
          <w:sz w:val="20"/>
          <w:szCs w:val="20"/>
          <w:color w:val="auto"/>
        </w:rPr>
      </w:pPr>
      <w:r>
        <w:rPr>
          <w:rFonts w:ascii="Times New Roman" w:cs="Times New Roman" w:eastAsia="Times New Roman" w:hAnsi="Times New Roman"/>
          <w:sz w:val="15"/>
          <w:szCs w:val="15"/>
          <w:color w:val="auto"/>
        </w:rPr>
        <w:t>Certain institutional accredited investors (none of which are affiliated with any member of management, the Sponsor or any other investor (the “non-managing investors”)) have committed to purchase an aggregate of (a) 2,964,203 Class B ordinary shares (of which up to 386,681 Class B ordinary shares would be subject to forfeiture depending on the extent to which the Underwriters’ over-allotment option is exercised during the Proposed Offering) (the “Private Investor Shares”) at a purchase price per Class B ordinary share of $0.023254, and (b) an aggregate of 242,475 Private Placement Units (or up to 262,457 Private Placement Units if the</w:t>
      </w:r>
    </w:p>
    <w:p>
      <w:pPr>
        <w:spacing w:after="0" w:line="1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F-11</w:t>
      </w:r>
    </w:p>
    <w:p>
      <w:pPr>
        <w:sectPr>
          <w:pgSz w:w="11900" w:h="16840" w:orient="portrait"/>
          <w:cols w:equalWidth="0" w:num="1">
            <w:col w:w="10120"/>
          </w:cols>
          <w:pgMar w:left="660" w:top="874" w:right="1120" w:bottom="1440" w:gutter="0" w:footer="0" w:header="0"/>
        </w:sectPr>
      </w:pPr>
    </w:p>
    <w:bookmarkStart w:id="259" w:name="page260"/>
    <w:bookmarkEnd w:id="2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14"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5"/>
          <w:szCs w:val="15"/>
          <w:color w:val="auto"/>
        </w:rPr>
        <w:t>Underwriters’ over-allotment option is exercised in full) consisting of one Class A ordinary share and one right to receive one-tenth (1/10) of one Class A ordinary share upon consummation of the initial Business Combination at a price of $9.7374 per unit in a private placement that will occur simultaneously with the completion of the Proposed Offering (the “Private Placement Unit”) for an aggregate purchase price of $2,430,006 (or $2,624,578 if the Underwriters’ over-allotment option is exercised in full). The Private Investment Shares along with the Founder Shares will collectively represent 30% of the outstanding ordinary shares upon completion of the Proposed Offering,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w:t>
      </w:r>
    </w:p>
    <w:p>
      <w:pPr>
        <w:spacing w:after="0" w:line="251" w:lineRule="exact"/>
        <w:rPr>
          <w:sz w:val="20"/>
          <w:szCs w:val="20"/>
          <w:color w:val="auto"/>
        </w:rPr>
      </w:pPr>
    </w:p>
    <w:p>
      <w:pPr>
        <w:ind w:left="460" w:right="6940" w:hanging="5"/>
        <w:spacing w:after="0" w:line="381" w:lineRule="auto"/>
        <w:tabs>
          <w:tab w:leader="none" w:pos="614" w:val="left"/>
        </w:tabs>
        <w:numPr>
          <w:ilvl w:val="0"/>
          <w:numId w:val="1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RELATED PARTY TRANSACTIONS </w:t>
      </w:r>
      <w:r>
        <w:rPr>
          <w:rFonts w:ascii="Times New Roman" w:cs="Times New Roman" w:eastAsia="Times New Roman" w:hAnsi="Times New Roman"/>
          <w:sz w:val="15"/>
          <w:szCs w:val="15"/>
          <w:b w:val="1"/>
          <w:bCs w:val="1"/>
          <w:i w:val="1"/>
          <w:iCs w:val="1"/>
          <w:color w:val="auto"/>
        </w:rPr>
        <w:t>Founder Shares</w:t>
      </w:r>
    </w:p>
    <w:p>
      <w:pPr>
        <w:spacing w:after="0" w:line="1" w:lineRule="exact"/>
        <w:rPr>
          <w:sz w:val="20"/>
          <w:szCs w:val="20"/>
          <w:color w:val="auto"/>
        </w:rPr>
      </w:pPr>
    </w:p>
    <w:p>
      <w:pPr>
        <w:ind w:left="460" w:right="40" w:firstLine="379"/>
        <w:spacing w:after="0" w:line="250" w:lineRule="auto"/>
        <w:rPr>
          <w:sz w:val="20"/>
          <w:szCs w:val="20"/>
          <w:color w:val="auto"/>
        </w:rPr>
      </w:pPr>
      <w:r>
        <w:rPr>
          <w:rFonts w:ascii="Times New Roman" w:cs="Times New Roman" w:eastAsia="Times New Roman" w:hAnsi="Times New Roman"/>
          <w:sz w:val="15"/>
          <w:szCs w:val="15"/>
          <w:color w:val="auto"/>
        </w:rPr>
        <w:t>On June 30, 2025 (date of inception), one Class B ordinary share that was allotted to Harneys Fiduciary (Cayman) Limited (“Harneys Fiduciary”) upon our formation was transferred by Harneys Fiduciary to the Founder and 8,099,613 Class B ordinary shares (the 8,099,614 Class B ordinary shares collectively are the “Founder Shares”) were issued to the Founder for an aggregate purchase price of $25,000. On July 18, 2025, the Founder surrendered 249,385 Class B ordinary shares to the Company (which were cancelled) for no consideration, with the resulting 7,850,229 Founder Shares paid for at a purchase price of $0.00318 per share. The Founder intends, at the time of the Proposed Offering, to sell 375,397 Founder Shares in the aggregate to four board nominees (“Insiders”) at an aggregate price of $9,244, or $0.02462 per share, and 1,416,665 Founder Shares to Lynrock Lake Master Fund LP (“Lynrock”) at an aggregate price of $13,130, thus reducing the price paid by the Sponsor for the 6,058,167 Founder Shares which it is retaining to $2,626, or $ 0.000434 per share. The Founder Shares are identical to the Class A ordinary shares included in the Units being sold in the Proposed Offering except that the Founder Shares are subject to certain transfer restrictions, as described in more detail below. The Founder, Insiders and Lynrock agreed to forfeit up to 1,023,943 Founder Shares to the extent that the over- allotment option is not exercised in full by the Underwriter. The forfeiture will be adjusted to the extent that the over -allotment option is not exercised in full by the Underwriter so that the Class B ordinary shares owned by the Founder, Insider, Lynrock and non-managing investors will own 30% of the Company’s issued and outstanding Class A and Class B ordinary shares after the Proposed Offering, excluding the private placement shares that are an underlying security to the Private Placement Units.</w:t>
      </w:r>
    </w:p>
    <w:p>
      <w:pPr>
        <w:spacing w:after="0" w:line="163" w:lineRule="exact"/>
        <w:rPr>
          <w:sz w:val="20"/>
          <w:szCs w:val="20"/>
          <w:color w:val="auto"/>
        </w:rPr>
      </w:pPr>
    </w:p>
    <w:p>
      <w:pPr>
        <w:ind w:left="460" w:right="320" w:firstLine="379"/>
        <w:spacing w:after="0" w:line="259" w:lineRule="auto"/>
        <w:rPr>
          <w:sz w:val="20"/>
          <w:szCs w:val="20"/>
          <w:color w:val="auto"/>
        </w:rPr>
      </w:pPr>
      <w:r>
        <w:rPr>
          <w:rFonts w:ascii="Times New Roman" w:cs="Times New Roman" w:eastAsia="Times New Roman" w:hAnsi="Times New Roman"/>
          <w:sz w:val="15"/>
          <w:szCs w:val="15"/>
          <w:color w:val="auto"/>
        </w:rPr>
        <w:t>Prior to the consummation of the Proposed Offering, the Sponsor will transfer 5,000 Founder Shares to its Chief Financial Officer, solely in consideration of future services. The 5,000 Founder Shares granted to the Chief Financial Officer will be subject to forfeiture back to the Sponsor in the event the Chief Financial Officer resigns or is removed for cause prior to consummation of an initial Business Combination. Following this transfer of shares, the Sponsor will hold 6,053,167 Founder Shares.</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Private Placement Units</w:t>
      </w:r>
    </w:p>
    <w:p>
      <w:pPr>
        <w:spacing w:after="0" w:line="104" w:lineRule="exact"/>
        <w:rPr>
          <w:sz w:val="20"/>
          <w:szCs w:val="20"/>
          <w:color w:val="auto"/>
        </w:rPr>
      </w:pPr>
    </w:p>
    <w:p>
      <w:pPr>
        <w:ind w:left="460" w:firstLine="379"/>
        <w:spacing w:after="0" w:line="256" w:lineRule="auto"/>
        <w:rPr>
          <w:sz w:val="20"/>
          <w:szCs w:val="20"/>
          <w:color w:val="auto"/>
        </w:rPr>
      </w:pPr>
      <w:r>
        <w:rPr>
          <w:rFonts w:ascii="Times New Roman" w:cs="Times New Roman" w:eastAsia="Times New Roman" w:hAnsi="Times New Roman"/>
          <w:sz w:val="15"/>
          <w:szCs w:val="15"/>
          <w:color w:val="auto"/>
        </w:rPr>
        <w:t>The Founder, Insiders and Lynrock have agreed to purchase from the Company 95,200 Private Placement Units pursuant to a Unit Purchase Agreement. In addition, as discussed in Note 3, the non-managing investors will purchase 242,475 Private Placement Units (or up to 262,457 Private Placement Units if the Underwriters’ over-allotment option is exercised in full) at a price of $9.7374 per Private Placement Unit. Each ten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w:t>
      </w:r>
    </w:p>
    <w:p>
      <w:pPr>
        <w:spacing w:after="0" w:line="1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F-12</w:t>
      </w:r>
    </w:p>
    <w:p>
      <w:pPr>
        <w:sectPr>
          <w:pgSz w:w="11900" w:h="16840" w:orient="portrait"/>
          <w:cols w:equalWidth="0" w:num="1">
            <w:col w:w="10120"/>
          </w:cols>
          <w:pgMar w:left="660" w:top="874" w:right="1120" w:bottom="1440" w:gutter="0" w:footer="0" w:header="0"/>
        </w:sectPr>
      </w:pPr>
    </w:p>
    <w:bookmarkStart w:id="260" w:name="page261"/>
    <w:bookmarkEnd w:id="2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14" w:lineRule="exact"/>
        <w:rPr>
          <w:sz w:val="20"/>
          <w:szCs w:val="20"/>
          <w:color w:val="auto"/>
        </w:rPr>
      </w:pPr>
    </w:p>
    <w:p>
      <w:pPr>
        <w:ind w:left="460" w:right="20"/>
        <w:spacing w:after="0" w:line="259" w:lineRule="auto"/>
        <w:rPr>
          <w:sz w:val="20"/>
          <w:szCs w:val="20"/>
          <w:color w:val="auto"/>
        </w:rPr>
      </w:pPr>
      <w:r>
        <w:rPr>
          <w:rFonts w:ascii="Times New Roman" w:cs="Times New Roman" w:eastAsia="Times New Roman" w:hAnsi="Times New Roman"/>
          <w:sz w:val="15"/>
          <w:szCs w:val="15"/>
          <w:color w:val="auto"/>
        </w:rPr>
        <w:t>or otherwise determined by the board of directors as provided by Cayman Islands laws. As a result, the holder must hold rights in multiples of ten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spacing w:after="0" w:line="156" w:lineRule="exact"/>
        <w:rPr>
          <w:sz w:val="20"/>
          <w:szCs w:val="20"/>
          <w:color w:val="auto"/>
        </w:rPr>
      </w:pPr>
    </w:p>
    <w:p>
      <w:pPr>
        <w:ind w:left="460" w:firstLine="379"/>
        <w:spacing w:after="0" w:line="251" w:lineRule="auto"/>
        <w:rPr>
          <w:sz w:val="20"/>
          <w:szCs w:val="20"/>
          <w:color w:val="auto"/>
        </w:rPr>
      </w:pPr>
      <w:r>
        <w:rPr>
          <w:rFonts w:ascii="Times New Roman" w:cs="Times New Roman" w:eastAsia="Times New Roman" w:hAnsi="Times New Roman"/>
          <w:sz w:val="15"/>
          <w:szCs w:val="15"/>
          <w:color w:val="auto"/>
        </w:rPr>
        <w:t>The Company’s Founder, Insiders, Lynrock and the non-managing investors have each agreed not to transfer, assign or sell any of their respective Founder Shares, Private Investor Shares, Private Placement Units or underlying securities to the Private Placement Units that they may hold from the date of the Proposed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30 -trading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its underlying securities), until 30 days after the completion of the Company’s initial Business Combination.</w:t>
      </w:r>
    </w:p>
    <w:p>
      <w:pPr>
        <w:spacing w:after="0" w:line="162" w:lineRule="exact"/>
        <w:rPr>
          <w:sz w:val="20"/>
          <w:szCs w:val="20"/>
          <w:color w:val="auto"/>
        </w:rPr>
      </w:pPr>
    </w:p>
    <w:p>
      <w:pPr>
        <w:ind w:left="460" w:right="280" w:firstLine="379"/>
        <w:spacing w:after="0" w:line="284" w:lineRule="auto"/>
        <w:rPr>
          <w:sz w:val="20"/>
          <w:szCs w:val="20"/>
          <w:color w:val="auto"/>
        </w:rPr>
      </w:pPr>
      <w:r>
        <w:rPr>
          <w:rFonts w:ascii="Times New Roman" w:cs="Times New Roman" w:eastAsia="Times New Roman" w:hAnsi="Times New Roman"/>
          <w:sz w:val="15"/>
          <w:szCs w:val="15"/>
          <w:color w:val="auto"/>
        </w:rPr>
        <w:t>If the Company does not complete a Business Combination, then a portion of the proceeds from the sale of the Private Investor Shares and Private Placement Units will be part of the liquidating distribution to the public shareholders.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Registration Rights</w:t>
      </w:r>
    </w:p>
    <w:p>
      <w:pPr>
        <w:spacing w:after="0" w:line="104" w:lineRule="exact"/>
        <w:rPr>
          <w:sz w:val="20"/>
          <w:szCs w:val="20"/>
          <w:color w:val="auto"/>
        </w:rPr>
      </w:pPr>
    </w:p>
    <w:p>
      <w:pPr>
        <w:ind w:left="460" w:right="100" w:firstLine="379"/>
        <w:spacing w:after="0" w:line="253" w:lineRule="auto"/>
        <w:rPr>
          <w:sz w:val="20"/>
          <w:szCs w:val="20"/>
          <w:color w:val="auto"/>
        </w:rPr>
      </w:pPr>
      <w:r>
        <w:rPr>
          <w:rFonts w:ascii="Times New Roman" w:cs="Times New Roman" w:eastAsia="Times New Roman" w:hAnsi="Times New Roman"/>
          <w:sz w:val="15"/>
          <w:szCs w:val="15"/>
          <w:color w:val="auto"/>
        </w:rPr>
        <w:t>The Company’s Founder, Insiders, Lynrock and the non-managing investors and their permitted transferees are entitled to registration rights pursuant to a registration rights agreement signed on the date of the prospectus for the Proposed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Related Party Loan</w:t>
      </w:r>
    </w:p>
    <w:p>
      <w:pPr>
        <w:spacing w:after="0" w:line="104" w:lineRule="exact"/>
        <w:rPr>
          <w:sz w:val="20"/>
          <w:szCs w:val="20"/>
          <w:color w:val="auto"/>
        </w:rPr>
      </w:pPr>
    </w:p>
    <w:p>
      <w:pPr>
        <w:ind w:left="460" w:right="240" w:firstLine="379"/>
        <w:spacing w:after="0" w:line="259" w:lineRule="auto"/>
        <w:rPr>
          <w:sz w:val="20"/>
          <w:szCs w:val="20"/>
          <w:color w:val="auto"/>
        </w:rPr>
      </w:pPr>
      <w:r>
        <w:rPr>
          <w:rFonts w:ascii="Times New Roman" w:cs="Times New Roman" w:eastAsia="Times New Roman" w:hAnsi="Times New Roman"/>
          <w:sz w:val="15"/>
          <w:szCs w:val="15"/>
          <w:color w:val="auto"/>
        </w:rPr>
        <w:t>The Company has entered into a promissory note with the Sponsor with a principal amount of $100,000 (the “Promissory Note”), all of which remained outstanding as of July 21, 2025, to be used for the payment of expenses related to the Proposed Offering. The Promissory Note is non-interest bearing, unsecured and is due on the earlier of (i) December 31, 2025 or (ii) the date on which the Company consummates an initial public offering of its securities.</w:t>
      </w:r>
    </w:p>
    <w:p>
      <w:pPr>
        <w:spacing w:after="0" w:line="246" w:lineRule="exact"/>
        <w:rPr>
          <w:sz w:val="20"/>
          <w:szCs w:val="20"/>
          <w:color w:val="auto"/>
        </w:rPr>
      </w:pPr>
    </w:p>
    <w:p>
      <w:pPr>
        <w:ind w:left="460" w:right="7540" w:hanging="5"/>
        <w:spacing w:after="0" w:line="381" w:lineRule="auto"/>
        <w:tabs>
          <w:tab w:leader="none" w:pos="614" w:val="left"/>
        </w:tabs>
        <w:numPr>
          <w:ilvl w:val="0"/>
          <w:numId w:val="1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SHAREHOLDERS’ EQUITY </w:t>
      </w:r>
      <w:r>
        <w:rPr>
          <w:rFonts w:ascii="Times New Roman" w:cs="Times New Roman" w:eastAsia="Times New Roman" w:hAnsi="Times New Roman"/>
          <w:sz w:val="15"/>
          <w:szCs w:val="15"/>
          <w:b w:val="1"/>
          <w:bCs w:val="1"/>
          <w:i w:val="1"/>
          <w:iCs w:val="1"/>
          <w:color w:val="auto"/>
        </w:rPr>
        <w:t>Preferred Shares</w:t>
      </w:r>
    </w:p>
    <w:p>
      <w:pPr>
        <w:spacing w:after="0" w:line="1" w:lineRule="exact"/>
        <w:rPr>
          <w:sz w:val="20"/>
          <w:szCs w:val="20"/>
          <w:color w:val="auto"/>
        </w:rPr>
      </w:pPr>
    </w:p>
    <w:p>
      <w:pPr>
        <w:ind w:left="460" w:right="220" w:firstLine="379"/>
        <w:spacing w:after="0" w:line="284" w:lineRule="auto"/>
        <w:rPr>
          <w:sz w:val="20"/>
          <w:szCs w:val="20"/>
          <w:color w:val="auto"/>
        </w:rPr>
      </w:pPr>
      <w:r>
        <w:rPr>
          <w:rFonts w:ascii="Times New Roman" w:cs="Times New Roman" w:eastAsia="Times New Roman" w:hAnsi="Times New Roman"/>
          <w:sz w:val="15"/>
          <w:szCs w:val="15"/>
          <w:color w:val="auto"/>
        </w:rPr>
        <w:t>The Company is authorized to issue 1,000,000 shares of preferred shares with such designations, voting and other rights and preferences as may be determined from time to time by the Board of Directors. As of July 21, 2025, there were no preferred shares issued and outstanding.</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F-13</w:t>
      </w:r>
    </w:p>
    <w:p>
      <w:pPr>
        <w:sectPr>
          <w:pgSz w:w="11900" w:h="16840" w:orient="portrait"/>
          <w:cols w:equalWidth="0" w:num="1">
            <w:col w:w="10120"/>
          </w:cols>
          <w:pgMar w:left="660" w:top="874" w:right="1120" w:bottom="1440" w:gutter="0" w:footer="0" w:header="0"/>
        </w:sectPr>
      </w:pPr>
    </w:p>
    <w:bookmarkStart w:id="261" w:name="page262"/>
    <w:bookmarkEnd w:id="2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Class A Ordinary Shares</w:t>
      </w:r>
    </w:p>
    <w:p>
      <w:pPr>
        <w:spacing w:after="0" w:line="104" w:lineRule="exact"/>
        <w:rPr>
          <w:sz w:val="20"/>
          <w:szCs w:val="20"/>
          <w:color w:val="auto"/>
        </w:rPr>
      </w:pPr>
    </w:p>
    <w:p>
      <w:pPr>
        <w:ind w:left="460" w:right="180" w:firstLine="379"/>
        <w:spacing w:after="0" w:line="284" w:lineRule="auto"/>
        <w:rPr>
          <w:sz w:val="20"/>
          <w:szCs w:val="20"/>
          <w:color w:val="auto"/>
        </w:rPr>
      </w:pPr>
      <w:r>
        <w:rPr>
          <w:rFonts w:ascii="Times New Roman" w:cs="Times New Roman" w:eastAsia="Times New Roman" w:hAnsi="Times New Roman"/>
          <w:sz w:val="15"/>
          <w:szCs w:val="15"/>
          <w:color w:val="auto"/>
        </w:rPr>
        <w:t>The Company is authorized to issue 200,000,000 Class A ordinary shares with a par value of $0.0001 per share. As of July 21, 2025, there were no Class A ordinary shares issued or outstanding.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Class B Ordinary Shares</w:t>
      </w:r>
    </w:p>
    <w:p>
      <w:pPr>
        <w:spacing w:after="0" w:line="104" w:lineRule="exact"/>
        <w:rPr>
          <w:sz w:val="20"/>
          <w:szCs w:val="20"/>
          <w:color w:val="auto"/>
        </w:rPr>
      </w:pPr>
    </w:p>
    <w:p>
      <w:pPr>
        <w:ind w:left="460" w:right="20" w:firstLine="379"/>
        <w:spacing w:after="0" w:line="253" w:lineRule="auto"/>
        <w:rPr>
          <w:sz w:val="20"/>
          <w:szCs w:val="20"/>
          <w:color w:val="auto"/>
        </w:rPr>
      </w:pPr>
      <w:r>
        <w:rPr>
          <w:rFonts w:ascii="Times New Roman" w:cs="Times New Roman" w:eastAsia="Times New Roman" w:hAnsi="Times New Roman"/>
          <w:sz w:val="15"/>
          <w:szCs w:val="15"/>
          <w:color w:val="auto"/>
        </w:rPr>
        <w:t>The Company is authorized to issue 20,000,000 Class B ordinary shares with a par value of $0.0001 per share. At formation on June 30, 2025, one Class B ordinary share that was allotted to Harneys Fiduciary upon our formation was transferred by Harneys Fiduciary to the Sponsor and 8,099,613 Class B ordinary shares were issued to the Sponsor for an aggregate purchase price of $25,000. On July 18, 2025, the Sponsor surrendered 249,385 Class B ordinary shares to the Company (which were cancelled) for no consideration, with the resulting 7,850,229 Founder Shares paid for at a purchase price of $0.00318 per share. As of July 21, 2025, 1,023,943 Class B ordinary shares are subject to forfeiture depending on the extent to which the Underwriter’s over-allotment option is exercised during the Proposed Offering as described in Note 3. As of July 21, 2025, there were 7,850,229 Class B ordinary shares issued and outstanding.</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6. SUBSEQUENT EVENTS</w:t>
      </w:r>
    </w:p>
    <w:p>
      <w:pPr>
        <w:spacing w:after="0" w:line="104" w:lineRule="exact"/>
        <w:rPr>
          <w:sz w:val="20"/>
          <w:szCs w:val="20"/>
          <w:color w:val="auto"/>
        </w:rPr>
      </w:pPr>
    </w:p>
    <w:p>
      <w:pPr>
        <w:ind w:left="460" w:firstLine="379"/>
        <w:spacing w:after="0" w:line="265" w:lineRule="auto"/>
        <w:rPr>
          <w:sz w:val="20"/>
          <w:szCs w:val="20"/>
          <w:color w:val="auto"/>
        </w:rPr>
      </w:pPr>
      <w:r>
        <w:rPr>
          <w:rFonts w:ascii="Times New Roman" w:cs="Times New Roman" w:eastAsia="Times New Roman" w:hAnsi="Times New Roman"/>
          <w:sz w:val="15"/>
          <w:szCs w:val="15"/>
          <w:color w:val="auto"/>
        </w:rPr>
        <w:t>The Company evaluated subsequent events that occurred after the balance sheet date through September 29, 2025, the date that these financial statements were available to be issued. Based upon this review, the Company did not identify any subsequent events that would have required adjustment to or disclosure in the financial statements, except as disclosed below.</w:t>
      </w:r>
    </w:p>
    <w:p>
      <w:pPr>
        <w:spacing w:after="0" w:line="1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F-14</w:t>
      </w:r>
    </w:p>
    <w:p>
      <w:pPr>
        <w:sectPr>
          <w:pgSz w:w="11900" w:h="16840" w:orient="portrait"/>
          <w:cols w:equalWidth="0" w:num="1">
            <w:col w:w="10060"/>
          </w:cols>
          <w:pgMar w:left="660" w:top="874" w:right="1180" w:bottom="1440" w:gutter="0" w:footer="0" w:header="0"/>
        </w:sectPr>
      </w:pPr>
    </w:p>
    <w:bookmarkStart w:id="262" w:name="page263"/>
    <w:bookmarkEnd w:id="2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193675</wp:posOffset>
            </wp:positionV>
            <wp:extent cx="6137275"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37275" cy="1524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238760</wp:posOffset>
            </wp:positionV>
            <wp:extent cx="613727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37275" cy="7620"/>
                    </a:xfrm>
                    <a:prstGeom prst="rect">
                      <a:avLst/>
                    </a:prstGeom>
                    <a:noFill/>
                  </pic:spPr>
                </pic:pic>
              </a:graphicData>
            </a:graphic>
          </wp:anchor>
        </w:drawing>
      </w:r>
    </w:p>
    <w:p>
      <w:pPr>
        <w:sectPr>
          <w:pgSz w:w="11900" w:h="16840" w:orient="portrait"/>
          <w:cols w:equalWidth="0" w:num="1">
            <w:col w:w="10040"/>
          </w:cols>
          <w:pgMar w:left="660" w:top="874" w:right="12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22,000,000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226695</wp:posOffset>
            </wp:positionV>
            <wp:extent cx="2000885" cy="3086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0008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5"/>
          <w:szCs w:val="25"/>
          <w:b w:val="1"/>
          <w:bCs w:val="1"/>
          <w:color w:val="auto"/>
        </w:rPr>
        <w:t>GigCapital8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490220</wp:posOffset>
            </wp:positionV>
            <wp:extent cx="128587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217170</wp:posOffset>
            </wp:positionV>
            <wp:extent cx="128587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    </w:t>
      </w:r>
      <w:r>
        <w:rPr>
          <w:rFonts w:ascii="Times New Roman" w:cs="Times New Roman" w:eastAsia="Times New Roman" w:hAnsi="Times New Roman"/>
          <w:sz w:val="15"/>
          <w:szCs w:val="15"/>
          <w:b w:val="1"/>
          <w:bCs w:val="1"/>
          <w:color w:val="auto"/>
        </w:rPr>
        <w:t>, 2025</w:t>
      </w:r>
    </w:p>
    <w:p>
      <w:pPr>
        <w:spacing w:after="0" w:line="19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3"/>
          <w:szCs w:val="23"/>
          <w:b w:val="1"/>
          <w:bCs w:val="1"/>
          <w:color w:val="auto"/>
        </w:rPr>
        <w:t>D. Boral Capital</w:t>
      </w:r>
    </w:p>
    <w:p>
      <w:pPr>
        <w:spacing w:after="0" w:line="188" w:lineRule="exact"/>
        <w:rPr>
          <w:sz w:val="20"/>
          <w:szCs w:val="20"/>
          <w:color w:val="auto"/>
        </w:rPr>
      </w:pPr>
    </w:p>
    <w:p>
      <w:pPr>
        <w:jc w:val="both"/>
        <w:ind w:left="460"/>
        <w:spacing w:after="0" w:line="276" w:lineRule="auto"/>
        <w:rPr>
          <w:sz w:val="20"/>
          <w:szCs w:val="20"/>
          <w:color w:val="auto"/>
        </w:rPr>
      </w:pPr>
      <w:r>
        <w:rPr>
          <w:rFonts w:ascii="Times New Roman" w:cs="Times New Roman" w:eastAsia="Times New Roman" w:hAnsi="Times New Roman"/>
          <w:sz w:val="15"/>
          <w:szCs w:val="15"/>
          <w:color w:val="auto"/>
        </w:rPr>
        <w:t>Until [</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 xml:space="preserve"> ], 2025 (25 days after the date of this prospectus), all dealers that buy, sell or trade our Class A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330835</wp:posOffset>
            </wp:positionV>
            <wp:extent cx="613727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137275" cy="762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383540</wp:posOffset>
            </wp:positionV>
            <wp:extent cx="6137275"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37275" cy="15240"/>
                    </a:xfrm>
                    <a:prstGeom prst="rect">
                      <a:avLst/>
                    </a:prstGeom>
                    <a:noFill/>
                  </pic:spPr>
                </pic:pic>
              </a:graphicData>
            </a:graphic>
          </wp:anchor>
        </w:drawing>
      </w:r>
    </w:p>
    <w:p>
      <w:pPr>
        <w:sectPr>
          <w:pgSz w:w="11900" w:h="16840" w:orient="portrait"/>
          <w:cols w:equalWidth="0" w:num="1">
            <w:col w:w="10040"/>
          </w:cols>
          <w:pgMar w:left="660" w:top="874" w:right="1200" w:bottom="1440" w:gutter="0" w:footer="0" w:header="0"/>
          <w:type w:val="continuous"/>
        </w:sectPr>
      </w:pPr>
    </w:p>
    <w:bookmarkStart w:id="263" w:name="page264"/>
    <w:bookmarkEnd w:id="2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Item</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13. Other Expenses of Issuance and Distribution.</w:t>
      </w:r>
    </w:p>
    <w:p>
      <w:pPr>
        <w:spacing w:after="0" w:line="121" w:lineRule="exact"/>
        <w:rPr>
          <w:sz w:val="20"/>
          <w:szCs w:val="20"/>
          <w:color w:val="auto"/>
        </w:rPr>
      </w:pPr>
    </w:p>
    <w:p>
      <w:pPr>
        <w:ind w:left="460" w:firstLine="379"/>
        <w:spacing w:after="0" w:line="284" w:lineRule="auto"/>
        <w:rPr>
          <w:sz w:val="20"/>
          <w:szCs w:val="20"/>
          <w:color w:val="auto"/>
        </w:rPr>
      </w:pPr>
      <w:r>
        <w:rPr>
          <w:rFonts w:ascii="Times New Roman" w:cs="Times New Roman" w:eastAsia="Times New Roman" w:hAnsi="Times New Roman"/>
          <w:sz w:val="15"/>
          <w:szCs w:val="15"/>
          <w:color w:val="auto"/>
        </w:rPr>
        <w:t>The estimated expenses payable by us in connection with the offering described in this registration statement (other than the underwriting discount and commission) will be as follows:</w:t>
      </w:r>
    </w:p>
    <w:p>
      <w:pPr>
        <w:spacing w:after="0" w:line="183" w:lineRule="exact"/>
        <w:rPr>
          <w:sz w:val="20"/>
          <w:szCs w:val="20"/>
          <w:color w:val="auto"/>
        </w:rPr>
      </w:pPr>
    </w:p>
    <w:tbl>
      <w:tblPr>
        <w:tblLayout w:type="fixed"/>
        <w:tblInd w:w="2000" w:type="dxa"/>
        <w:tblCellMar>
          <w:top w:w="0" w:type="dxa"/>
          <w:left w:w="0" w:type="dxa"/>
          <w:bottom w:w="0" w:type="dxa"/>
          <w:right w:w="0" w:type="dxa"/>
        </w:tblCellMar>
      </w:tblPr>
      <w:tr>
        <w:trPr>
          <w:trHeight w:val="17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350,000</w:t>
            </w:r>
          </w:p>
        </w:tc>
        <w:tc>
          <w:tcPr>
            <w:tcW w:w="40" w:type="dxa"/>
            <w:vAlign w:val="bottom"/>
            <w:shd w:val="clear" w:color="auto" w:fill="CCEEFF"/>
          </w:tcPr>
          <w:p>
            <w:pPr>
              <w:spacing w:after="0"/>
              <w:rPr>
                <w:sz w:val="15"/>
                <w:szCs w:val="15"/>
                <w:color w:val="auto"/>
              </w:rPr>
            </w:pPr>
          </w:p>
        </w:tc>
      </w:tr>
      <w:tr>
        <w:trPr>
          <w:trHeight w:val="178"/>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Printing</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40" w:type="dxa"/>
            <w:vAlign w:val="bottom"/>
          </w:tcPr>
          <w:p>
            <w:pPr>
              <w:spacing w:after="0"/>
              <w:rPr>
                <w:sz w:val="15"/>
                <w:szCs w:val="15"/>
                <w:color w:val="auto"/>
              </w:rPr>
            </w:pPr>
          </w:p>
        </w:tc>
      </w:tr>
      <w:tr>
        <w:trPr>
          <w:trHeight w:val="17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110,000</w:t>
            </w:r>
          </w:p>
        </w:tc>
        <w:tc>
          <w:tcPr>
            <w:tcW w:w="40" w:type="dxa"/>
            <w:vAlign w:val="bottom"/>
            <w:shd w:val="clear" w:color="auto" w:fill="CCEEFF"/>
          </w:tcPr>
          <w:p>
            <w:pPr>
              <w:spacing w:after="0"/>
              <w:rPr>
                <w:sz w:val="15"/>
                <w:szCs w:val="15"/>
                <w:color w:val="auto"/>
              </w:rPr>
            </w:pPr>
          </w:p>
        </w:tc>
      </w:tr>
      <w:tr>
        <w:trPr>
          <w:trHeight w:val="178"/>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42,608</w:t>
            </w:r>
          </w:p>
        </w:tc>
        <w:tc>
          <w:tcPr>
            <w:tcW w:w="40" w:type="dxa"/>
            <w:vAlign w:val="bottom"/>
          </w:tcPr>
          <w:p>
            <w:pPr>
              <w:spacing w:after="0"/>
              <w:rPr>
                <w:sz w:val="15"/>
                <w:szCs w:val="15"/>
                <w:color w:val="auto"/>
              </w:rPr>
            </w:pPr>
          </w:p>
        </w:tc>
      </w:tr>
      <w:tr>
        <w:trPr>
          <w:trHeight w:val="17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38,734</w:t>
            </w:r>
          </w:p>
        </w:tc>
        <w:tc>
          <w:tcPr>
            <w:tcW w:w="40" w:type="dxa"/>
            <w:vAlign w:val="bottom"/>
            <w:shd w:val="clear" w:color="auto" w:fill="CCEEFF"/>
          </w:tcPr>
          <w:p>
            <w:pPr>
              <w:spacing w:after="0"/>
              <w:rPr>
                <w:sz w:val="15"/>
                <w:szCs w:val="15"/>
                <w:color w:val="auto"/>
              </w:rPr>
            </w:pPr>
          </w:p>
        </w:tc>
      </w:tr>
      <w:tr>
        <w:trPr>
          <w:trHeight w:val="178"/>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Nasdaq listing fee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85,000</w:t>
            </w:r>
          </w:p>
        </w:tc>
        <w:tc>
          <w:tcPr>
            <w:tcW w:w="40" w:type="dxa"/>
            <w:vAlign w:val="bottom"/>
          </w:tcPr>
          <w:p>
            <w:pPr>
              <w:spacing w:after="0"/>
              <w:rPr>
                <w:sz w:val="15"/>
                <w:szCs w:val="15"/>
                <w:color w:val="auto"/>
              </w:rPr>
            </w:pPr>
          </w:p>
        </w:tc>
      </w:tr>
      <w:tr>
        <w:trPr>
          <w:trHeight w:val="178"/>
        </w:trPr>
        <w:tc>
          <w:tcPr>
            <w:tcW w:w="59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4"/>
                <w:szCs w:val="14"/>
                <w:color w:val="auto"/>
              </w:rPr>
              <w:t>Miscellaneous expenses</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301,099</w:t>
            </w:r>
          </w:p>
        </w:tc>
        <w:tc>
          <w:tcPr>
            <w:tcW w:w="40" w:type="dxa"/>
            <w:vAlign w:val="bottom"/>
            <w:shd w:val="clear" w:color="auto" w:fill="CCEEFF"/>
          </w:tcPr>
          <w:p>
            <w:pPr>
              <w:spacing w:after="0"/>
              <w:rPr>
                <w:sz w:val="15"/>
                <w:szCs w:val="15"/>
                <w:color w:val="auto"/>
              </w:rPr>
            </w:pPr>
          </w:p>
        </w:tc>
      </w:tr>
      <w:tr>
        <w:trPr>
          <w:trHeight w:val="193"/>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957,006</w:t>
            </w:r>
          </w:p>
        </w:tc>
        <w:tc>
          <w:tcPr>
            <w:tcW w:w="40" w:type="dxa"/>
            <w:vAlign w:val="bottom"/>
          </w:tcPr>
          <w:p>
            <w:pPr>
              <w:spacing w:after="0"/>
              <w:rPr>
                <w:sz w:val="16"/>
                <w:szCs w:val="16"/>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1" w:lineRule="exact"/>
        <w:rPr>
          <w:sz w:val="20"/>
          <w:szCs w:val="20"/>
          <w:color w:val="auto"/>
        </w:rPr>
      </w:pPr>
    </w:p>
    <w:p>
      <w:pPr>
        <w:ind w:left="840" w:right="200" w:hanging="385"/>
        <w:spacing w:after="0" w:line="201" w:lineRule="auto"/>
        <w:tabs>
          <w:tab w:leader="none" w:pos="840" w:val="left"/>
        </w:tabs>
        <w:numPr>
          <w:ilvl w:val="0"/>
          <w:numId w:val="1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This amount represents additional expenses that may be incurred by the Company in connection with the offering over and above those specifically listed above, including transfer agent and trustee fees.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Item</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14. Indemnification of Directors and Officers.</w:t>
      </w:r>
    </w:p>
    <w:p>
      <w:pPr>
        <w:spacing w:after="0" w:line="121" w:lineRule="exact"/>
        <w:rPr>
          <w:sz w:val="20"/>
          <w:szCs w:val="20"/>
          <w:color w:val="auto"/>
        </w:rPr>
      </w:pPr>
    </w:p>
    <w:p>
      <w:pPr>
        <w:ind w:left="460" w:right="40" w:firstLine="379"/>
        <w:spacing w:after="0" w:line="253" w:lineRule="auto"/>
        <w:rPr>
          <w:sz w:val="20"/>
          <w:szCs w:val="20"/>
          <w:color w:val="auto"/>
        </w:rPr>
      </w:pPr>
      <w:r>
        <w:rPr>
          <w:rFonts w:ascii="Times New Roman" w:cs="Times New Roman" w:eastAsia="Times New Roman" w:hAnsi="Times New Roman"/>
          <w:sz w:val="15"/>
          <w:szCs w:val="15"/>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or willful default.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60" w:lineRule="exact"/>
        <w:rPr>
          <w:sz w:val="20"/>
          <w:szCs w:val="20"/>
          <w:color w:val="auto"/>
        </w:rPr>
      </w:pPr>
    </w:p>
    <w:p>
      <w:pPr>
        <w:jc w:val="both"/>
        <w:ind w:left="460" w:right="120" w:firstLine="379"/>
        <w:spacing w:after="0" w:line="265"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51" w:lineRule="exact"/>
        <w:rPr>
          <w:sz w:val="20"/>
          <w:szCs w:val="20"/>
          <w:color w:val="auto"/>
        </w:rPr>
      </w:pPr>
    </w:p>
    <w:p>
      <w:pPr>
        <w:jc w:val="both"/>
        <w:ind w:left="460" w:right="240" w:firstLine="379"/>
        <w:spacing w:after="0" w:line="265" w:lineRule="auto"/>
        <w:rPr>
          <w:sz w:val="20"/>
          <w:szCs w:val="20"/>
          <w:color w:val="auto"/>
        </w:rPr>
      </w:pPr>
      <w:r>
        <w:rPr>
          <w:rFonts w:ascii="Times New Roman" w:cs="Times New Roman" w:eastAsia="Times New Roman" w:hAnsi="Times New Roman"/>
          <w:sz w:val="15"/>
          <w:szCs w:val="15"/>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Item</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15. Recent Sales of Unregistered Securities.</w:t>
      </w:r>
    </w:p>
    <w:p>
      <w:pPr>
        <w:spacing w:after="0" w:line="121" w:lineRule="exact"/>
        <w:rPr>
          <w:sz w:val="20"/>
          <w:szCs w:val="20"/>
          <w:color w:val="auto"/>
        </w:rPr>
      </w:pPr>
    </w:p>
    <w:p>
      <w:pPr>
        <w:ind w:left="460" w:right="100" w:firstLine="379"/>
        <w:spacing w:after="0" w:line="252" w:lineRule="auto"/>
        <w:rPr>
          <w:sz w:val="20"/>
          <w:szCs w:val="20"/>
          <w:color w:val="auto"/>
        </w:rPr>
      </w:pPr>
      <w:r>
        <w:rPr>
          <w:rFonts w:ascii="Times New Roman" w:cs="Times New Roman" w:eastAsia="Times New Roman" w:hAnsi="Times New Roman"/>
          <w:sz w:val="15"/>
          <w:szCs w:val="15"/>
          <w:color w:val="auto"/>
        </w:rPr>
        <w:t>At our formation on June 30, 2025, one Class B ordinary share that was allotted to Harneys Fiduciary (Cayman) Limited upon our formation was transferred by Harneys Fiduciary (Cayman) Limited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The function of the terms of forfeiture shall be to ensure that the founder shares and private placement shares will collectively represent 30% of the issued and outstanding ordinary shares upon completion of this offering (excluding any ordinary shares underlying the private placement units). Such securities were issued pursuant to the exemption from registration contained in Section 4(a)(2) of the Securities Act.</w:t>
      </w:r>
    </w:p>
    <w:p>
      <w:pPr>
        <w:spacing w:after="0" w:line="1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II-1</w:t>
      </w:r>
    </w:p>
    <w:p>
      <w:pPr>
        <w:sectPr>
          <w:pgSz w:w="11900" w:h="16840" w:orient="portrait"/>
          <w:cols w:equalWidth="0" w:num="1">
            <w:col w:w="10120"/>
          </w:cols>
          <w:pgMar w:left="660" w:top="874" w:right="1120" w:bottom="1440" w:gutter="0" w:footer="0" w:header="0"/>
        </w:sectPr>
      </w:pPr>
    </w:p>
    <w:bookmarkStart w:id="264" w:name="page265"/>
    <w:bookmarkEnd w:id="2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460" w:right="40" w:firstLine="379"/>
        <w:spacing w:after="0" w:line="265" w:lineRule="auto"/>
        <w:rPr>
          <w:sz w:val="20"/>
          <w:szCs w:val="20"/>
          <w:color w:val="auto"/>
        </w:rPr>
      </w:pPr>
      <w:r>
        <w:rPr>
          <w:rFonts w:ascii="Times New Roman" w:cs="Times New Roman" w:eastAsia="Times New Roman" w:hAnsi="Times New Roman"/>
          <w:sz w:val="15"/>
          <w:szCs w:val="15"/>
          <w:color w:val="auto"/>
        </w:rPr>
        <w:t>Our sponsor, Lynrock, and four of our directors have committed to purchase pursuant to the Unit Purchase Agreement 95,200 private placement units at a price of $9.7374 per private placement unit, or $ 927,000 in the aggregate, in a private placement that will close simultaneously with the completion of this offering. This issuance will be made pursuant to the exemption from registration contained in Section 4(a)(2) of the Securities Act.</w:t>
      </w:r>
    </w:p>
    <w:p>
      <w:pPr>
        <w:spacing w:after="0" w:line="151" w:lineRule="exact"/>
        <w:rPr>
          <w:sz w:val="20"/>
          <w:szCs w:val="20"/>
          <w:color w:val="auto"/>
        </w:rPr>
      </w:pPr>
    </w:p>
    <w:p>
      <w:pPr>
        <w:ind w:left="460" w:firstLine="379"/>
        <w:spacing w:after="0" w:line="254" w:lineRule="auto"/>
        <w:rPr>
          <w:sz w:val="20"/>
          <w:szCs w:val="20"/>
          <w:color w:val="auto"/>
        </w:rPr>
      </w:pPr>
      <w:r>
        <w:rPr>
          <w:rFonts w:ascii="Times New Roman" w:cs="Times New Roman" w:eastAsia="Times New Roman" w:hAnsi="Times New Roman"/>
          <w:sz w:val="15"/>
          <w:szCs w:val="15"/>
          <w:color w:val="auto"/>
        </w:rPr>
        <w:t>The non-managing investors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 allotment option is exercised in full) in a private placement that will close simultaneously with the completion of this offering. This issuance will be made pursuant to the exemption from registration contained in Section 4(a)(2) of the Securities Act.</w:t>
      </w:r>
    </w:p>
    <w:p>
      <w:pPr>
        <w:spacing w:after="0" w:line="160" w:lineRule="exact"/>
        <w:rPr>
          <w:sz w:val="20"/>
          <w:szCs w:val="20"/>
          <w:color w:val="auto"/>
        </w:rPr>
      </w:pPr>
    </w:p>
    <w:p>
      <w:pPr>
        <w:ind w:left="460" w:right="420" w:firstLine="379"/>
        <w:spacing w:after="0" w:line="284" w:lineRule="auto"/>
        <w:rPr>
          <w:sz w:val="20"/>
          <w:szCs w:val="20"/>
          <w:color w:val="auto"/>
        </w:rPr>
      </w:pPr>
      <w:r>
        <w:rPr>
          <w:rFonts w:ascii="Times New Roman" w:cs="Times New Roman" w:eastAsia="Times New Roman" w:hAnsi="Times New Roman"/>
          <w:sz w:val="15"/>
          <w:szCs w:val="15"/>
          <w:color w:val="auto"/>
        </w:rPr>
        <w:t>Our sponsor, the four directors and non-managing investors are accredited investors for purposes of Rule 501 of Regulation D. No underwriting discounts or commissions were paid with respect to such sales.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Item</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16. Exhibits and Financial Statement Schedules.</w:t>
      </w:r>
    </w:p>
    <w:p>
      <w:pPr>
        <w:spacing w:after="0" w:line="140" w:lineRule="exact"/>
        <w:rPr>
          <w:sz w:val="20"/>
          <w:szCs w:val="20"/>
          <w:color w:val="auto"/>
        </w:rPr>
      </w:pPr>
    </w:p>
    <w:p>
      <w:pPr>
        <w:ind w:left="840" w:hanging="385"/>
        <w:spacing w:after="0"/>
        <w:tabs>
          <w:tab w:leader="none" w:pos="84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Exhibits</w:t>
      </w:r>
      <w:r>
        <w:rPr>
          <w:rFonts w:ascii="Times New Roman" w:cs="Times New Roman" w:eastAsia="Times New Roman" w:hAnsi="Times New Roman"/>
          <w:sz w:val="15"/>
          <w:szCs w:val="15"/>
          <w:color w:val="auto"/>
        </w:rPr>
        <w:t>. The list of exhibits following the signature page of this registration statement is incorporated herein by reference.</w:t>
      </w:r>
    </w:p>
    <w:p>
      <w:pPr>
        <w:spacing w:after="0" w:line="123" w:lineRule="exact"/>
        <w:rPr>
          <w:rFonts w:ascii="Times New Roman" w:cs="Times New Roman" w:eastAsia="Times New Roman" w:hAnsi="Times New Roman"/>
          <w:sz w:val="15"/>
          <w:szCs w:val="15"/>
          <w:color w:val="auto"/>
        </w:rPr>
      </w:pPr>
    </w:p>
    <w:p>
      <w:pPr>
        <w:ind w:left="840" w:hanging="385"/>
        <w:spacing w:after="0"/>
        <w:tabs>
          <w:tab w:leader="none" w:pos="84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Financial Statements</w:t>
      </w:r>
      <w:r>
        <w:rPr>
          <w:rFonts w:ascii="Times New Roman" w:cs="Times New Roman" w:eastAsia="Times New Roman" w:hAnsi="Times New Roman"/>
          <w:sz w:val="15"/>
          <w:szCs w:val="15"/>
          <w:color w:val="auto"/>
        </w:rPr>
        <w:t>. See page F-1 for an index to the financial statements and schedules included in the registration statement.</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Item</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b w:val="1"/>
          <w:bCs w:val="1"/>
          <w:color w:val="auto"/>
        </w:rPr>
        <w:t>17. Undertakings.</w:t>
      </w:r>
    </w:p>
    <w:p>
      <w:pPr>
        <w:spacing w:after="0" w:line="144" w:lineRule="exact"/>
        <w:rPr>
          <w:sz w:val="20"/>
          <w:szCs w:val="20"/>
          <w:color w:val="auto"/>
        </w:rPr>
      </w:pPr>
    </w:p>
    <w:p>
      <w:pPr>
        <w:ind w:left="840" w:right="260" w:hanging="385"/>
        <w:spacing w:after="0" w:line="284" w:lineRule="auto"/>
        <w:tabs>
          <w:tab w:leader="none" w:pos="84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65" w:lineRule="exact"/>
        <w:rPr>
          <w:rFonts w:ascii="Times New Roman" w:cs="Times New Roman" w:eastAsia="Times New Roman" w:hAnsi="Times New Roman"/>
          <w:sz w:val="15"/>
          <w:szCs w:val="15"/>
          <w:color w:val="auto"/>
        </w:rPr>
      </w:pPr>
    </w:p>
    <w:p>
      <w:pPr>
        <w:ind w:left="840" w:right="20" w:hanging="385"/>
        <w:spacing w:after="0" w:line="252" w:lineRule="auto"/>
        <w:tabs>
          <w:tab w:leader="none" w:pos="84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0" w:lineRule="exact"/>
        <w:rPr>
          <w:rFonts w:ascii="Times New Roman" w:cs="Times New Roman" w:eastAsia="Times New Roman" w:hAnsi="Times New Roman"/>
          <w:sz w:val="15"/>
          <w:szCs w:val="15"/>
          <w:color w:val="auto"/>
        </w:rPr>
      </w:pPr>
    </w:p>
    <w:p>
      <w:pPr>
        <w:ind w:left="840" w:hanging="385"/>
        <w:spacing w:after="0"/>
        <w:tabs>
          <w:tab w:leader="none" w:pos="84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that:</w:t>
      </w:r>
    </w:p>
    <w:p>
      <w:pPr>
        <w:spacing w:after="0" w:line="124" w:lineRule="exact"/>
        <w:rPr>
          <w:sz w:val="20"/>
          <w:szCs w:val="20"/>
          <w:color w:val="auto"/>
        </w:rPr>
      </w:pPr>
    </w:p>
    <w:p>
      <w:pPr>
        <w:jc w:val="both"/>
        <w:ind w:left="840" w:right="200" w:hanging="385"/>
        <w:spacing w:after="0" w:line="265" w:lineRule="auto"/>
        <w:tabs>
          <w:tab w:leader="none" w:pos="84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0" w:lineRule="exact"/>
        <w:rPr>
          <w:rFonts w:ascii="Times New Roman" w:cs="Times New Roman" w:eastAsia="Times New Roman" w:hAnsi="Times New Roman"/>
          <w:sz w:val="15"/>
          <w:szCs w:val="15"/>
          <w:color w:val="auto"/>
        </w:rPr>
      </w:pPr>
    </w:p>
    <w:p>
      <w:pPr>
        <w:jc w:val="both"/>
        <w:ind w:left="840" w:right="80" w:hanging="385"/>
        <w:spacing w:after="0" w:line="265" w:lineRule="auto"/>
        <w:tabs>
          <w:tab w:leader="none" w:pos="84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II-2</w:t>
      </w:r>
    </w:p>
    <w:p>
      <w:pPr>
        <w:sectPr>
          <w:pgSz w:w="11900" w:h="16840" w:orient="portrait"/>
          <w:cols w:equalWidth="0" w:num="1">
            <w:col w:w="10100"/>
          </w:cols>
          <w:pgMar w:left="660" w:top="874" w:right="1140" w:bottom="1440" w:gutter="0" w:footer="0" w:header="0"/>
        </w:sectPr>
      </w:pPr>
    </w:p>
    <w:bookmarkStart w:id="265" w:name="page266"/>
    <w:bookmarkEnd w:id="2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70" w:lineRule="exact"/>
        <w:rPr>
          <w:sz w:val="20"/>
          <w:szCs w:val="20"/>
          <w:color w:val="auto"/>
        </w:rPr>
      </w:pPr>
    </w:p>
    <w:p>
      <w:pPr>
        <w:ind w:left="840" w:hanging="385"/>
        <w:spacing w:after="0" w:line="252" w:lineRule="auto"/>
        <w:tabs>
          <w:tab w:leader="none" w:pos="8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71" w:lineRule="exact"/>
        <w:rPr>
          <w:rFonts w:ascii="Times New Roman" w:cs="Times New Roman" w:eastAsia="Times New Roman" w:hAnsi="Times New Roman"/>
          <w:sz w:val="15"/>
          <w:szCs w:val="15"/>
          <w:color w:val="auto"/>
        </w:rPr>
      </w:pPr>
    </w:p>
    <w:p>
      <w:pPr>
        <w:ind w:left="840" w:hanging="385"/>
        <w:spacing w:after="0" w:line="256" w:lineRule="auto"/>
        <w:tabs>
          <w:tab w:leader="none" w:pos="8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7" w:lineRule="exact"/>
        <w:rPr>
          <w:sz w:val="20"/>
          <w:szCs w:val="20"/>
          <w:color w:val="auto"/>
        </w:rPr>
      </w:pPr>
    </w:p>
    <w:p>
      <w:pPr>
        <w:ind w:left="840" w:hanging="385"/>
        <w:spacing w:after="0"/>
        <w:tabs>
          <w:tab w:leader="none" w:pos="8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w:t>
      </w:r>
    </w:p>
    <w:p>
      <w:pPr>
        <w:spacing w:after="0" w:line="123" w:lineRule="exact"/>
        <w:rPr>
          <w:rFonts w:ascii="Times New Roman" w:cs="Times New Roman" w:eastAsia="Times New Roman" w:hAnsi="Times New Roman"/>
          <w:sz w:val="15"/>
          <w:szCs w:val="15"/>
          <w:color w:val="auto"/>
        </w:rPr>
      </w:pPr>
    </w:p>
    <w:p>
      <w:pPr>
        <w:ind w:left="840" w:right="260" w:hanging="385"/>
        <w:spacing w:after="0" w:line="284" w:lineRule="auto"/>
        <w:tabs>
          <w:tab w:leader="none" w:pos="8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an undersigned registrant;</w:t>
      </w:r>
    </w:p>
    <w:p>
      <w:pPr>
        <w:spacing w:after="0" w:line="65" w:lineRule="exact"/>
        <w:rPr>
          <w:rFonts w:ascii="Times New Roman" w:cs="Times New Roman" w:eastAsia="Times New Roman" w:hAnsi="Times New Roman"/>
          <w:sz w:val="15"/>
          <w:szCs w:val="15"/>
          <w:color w:val="auto"/>
        </w:rPr>
      </w:pPr>
    </w:p>
    <w:p>
      <w:pPr>
        <w:ind w:left="840" w:right="520" w:hanging="385"/>
        <w:spacing w:after="0" w:line="284" w:lineRule="auto"/>
        <w:tabs>
          <w:tab w:leader="none" w:pos="8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65" w:lineRule="exact"/>
        <w:rPr>
          <w:rFonts w:ascii="Times New Roman" w:cs="Times New Roman" w:eastAsia="Times New Roman" w:hAnsi="Times New Roman"/>
          <w:sz w:val="15"/>
          <w:szCs w:val="15"/>
          <w:color w:val="auto"/>
        </w:rPr>
      </w:pPr>
    </w:p>
    <w:p>
      <w:pPr>
        <w:ind w:left="840" w:hanging="385"/>
        <w:spacing w:after="0"/>
        <w:tabs>
          <w:tab w:leader="none" w:pos="8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5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5"/>
          <w:szCs w:val="15"/>
          <w:color w:val="auto"/>
        </w:rPr>
        <w:t>II-3</w:t>
      </w:r>
    </w:p>
    <w:p>
      <w:pPr>
        <w:sectPr>
          <w:pgSz w:w="11900" w:h="16840" w:orient="portrait"/>
          <w:cols w:equalWidth="0" w:num="1">
            <w:col w:w="10100"/>
          </w:cols>
          <w:pgMar w:left="660" w:top="874" w:right="1140" w:bottom="1440" w:gutter="0" w:footer="0" w:header="0"/>
        </w:sectPr>
      </w:pPr>
    </w:p>
    <w:bookmarkStart w:id="266" w:name="page267"/>
    <w:bookmarkEnd w:id="2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80" w:type="dxa"/>
            <w:vAlign w:val="bottom"/>
            <w:gridSpan w:val="20"/>
          </w:tcPr>
          <w:p>
            <w:pPr>
              <w:jc w:val="center"/>
              <w:ind w:right="420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0" w:type="dxa"/>
            <w:vAlign w:val="bottom"/>
          </w:tcPr>
          <w:p>
            <w:pPr>
              <w:spacing w:after="0"/>
              <w:rPr>
                <w:sz w:val="1"/>
                <w:szCs w:val="1"/>
                <w:color w:val="auto"/>
              </w:rPr>
            </w:pPr>
          </w:p>
        </w:tc>
      </w:tr>
      <w:tr>
        <w:trPr>
          <w:trHeight w:val="380"/>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7"/>
              </w:rPr>
              <w:t>Exhibit No.</w:t>
            </w:r>
          </w:p>
        </w:tc>
        <w:tc>
          <w:tcPr>
            <w:tcW w:w="6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15"/>
          </w:tcPr>
          <w:p>
            <w:pPr>
              <w:ind w:left="2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29"/>
        </w:trPr>
        <w:tc>
          <w:tcPr>
            <w:tcW w:w="1300" w:type="dxa"/>
            <w:vAlign w:val="bottom"/>
            <w:gridSpan w:val="2"/>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1.1</w:t>
            </w:r>
          </w:p>
        </w:tc>
        <w:tc>
          <w:tcPr>
            <w:tcW w:w="8360" w:type="dxa"/>
            <w:vAlign w:val="bottom"/>
            <w:gridSpan w:val="31"/>
          </w:tcPr>
          <w:p>
            <w:pPr>
              <w:spacing w:after="0"/>
              <w:rPr>
                <w:rFonts w:ascii="Times New Roman" w:cs="Times New Roman" w:eastAsia="Times New Roman" w:hAnsi="Times New Roman"/>
                <w:sz w:val="15"/>
                <w:szCs w:val="15"/>
                <w:color w:val="0000EE"/>
              </w:rPr>
            </w:pPr>
            <w:hyperlink w:anchor="page1">
              <w:r>
                <w:rPr>
                  <w:rFonts w:ascii="Times New Roman" w:cs="Times New Roman" w:eastAsia="Times New Roman" w:hAnsi="Times New Roman"/>
                  <w:sz w:val="15"/>
                  <w:szCs w:val="15"/>
                  <w:color w:val="0000EE"/>
                </w:rPr>
                <w:t>Form of Underwriting Agreement</w:t>
              </w:r>
            </w:hyperlink>
          </w:p>
        </w:tc>
        <w:tc>
          <w:tcPr>
            <w:tcW w:w="0" w:type="dxa"/>
            <w:vAlign w:val="bottom"/>
          </w:tcPr>
          <w:p>
            <w:pPr>
              <w:spacing w:after="0"/>
              <w:rPr>
                <w:sz w:val="1"/>
                <w:szCs w:val="1"/>
                <w:color w:val="auto"/>
              </w:rPr>
            </w:pPr>
          </w:p>
        </w:tc>
      </w:tr>
      <w:tr>
        <w:trPr>
          <w:trHeight w:val="20"/>
        </w:trPr>
        <w:tc>
          <w:tcPr>
            <w:tcW w:w="1300" w:type="dxa"/>
            <w:vAlign w:val="bottom"/>
            <w:gridSpan w:val="2"/>
            <w:vMerge w:val="restart"/>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3.1*</w:t>
            </w: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300" w:type="dxa"/>
            <w:vAlign w:val="bottom"/>
            <w:gridSpan w:val="2"/>
            <w:vMerge w:val="continue"/>
          </w:tcPr>
          <w:p>
            <w:pPr>
              <w:spacing w:after="0"/>
              <w:rPr>
                <w:sz w:val="21"/>
                <w:szCs w:val="21"/>
                <w:color w:val="auto"/>
              </w:rPr>
            </w:pPr>
          </w:p>
        </w:tc>
        <w:tc>
          <w:tcPr>
            <w:tcW w:w="2600" w:type="dxa"/>
            <w:vAlign w:val="bottom"/>
            <w:tcBorders>
              <w:bottom w:val="single" w:sz="8" w:color="0000EE"/>
            </w:tcBorders>
            <w:gridSpan w:val="8"/>
          </w:tcPr>
          <w:p>
            <w:pPr>
              <w:spacing w:after="0"/>
              <w:rPr>
                <w:rFonts w:ascii="Times New Roman" w:cs="Times New Roman" w:eastAsia="Times New Roman" w:hAnsi="Times New Roman"/>
                <w:sz w:val="15"/>
                <w:szCs w:val="15"/>
                <w:color w:val="0000EE"/>
              </w:rPr>
            </w:pPr>
            <w:hyperlink r:id="rId373">
              <w:r>
                <w:rPr>
                  <w:rFonts w:ascii="Times New Roman" w:cs="Times New Roman" w:eastAsia="Times New Roman" w:hAnsi="Times New Roman"/>
                  <w:sz w:val="15"/>
                  <w:szCs w:val="15"/>
                  <w:color w:val="0000EE"/>
                </w:rPr>
                <w:t>Memorandum and Articles of Association</w:t>
              </w:r>
            </w:hyperlink>
          </w:p>
        </w:tc>
        <w:tc>
          <w:tcPr>
            <w:tcW w:w="576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3.2*</w:t>
            </w:r>
          </w:p>
        </w:tc>
        <w:tc>
          <w:tcPr>
            <w:tcW w:w="4600" w:type="dxa"/>
            <w:vAlign w:val="bottom"/>
            <w:tcBorders>
              <w:bottom w:val="single" w:sz="8" w:color="0000EE"/>
            </w:tcBorders>
            <w:gridSpan w:val="19"/>
          </w:tcPr>
          <w:p>
            <w:pPr>
              <w:spacing w:after="0"/>
              <w:rPr>
                <w:rFonts w:ascii="Times New Roman" w:cs="Times New Roman" w:eastAsia="Times New Roman" w:hAnsi="Times New Roman"/>
                <w:sz w:val="15"/>
                <w:szCs w:val="15"/>
                <w:color w:val="0000EE"/>
              </w:rPr>
            </w:pPr>
            <w:hyperlink r:id="rId374">
              <w:r>
                <w:rPr>
                  <w:rFonts w:ascii="Times New Roman" w:cs="Times New Roman" w:eastAsia="Times New Roman" w:hAnsi="Times New Roman"/>
                  <w:sz w:val="15"/>
                  <w:szCs w:val="15"/>
                  <w:color w:val="0000EE"/>
                </w:rPr>
                <w:t>Form of Amended and Restated Memorandum and Articles of Association</w:t>
              </w:r>
            </w:hyperlink>
          </w:p>
        </w:tc>
        <w:tc>
          <w:tcPr>
            <w:tcW w:w="37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4.1*</w:t>
            </w:r>
          </w:p>
        </w:tc>
        <w:tc>
          <w:tcPr>
            <w:tcW w:w="8360" w:type="dxa"/>
            <w:vAlign w:val="bottom"/>
            <w:gridSpan w:val="31"/>
          </w:tcPr>
          <w:p>
            <w:pPr>
              <w:spacing w:after="0"/>
              <w:rPr>
                <w:rFonts w:ascii="Times New Roman" w:cs="Times New Roman" w:eastAsia="Times New Roman" w:hAnsi="Times New Roman"/>
                <w:sz w:val="15"/>
                <w:szCs w:val="15"/>
                <w:color w:val="0000EE"/>
              </w:rPr>
            </w:pPr>
            <w:hyperlink r:id="rId375">
              <w:r>
                <w:rPr>
                  <w:rFonts w:ascii="Times New Roman" w:cs="Times New Roman" w:eastAsia="Times New Roman" w:hAnsi="Times New Roman"/>
                  <w:sz w:val="15"/>
                  <w:szCs w:val="15"/>
                  <w:color w:val="0000EE"/>
                </w:rPr>
                <w:t>Specimen Unit Certificate</w:t>
              </w:r>
            </w:hyperlink>
          </w:p>
        </w:tc>
        <w:tc>
          <w:tcPr>
            <w:tcW w:w="0" w:type="dxa"/>
            <w:vAlign w:val="bottom"/>
          </w:tcPr>
          <w:p>
            <w:pPr>
              <w:spacing w:after="0"/>
              <w:rPr>
                <w:sz w:val="1"/>
                <w:szCs w:val="1"/>
                <w:color w:val="auto"/>
              </w:rPr>
            </w:pPr>
          </w:p>
        </w:tc>
      </w:tr>
      <w:tr>
        <w:trPr>
          <w:trHeight w:val="20"/>
        </w:trPr>
        <w:tc>
          <w:tcPr>
            <w:tcW w:w="1300" w:type="dxa"/>
            <w:vAlign w:val="bottom"/>
            <w:gridSpan w:val="2"/>
            <w:vMerge w:val="restart"/>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4.2*</w:t>
            </w: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300" w:type="dxa"/>
            <w:vAlign w:val="bottom"/>
            <w:gridSpan w:val="2"/>
            <w:vMerge w:val="continue"/>
          </w:tcPr>
          <w:p>
            <w:pPr>
              <w:spacing w:after="0"/>
              <w:rPr>
                <w:sz w:val="21"/>
                <w:szCs w:val="21"/>
                <w:color w:val="auto"/>
              </w:rPr>
            </w:pPr>
          </w:p>
        </w:tc>
        <w:tc>
          <w:tcPr>
            <w:tcW w:w="2800" w:type="dxa"/>
            <w:vAlign w:val="bottom"/>
            <w:tcBorders>
              <w:bottom w:val="single" w:sz="8" w:color="0000EE"/>
            </w:tcBorders>
            <w:gridSpan w:val="10"/>
          </w:tcPr>
          <w:p>
            <w:pPr>
              <w:spacing w:after="0"/>
              <w:rPr>
                <w:rFonts w:ascii="Times New Roman" w:cs="Times New Roman" w:eastAsia="Times New Roman" w:hAnsi="Times New Roman"/>
                <w:sz w:val="15"/>
                <w:szCs w:val="15"/>
                <w:color w:val="0000EE"/>
              </w:rPr>
            </w:pPr>
            <w:hyperlink r:id="rId376">
              <w:r>
                <w:rPr>
                  <w:rFonts w:ascii="Times New Roman" w:cs="Times New Roman" w:eastAsia="Times New Roman" w:hAnsi="Times New Roman"/>
                  <w:sz w:val="15"/>
                  <w:szCs w:val="15"/>
                  <w:color w:val="0000EE"/>
                </w:rPr>
                <w:t>Specimen Class A Ordinary Share Certificate</w:t>
              </w:r>
            </w:hyperlink>
          </w:p>
        </w:tc>
        <w:tc>
          <w:tcPr>
            <w:tcW w:w="556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4.3*</w:t>
            </w:r>
          </w:p>
        </w:tc>
        <w:tc>
          <w:tcPr>
            <w:tcW w:w="8360" w:type="dxa"/>
            <w:vAlign w:val="bottom"/>
            <w:gridSpan w:val="31"/>
          </w:tcPr>
          <w:p>
            <w:pPr>
              <w:spacing w:after="0"/>
              <w:rPr>
                <w:rFonts w:ascii="Times New Roman" w:cs="Times New Roman" w:eastAsia="Times New Roman" w:hAnsi="Times New Roman"/>
                <w:sz w:val="15"/>
                <w:szCs w:val="15"/>
                <w:color w:val="0000EE"/>
              </w:rPr>
            </w:pPr>
            <w:hyperlink r:id="rId377">
              <w:r>
                <w:rPr>
                  <w:rFonts w:ascii="Times New Roman" w:cs="Times New Roman" w:eastAsia="Times New Roman" w:hAnsi="Times New Roman"/>
                  <w:sz w:val="15"/>
                  <w:szCs w:val="15"/>
                  <w:color w:val="0000EE"/>
                </w:rPr>
                <w:t>Specimen Right Certificate</w:t>
              </w:r>
            </w:hyperlink>
          </w:p>
        </w:tc>
        <w:tc>
          <w:tcPr>
            <w:tcW w:w="0" w:type="dxa"/>
            <w:vAlign w:val="bottom"/>
          </w:tcPr>
          <w:p>
            <w:pPr>
              <w:spacing w:after="0"/>
              <w:rPr>
                <w:sz w:val="1"/>
                <w:szCs w:val="1"/>
                <w:color w:val="auto"/>
              </w:rPr>
            </w:pPr>
          </w:p>
        </w:tc>
      </w:tr>
      <w:tr>
        <w:trPr>
          <w:trHeight w:val="20"/>
        </w:trPr>
        <w:tc>
          <w:tcPr>
            <w:tcW w:w="1300" w:type="dxa"/>
            <w:vAlign w:val="bottom"/>
            <w:gridSpan w:val="2"/>
            <w:vMerge w:val="restart"/>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4.4*</w:t>
            </w: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300" w:type="dxa"/>
            <w:vAlign w:val="bottom"/>
            <w:gridSpan w:val="2"/>
            <w:vMerge w:val="continue"/>
          </w:tcPr>
          <w:p>
            <w:pPr>
              <w:spacing w:after="0"/>
              <w:rPr>
                <w:sz w:val="21"/>
                <w:szCs w:val="21"/>
                <w:color w:val="auto"/>
              </w:rPr>
            </w:pPr>
          </w:p>
        </w:tc>
        <w:tc>
          <w:tcPr>
            <w:tcW w:w="6200" w:type="dxa"/>
            <w:vAlign w:val="bottom"/>
            <w:tcBorders>
              <w:bottom w:val="single" w:sz="8" w:color="0000EE"/>
            </w:tcBorders>
            <w:gridSpan w:val="26"/>
          </w:tcPr>
          <w:p>
            <w:pPr>
              <w:spacing w:after="0"/>
              <w:rPr>
                <w:rFonts w:ascii="Times New Roman" w:cs="Times New Roman" w:eastAsia="Times New Roman" w:hAnsi="Times New Roman"/>
                <w:sz w:val="15"/>
                <w:szCs w:val="15"/>
                <w:color w:val="0000EE"/>
              </w:rPr>
            </w:pPr>
            <w:hyperlink r:id="rId378">
              <w:r>
                <w:rPr>
                  <w:rFonts w:ascii="Times New Roman" w:cs="Times New Roman" w:eastAsia="Times New Roman" w:hAnsi="Times New Roman"/>
                  <w:sz w:val="15"/>
                  <w:szCs w:val="15"/>
                  <w:color w:val="0000EE"/>
                </w:rPr>
                <w:t>Form of Rights Agreement between Continental Stock Transfer &amp; Trust Company and the Company</w:t>
              </w:r>
            </w:hyperlink>
          </w:p>
        </w:tc>
        <w:tc>
          <w:tcPr>
            <w:tcW w:w="216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5.1</w:t>
            </w:r>
          </w:p>
        </w:tc>
        <w:tc>
          <w:tcPr>
            <w:tcW w:w="2080" w:type="dxa"/>
            <w:vAlign w:val="bottom"/>
            <w:tcBorders>
              <w:bottom w:val="single" w:sz="8" w:color="0000EE"/>
            </w:tcBorders>
            <w:gridSpan w:val="5"/>
          </w:tcPr>
          <w:p>
            <w:pPr>
              <w:spacing w:after="0"/>
              <w:rPr>
                <w:rFonts w:ascii="Times New Roman" w:cs="Times New Roman" w:eastAsia="Times New Roman" w:hAnsi="Times New Roman"/>
                <w:sz w:val="15"/>
                <w:szCs w:val="15"/>
                <w:color w:val="0000EE"/>
              </w:rPr>
            </w:pPr>
            <w:hyperlink w:anchor="page1">
              <w:r>
                <w:rPr>
                  <w:rFonts w:ascii="Times New Roman" w:cs="Times New Roman" w:eastAsia="Times New Roman" w:hAnsi="Times New Roman"/>
                  <w:sz w:val="15"/>
                  <w:szCs w:val="15"/>
                  <w:color w:val="0000EE"/>
                </w:rPr>
                <w:t>Opinion of DLA Piper LLP (US)</w:t>
              </w:r>
            </w:hyperlink>
          </w:p>
        </w:tc>
        <w:tc>
          <w:tcPr>
            <w:tcW w:w="628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5.2</w:t>
            </w:r>
          </w:p>
        </w:tc>
        <w:tc>
          <w:tcPr>
            <w:tcW w:w="8360" w:type="dxa"/>
            <w:vAlign w:val="bottom"/>
            <w:gridSpan w:val="31"/>
          </w:tcPr>
          <w:p>
            <w:pPr>
              <w:spacing w:after="0"/>
              <w:rPr>
                <w:rFonts w:ascii="Times New Roman" w:cs="Times New Roman" w:eastAsia="Times New Roman" w:hAnsi="Times New Roman"/>
                <w:sz w:val="15"/>
                <w:szCs w:val="15"/>
                <w:color w:val="0000EE"/>
              </w:rPr>
            </w:pPr>
            <w:hyperlink w:anchor="page1">
              <w:r>
                <w:rPr>
                  <w:rFonts w:ascii="Times New Roman" w:cs="Times New Roman" w:eastAsia="Times New Roman" w:hAnsi="Times New Roman"/>
                  <w:sz w:val="15"/>
                  <w:szCs w:val="15"/>
                  <w:color w:val="0000EE"/>
                </w:rPr>
                <w:t>Opinion of Harney Westwood &amp; Riegels (Cayman) LLP</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w:anchor="page1">
              <w:r>
                <w:rPr>
                  <w:rFonts w:ascii="Times New Roman" w:cs="Times New Roman" w:eastAsia="Times New Roman" w:hAnsi="Times New Roman"/>
                  <w:sz w:val="15"/>
                  <w:szCs w:val="15"/>
                  <w:color w:val="0000EE"/>
                </w:rPr>
                <w:t>Form of Insider Letter Agreement among the Company, the sponsor, Lynrock and the Company’s executive officers and directors</w:t>
              </w:r>
            </w:hyperlink>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10.2*</w:t>
            </w:r>
          </w:p>
        </w:tc>
        <w:tc>
          <w:tcPr>
            <w:tcW w:w="660" w:type="dxa"/>
            <w:vAlign w:val="bottom"/>
          </w:tcPr>
          <w:p>
            <w:pPr>
              <w:spacing w:after="0"/>
              <w:rPr>
                <w:sz w:val="21"/>
                <w:szCs w:val="21"/>
                <w:color w:val="auto"/>
              </w:rPr>
            </w:pPr>
          </w:p>
        </w:tc>
        <w:tc>
          <w:tcPr>
            <w:tcW w:w="6020" w:type="dxa"/>
            <w:vAlign w:val="bottom"/>
            <w:tcBorders>
              <w:top w:val="single" w:sz="8" w:color="0000EE"/>
              <w:bottom w:val="single" w:sz="8" w:color="0000EE"/>
            </w:tcBorders>
            <w:gridSpan w:val="25"/>
          </w:tcPr>
          <w:p>
            <w:pPr>
              <w:spacing w:after="0"/>
              <w:rPr>
                <w:rFonts w:ascii="Times New Roman" w:cs="Times New Roman" w:eastAsia="Times New Roman" w:hAnsi="Times New Roman"/>
                <w:sz w:val="15"/>
                <w:szCs w:val="15"/>
                <w:color w:val="0000EE"/>
              </w:rPr>
            </w:pPr>
            <w:hyperlink r:id="rId379">
              <w:r>
                <w:rPr>
                  <w:rFonts w:ascii="Times New Roman" w:cs="Times New Roman" w:eastAsia="Times New Roman" w:hAnsi="Times New Roman"/>
                  <w:sz w:val="15"/>
                  <w:szCs w:val="15"/>
                  <w:color w:val="0000EE"/>
                </w:rPr>
                <w:t>Founder Shares Subscription Agreement, dated July 18, 2025, between the Company and sponsor</w:t>
              </w:r>
            </w:hyperlink>
          </w:p>
        </w:tc>
        <w:tc>
          <w:tcPr>
            <w:tcW w:w="1980" w:type="dxa"/>
            <w:vAlign w:val="bottom"/>
            <w:tcBorders>
              <w:top w:val="single" w:sz="8" w:color="0000EE"/>
            </w:tcBorders>
            <w:gridSpan w:val="4"/>
          </w:tcPr>
          <w:p>
            <w:pPr>
              <w:spacing w:after="0"/>
              <w:rPr>
                <w:sz w:val="21"/>
                <w:szCs w:val="21"/>
                <w:color w:val="auto"/>
              </w:rPr>
            </w:pPr>
          </w:p>
        </w:tc>
        <w:tc>
          <w:tcPr>
            <w:tcW w:w="3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10.3*</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80">
              <w:r>
                <w:rPr>
                  <w:rFonts w:ascii="Times New Roman" w:cs="Times New Roman" w:eastAsia="Times New Roman" w:hAnsi="Times New Roman"/>
                  <w:sz w:val="15"/>
                  <w:szCs w:val="15"/>
                  <w:color w:val="0000EE"/>
                </w:rPr>
                <w:t>Form of Subscription Agreement between the Company and non-managing investors</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81">
              <w:r>
                <w:rPr>
                  <w:rFonts w:ascii="Times New Roman" w:cs="Times New Roman" w:eastAsia="Times New Roman" w:hAnsi="Times New Roman"/>
                  <w:sz w:val="15"/>
                  <w:szCs w:val="15"/>
                  <w:color w:val="0000EE"/>
                </w:rPr>
                <w:t>Form of Unit Purchase Agreement between each of the sponsor, Lynrock and certain of the Company’s directors</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10.5*</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82">
              <w:r>
                <w:rPr>
                  <w:rFonts w:ascii="Times New Roman" w:cs="Times New Roman" w:eastAsia="Times New Roman" w:hAnsi="Times New Roman"/>
                  <w:sz w:val="15"/>
                  <w:szCs w:val="15"/>
                  <w:color w:val="0000EE"/>
                </w:rPr>
                <w:t>Form of Registration Rights Agreement by and among the Company, the sponsor, Lynrock, certain of the Company’s directors and</w:t>
              </w:r>
            </w:hyperlink>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80" w:type="dxa"/>
            <w:vAlign w:val="bottom"/>
            <w:tcBorders>
              <w:top w:val="single" w:sz="8" w:color="0000EE"/>
              <w:bottom w:val="single" w:sz="8" w:color="0000EE"/>
            </w:tcBorders>
            <w:gridSpan w:val="11"/>
          </w:tcPr>
          <w:p>
            <w:pPr>
              <w:spacing w:after="0" w:line="158" w:lineRule="exact"/>
              <w:rPr>
                <w:rFonts w:ascii="Times New Roman" w:cs="Times New Roman" w:eastAsia="Times New Roman" w:hAnsi="Times New Roman"/>
                <w:sz w:val="15"/>
                <w:szCs w:val="15"/>
                <w:color w:val="0000EE"/>
              </w:rPr>
            </w:pPr>
            <w:hyperlink r:id="rId382">
              <w:r>
                <w:rPr>
                  <w:rFonts w:ascii="Times New Roman" w:cs="Times New Roman" w:eastAsia="Times New Roman" w:hAnsi="Times New Roman"/>
                  <w:sz w:val="15"/>
                  <w:szCs w:val="15"/>
                  <w:color w:val="0000EE"/>
                </w:rPr>
                <w:t>executive officers and non-managing investors</w:t>
              </w:r>
            </w:hyperlink>
          </w:p>
        </w:tc>
        <w:tc>
          <w:tcPr>
            <w:tcW w:w="5200" w:type="dxa"/>
            <w:vAlign w:val="bottom"/>
            <w:tcBorders>
              <w:top w:val="single" w:sz="8" w:color="0000EE"/>
            </w:tcBorders>
            <w:gridSpan w:val="19"/>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10.6*</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83">
              <w:r>
                <w:rPr>
                  <w:rFonts w:ascii="Times New Roman" w:cs="Times New Roman" w:eastAsia="Times New Roman" w:hAnsi="Times New Roman"/>
                  <w:sz w:val="15"/>
                  <w:szCs w:val="15"/>
                  <w:color w:val="0000EE"/>
                </w:rPr>
                <w:t>Form of Indemnification Agreement</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10.7*</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84">
              <w:r>
                <w:rPr>
                  <w:rFonts w:ascii="Times New Roman" w:cs="Times New Roman" w:eastAsia="Times New Roman" w:hAnsi="Times New Roman"/>
                  <w:sz w:val="15"/>
                  <w:szCs w:val="15"/>
                  <w:color w:val="0000EE"/>
                </w:rPr>
                <w:t>Form of Administrative Services Agreement</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10.8*</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85">
              <w:r>
                <w:rPr>
                  <w:rFonts w:ascii="Times New Roman" w:cs="Times New Roman" w:eastAsia="Times New Roman" w:hAnsi="Times New Roman"/>
                  <w:sz w:val="15"/>
                  <w:szCs w:val="15"/>
                  <w:color w:val="0000EE"/>
                </w:rPr>
                <w:t>Form of Investment Management Trust Agreement between Continental Stock Transfer &amp; Trust Company and the Company</w:t>
              </w:r>
            </w:hyperlink>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10.9*</w:t>
            </w:r>
          </w:p>
        </w:tc>
        <w:tc>
          <w:tcPr>
            <w:tcW w:w="660" w:type="dxa"/>
            <w:vAlign w:val="bottom"/>
          </w:tcPr>
          <w:p>
            <w:pPr>
              <w:spacing w:after="0"/>
              <w:rPr>
                <w:sz w:val="21"/>
                <w:szCs w:val="21"/>
                <w:color w:val="auto"/>
              </w:rPr>
            </w:pPr>
          </w:p>
        </w:tc>
        <w:tc>
          <w:tcPr>
            <w:tcW w:w="418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5"/>
                <w:szCs w:val="15"/>
                <w:color w:val="0000EE"/>
              </w:rPr>
            </w:pPr>
            <w:hyperlink r:id="rId386">
              <w:r>
                <w:rPr>
                  <w:rFonts w:ascii="Times New Roman" w:cs="Times New Roman" w:eastAsia="Times New Roman" w:hAnsi="Times New Roman"/>
                  <w:sz w:val="15"/>
                  <w:szCs w:val="15"/>
                  <w:color w:val="0000EE"/>
                </w:rPr>
                <w:t>Promissory Note issued in favor of the sponsor, dated July 18, 2025</w:t>
              </w:r>
            </w:hyperlink>
          </w:p>
        </w:tc>
        <w:tc>
          <w:tcPr>
            <w:tcW w:w="3500" w:type="dxa"/>
            <w:vAlign w:val="bottom"/>
            <w:tcBorders>
              <w:top w:val="single" w:sz="8" w:color="0000EE"/>
            </w:tcBorders>
            <w:gridSpan w:val="10"/>
          </w:tcPr>
          <w:p>
            <w:pPr>
              <w:spacing w:after="0"/>
              <w:rPr>
                <w:sz w:val="21"/>
                <w:szCs w:val="21"/>
                <w:color w:val="auto"/>
              </w:rPr>
            </w:pPr>
          </w:p>
        </w:tc>
        <w:tc>
          <w:tcPr>
            <w:tcW w:w="6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14*</w:t>
            </w:r>
          </w:p>
        </w:tc>
        <w:tc>
          <w:tcPr>
            <w:tcW w:w="660" w:type="dxa"/>
            <w:vAlign w:val="bottom"/>
          </w:tcPr>
          <w:p>
            <w:pPr>
              <w:spacing w:after="0"/>
              <w:rPr>
                <w:sz w:val="21"/>
                <w:szCs w:val="21"/>
                <w:color w:val="auto"/>
              </w:rPr>
            </w:pPr>
          </w:p>
        </w:tc>
        <w:tc>
          <w:tcPr>
            <w:tcW w:w="1660" w:type="dxa"/>
            <w:vAlign w:val="bottom"/>
            <w:tcBorders>
              <w:bottom w:val="single" w:sz="8" w:color="0000EE"/>
            </w:tcBorders>
            <w:gridSpan w:val="4"/>
          </w:tcPr>
          <w:p>
            <w:pPr>
              <w:spacing w:after="0"/>
              <w:rPr>
                <w:rFonts w:ascii="Times New Roman" w:cs="Times New Roman" w:eastAsia="Times New Roman" w:hAnsi="Times New Roman"/>
                <w:sz w:val="15"/>
                <w:szCs w:val="15"/>
                <w:color w:val="0000EE"/>
              </w:rPr>
            </w:pPr>
            <w:hyperlink r:id="rId387">
              <w:r>
                <w:rPr>
                  <w:rFonts w:ascii="Times New Roman" w:cs="Times New Roman" w:eastAsia="Times New Roman" w:hAnsi="Times New Roman"/>
                  <w:sz w:val="15"/>
                  <w:szCs w:val="15"/>
                  <w:color w:val="0000EE"/>
                </w:rPr>
                <w:t>Code of Business Conduct</w:t>
              </w:r>
            </w:hyperlink>
          </w:p>
        </w:tc>
        <w:tc>
          <w:tcPr>
            <w:tcW w:w="670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23.1</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w:anchor="page1">
              <w:r>
                <w:rPr>
                  <w:rFonts w:ascii="Times New Roman" w:cs="Times New Roman" w:eastAsia="Times New Roman" w:hAnsi="Times New Roman"/>
                  <w:sz w:val="15"/>
                  <w:szCs w:val="15"/>
                  <w:color w:val="0000EE"/>
                </w:rPr>
                <w:t>Consent of BPM LLP</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23.2</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w:anchor="page1">
              <w:r>
                <w:rPr>
                  <w:rFonts w:ascii="Times New Roman" w:cs="Times New Roman" w:eastAsia="Times New Roman" w:hAnsi="Times New Roman"/>
                  <w:sz w:val="15"/>
                  <w:szCs w:val="15"/>
                  <w:color w:val="0000EE"/>
                </w:rPr>
                <w:t>Consent of DLA Piper LLP (US) (included in Exhibit 5.1)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23.3</w:t>
            </w:r>
          </w:p>
        </w:tc>
        <w:tc>
          <w:tcPr>
            <w:tcW w:w="660" w:type="dxa"/>
            <w:vAlign w:val="bottom"/>
          </w:tcPr>
          <w:p>
            <w:pPr>
              <w:spacing w:after="0"/>
              <w:rPr>
                <w:sz w:val="21"/>
                <w:szCs w:val="21"/>
                <w:color w:val="auto"/>
              </w:rPr>
            </w:pPr>
          </w:p>
        </w:tc>
        <w:tc>
          <w:tcPr>
            <w:tcW w:w="5040" w:type="dxa"/>
            <w:vAlign w:val="bottom"/>
            <w:tcBorders>
              <w:bottom w:val="single" w:sz="8" w:color="0000EE"/>
            </w:tcBorders>
            <w:gridSpan w:val="23"/>
          </w:tcPr>
          <w:p>
            <w:pPr>
              <w:spacing w:after="0"/>
              <w:rPr>
                <w:rFonts w:ascii="Times New Roman" w:cs="Times New Roman" w:eastAsia="Times New Roman" w:hAnsi="Times New Roman"/>
                <w:sz w:val="15"/>
                <w:szCs w:val="15"/>
                <w:color w:val="0000EE"/>
              </w:rPr>
            </w:pPr>
            <w:hyperlink w:anchor="page1">
              <w:r>
                <w:rPr>
                  <w:rFonts w:ascii="Times New Roman" w:cs="Times New Roman" w:eastAsia="Times New Roman" w:hAnsi="Times New Roman"/>
                  <w:sz w:val="15"/>
                  <w:szCs w:val="15"/>
                  <w:color w:val="0000EE"/>
                </w:rPr>
                <w:t>Consent of Harney Westwood &amp; Riegels (Cayman) LLP (included in Exhibit 5.2)</w:t>
              </w:r>
            </w:hyperlink>
          </w:p>
        </w:tc>
        <w:tc>
          <w:tcPr>
            <w:tcW w:w="33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24*</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88">
              <w:r>
                <w:rPr>
                  <w:rFonts w:ascii="Times New Roman" w:cs="Times New Roman" w:eastAsia="Times New Roman" w:hAnsi="Times New Roman"/>
                  <w:sz w:val="15"/>
                  <w:szCs w:val="15"/>
                  <w:color w:val="0000EE"/>
                </w:rPr>
                <w:t>Power of Attorney (included on signature page to this Registration Statement)</w:t>
              </w:r>
            </w:hyperlink>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660" w:type="dxa"/>
            <w:vAlign w:val="bottom"/>
          </w:tcPr>
          <w:p>
            <w:pPr>
              <w:spacing w:after="0"/>
              <w:rPr>
                <w:sz w:val="21"/>
                <w:szCs w:val="21"/>
                <w:color w:val="auto"/>
              </w:rPr>
            </w:pPr>
          </w:p>
        </w:tc>
        <w:tc>
          <w:tcPr>
            <w:tcW w:w="16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5"/>
                <w:szCs w:val="15"/>
                <w:color w:val="0000EE"/>
              </w:rPr>
            </w:pPr>
            <w:hyperlink r:id="rId389">
              <w:r>
                <w:rPr>
                  <w:rFonts w:ascii="Times New Roman" w:cs="Times New Roman" w:eastAsia="Times New Roman" w:hAnsi="Times New Roman"/>
                  <w:sz w:val="15"/>
                  <w:szCs w:val="15"/>
                  <w:color w:val="0000EE"/>
                </w:rPr>
                <w:t>Audit Committee Charter</w:t>
              </w:r>
            </w:hyperlink>
          </w:p>
        </w:tc>
        <w:tc>
          <w:tcPr>
            <w:tcW w:w="3200" w:type="dxa"/>
            <w:vAlign w:val="bottom"/>
            <w:tcBorders>
              <w:top w:val="single" w:sz="8" w:color="0000EE"/>
            </w:tcBorders>
            <w:gridSpan w:val="19"/>
          </w:tcPr>
          <w:p>
            <w:pPr>
              <w:spacing w:after="0"/>
              <w:rPr>
                <w:sz w:val="21"/>
                <w:szCs w:val="21"/>
                <w:color w:val="auto"/>
              </w:rPr>
            </w:pPr>
          </w:p>
        </w:tc>
        <w:tc>
          <w:tcPr>
            <w:tcW w:w="356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99.2*</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90">
              <w:r>
                <w:rPr>
                  <w:rFonts w:ascii="Times New Roman" w:cs="Times New Roman" w:eastAsia="Times New Roman" w:hAnsi="Times New Roman"/>
                  <w:sz w:val="15"/>
                  <w:szCs w:val="15"/>
                  <w:color w:val="0000EE"/>
                </w:rPr>
                <w:t>Compensation Committee Charter</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99.3*</w:t>
            </w:r>
          </w:p>
        </w:tc>
        <w:tc>
          <w:tcPr>
            <w:tcW w:w="660" w:type="dxa"/>
            <w:vAlign w:val="bottom"/>
          </w:tcPr>
          <w:p>
            <w:pPr>
              <w:spacing w:after="0"/>
              <w:rPr>
                <w:sz w:val="21"/>
                <w:szCs w:val="21"/>
                <w:color w:val="auto"/>
              </w:rPr>
            </w:pPr>
          </w:p>
        </w:tc>
        <w:tc>
          <w:tcPr>
            <w:tcW w:w="3660" w:type="dxa"/>
            <w:vAlign w:val="bottom"/>
            <w:tcBorders>
              <w:bottom w:val="single" w:sz="8" w:color="0000EE"/>
            </w:tcBorders>
            <w:gridSpan w:val="16"/>
          </w:tcPr>
          <w:p>
            <w:pPr>
              <w:spacing w:after="0"/>
              <w:rPr>
                <w:rFonts w:ascii="Times New Roman" w:cs="Times New Roman" w:eastAsia="Times New Roman" w:hAnsi="Times New Roman"/>
                <w:sz w:val="15"/>
                <w:szCs w:val="15"/>
                <w:color w:val="0000EE"/>
              </w:rPr>
            </w:pPr>
            <w:hyperlink r:id="rId391">
              <w:r>
                <w:rPr>
                  <w:rFonts w:ascii="Times New Roman" w:cs="Times New Roman" w:eastAsia="Times New Roman" w:hAnsi="Times New Roman"/>
                  <w:sz w:val="15"/>
                  <w:szCs w:val="15"/>
                  <w:color w:val="0000EE"/>
                </w:rPr>
                <w:t>Nominating and Corporate Governance Committee Charter</w:t>
              </w:r>
            </w:hyperlink>
          </w:p>
        </w:tc>
        <w:tc>
          <w:tcPr>
            <w:tcW w:w="470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99.4*</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92">
              <w:r>
                <w:rPr>
                  <w:rFonts w:ascii="Times New Roman" w:cs="Times New Roman" w:eastAsia="Times New Roman" w:hAnsi="Times New Roman"/>
                  <w:sz w:val="15"/>
                  <w:szCs w:val="15"/>
                  <w:color w:val="0000EE"/>
                </w:rPr>
                <w:t>Consent of Admiral (Ret.) David Ben-Bashat to be named as director nominee</w:t>
              </w:r>
            </w:hyperlink>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99.5*</w:t>
            </w:r>
          </w:p>
        </w:tc>
        <w:tc>
          <w:tcPr>
            <w:tcW w:w="66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5"/>
                <w:szCs w:val="15"/>
                <w:color w:val="0000EE"/>
              </w:rPr>
            </w:pPr>
            <w:hyperlink r:id="rId393">
              <w:r>
                <w:rPr>
                  <w:rFonts w:ascii="Times New Roman" w:cs="Times New Roman" w:eastAsia="Times New Roman" w:hAnsi="Times New Roman"/>
                  <w:sz w:val="15"/>
                  <w:szCs w:val="15"/>
                  <w:color w:val="0000EE"/>
                </w:rPr>
                <w:t>Consent of Raanan I. Horowitz to be named as director nominee</w:t>
              </w:r>
            </w:hyperlink>
          </w:p>
        </w:tc>
        <w:tc>
          <w:tcPr>
            <w:tcW w:w="840" w:type="dxa"/>
            <w:vAlign w:val="bottom"/>
            <w:tcBorders>
              <w:top w:val="single" w:sz="8" w:color="0000EE"/>
            </w:tcBorders>
            <w:gridSpan w:val="5"/>
          </w:tcPr>
          <w:p>
            <w:pPr>
              <w:spacing w:after="0"/>
              <w:rPr>
                <w:sz w:val="21"/>
                <w:szCs w:val="21"/>
                <w:color w:val="auto"/>
              </w:rPr>
            </w:pPr>
          </w:p>
        </w:tc>
        <w:tc>
          <w:tcPr>
            <w:tcW w:w="356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99.6*</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94">
              <w:r>
                <w:rPr>
                  <w:rFonts w:ascii="Times New Roman" w:cs="Times New Roman" w:eastAsia="Times New Roman" w:hAnsi="Times New Roman"/>
                  <w:sz w:val="15"/>
                  <w:szCs w:val="15"/>
                  <w:color w:val="0000EE"/>
                </w:rPr>
                <w:t>Consent of Ambassador Adrian Zuckerman to be named as director nominee</w:t>
              </w:r>
            </w:hyperlink>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99.7*</w:t>
            </w:r>
          </w:p>
        </w:tc>
        <w:tc>
          <w:tcPr>
            <w:tcW w:w="660" w:type="dxa"/>
            <w:vAlign w:val="bottom"/>
          </w:tcPr>
          <w:p>
            <w:pPr>
              <w:spacing w:after="0"/>
              <w:rPr>
                <w:sz w:val="21"/>
                <w:szCs w:val="21"/>
                <w:color w:val="auto"/>
              </w:rPr>
            </w:pPr>
          </w:p>
        </w:tc>
        <w:tc>
          <w:tcPr>
            <w:tcW w:w="364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5"/>
                <w:szCs w:val="15"/>
                <w:color w:val="0000EE"/>
              </w:rPr>
            </w:pPr>
            <w:hyperlink r:id="rId395">
              <w:r>
                <w:rPr>
                  <w:rFonts w:ascii="Times New Roman" w:cs="Times New Roman" w:eastAsia="Times New Roman" w:hAnsi="Times New Roman"/>
                  <w:sz w:val="15"/>
                  <w:szCs w:val="15"/>
                  <w:color w:val="0000EE"/>
                </w:rPr>
                <w:t>Consent of Luis Machuca to be named as director nominee</w:t>
              </w:r>
            </w:hyperlink>
          </w:p>
        </w:tc>
        <w:tc>
          <w:tcPr>
            <w:tcW w:w="1080" w:type="dxa"/>
            <w:vAlign w:val="bottom"/>
            <w:tcBorders>
              <w:top w:val="single" w:sz="8" w:color="0000EE"/>
            </w:tcBorders>
            <w:gridSpan w:val="5"/>
          </w:tcPr>
          <w:p>
            <w:pPr>
              <w:spacing w:after="0"/>
              <w:rPr>
                <w:sz w:val="21"/>
                <w:szCs w:val="21"/>
                <w:color w:val="auto"/>
              </w:rPr>
            </w:pPr>
          </w:p>
        </w:tc>
        <w:tc>
          <w:tcPr>
            <w:tcW w:w="364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99.8*</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96">
              <w:r>
                <w:rPr>
                  <w:rFonts w:ascii="Times New Roman" w:cs="Times New Roman" w:eastAsia="Times New Roman" w:hAnsi="Times New Roman"/>
                  <w:sz w:val="15"/>
                  <w:szCs w:val="15"/>
                  <w:color w:val="0000EE"/>
                </w:rPr>
                <w:t>Consent of Rear Admiral (Ret.) Omri Dagul to be named as director nominee</w:t>
              </w:r>
            </w:hyperlink>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99.9*</w:t>
            </w:r>
          </w:p>
        </w:tc>
        <w:tc>
          <w:tcPr>
            <w:tcW w:w="660" w:type="dxa"/>
            <w:vAlign w:val="bottom"/>
          </w:tcPr>
          <w:p>
            <w:pPr>
              <w:spacing w:after="0"/>
              <w:rPr>
                <w:sz w:val="21"/>
                <w:szCs w:val="21"/>
                <w:color w:val="auto"/>
              </w:rPr>
            </w:pPr>
          </w:p>
        </w:tc>
        <w:tc>
          <w:tcPr>
            <w:tcW w:w="4760" w:type="dxa"/>
            <w:vAlign w:val="bottom"/>
            <w:tcBorders>
              <w:top w:val="single" w:sz="8" w:color="0000EE"/>
            </w:tcBorders>
            <w:gridSpan w:val="21"/>
          </w:tcPr>
          <w:p>
            <w:pPr>
              <w:spacing w:after="0"/>
              <w:rPr>
                <w:rFonts w:ascii="Times New Roman" w:cs="Times New Roman" w:eastAsia="Times New Roman" w:hAnsi="Times New Roman"/>
                <w:sz w:val="15"/>
                <w:szCs w:val="15"/>
                <w:color w:val="0000EE"/>
              </w:rPr>
            </w:pPr>
            <w:hyperlink r:id="rId397">
              <w:r>
                <w:rPr>
                  <w:rFonts w:ascii="Times New Roman" w:cs="Times New Roman" w:eastAsia="Times New Roman" w:hAnsi="Times New Roman"/>
                  <w:sz w:val="15"/>
                  <w:szCs w:val="15"/>
                  <w:color w:val="0000EE"/>
                </w:rPr>
                <w:t>Consent of Bryan Timm to be named as director nominee</w:t>
              </w:r>
            </w:hyperlink>
          </w:p>
        </w:tc>
        <w:tc>
          <w:tcPr>
            <w:tcW w:w="36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520" w:type="dxa"/>
            <w:vAlign w:val="bottom"/>
            <w:gridSpan w:val="1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99.10*</w:t>
            </w:r>
          </w:p>
        </w:tc>
        <w:tc>
          <w:tcPr>
            <w:tcW w:w="660" w:type="dxa"/>
            <w:vAlign w:val="bottom"/>
          </w:tcPr>
          <w:p>
            <w:pPr>
              <w:spacing w:after="0"/>
              <w:rPr>
                <w:sz w:val="21"/>
                <w:szCs w:val="21"/>
                <w:color w:val="auto"/>
              </w:rPr>
            </w:pPr>
          </w:p>
        </w:tc>
        <w:tc>
          <w:tcPr>
            <w:tcW w:w="362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rPr>
            </w:pPr>
            <w:hyperlink r:id="rId398">
              <w:r>
                <w:rPr>
                  <w:rFonts w:ascii="Times New Roman" w:cs="Times New Roman" w:eastAsia="Times New Roman" w:hAnsi="Times New Roman"/>
                  <w:sz w:val="15"/>
                  <w:szCs w:val="15"/>
                  <w:color w:val="0000EE"/>
                </w:rPr>
                <w:t>Consent of James Greene to be named as director nominee</w:t>
              </w:r>
            </w:hyperlink>
          </w:p>
        </w:tc>
        <w:tc>
          <w:tcPr>
            <w:tcW w:w="47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107*</w:t>
            </w:r>
          </w:p>
        </w:tc>
        <w:tc>
          <w:tcPr>
            <w:tcW w:w="660" w:type="dxa"/>
            <w:vAlign w:val="bottom"/>
          </w:tcPr>
          <w:p>
            <w:pPr>
              <w:spacing w:after="0"/>
              <w:rPr>
                <w:sz w:val="21"/>
                <w:szCs w:val="21"/>
                <w:color w:val="auto"/>
              </w:rPr>
            </w:pPr>
          </w:p>
        </w:tc>
        <w:tc>
          <w:tcPr>
            <w:tcW w:w="8360" w:type="dxa"/>
            <w:vAlign w:val="bottom"/>
            <w:gridSpan w:val="31"/>
          </w:tcPr>
          <w:p>
            <w:pPr>
              <w:spacing w:after="0"/>
              <w:rPr>
                <w:rFonts w:ascii="Times New Roman" w:cs="Times New Roman" w:eastAsia="Times New Roman" w:hAnsi="Times New Roman"/>
                <w:sz w:val="15"/>
                <w:szCs w:val="15"/>
                <w:color w:val="0000EE"/>
              </w:rPr>
            </w:pPr>
            <w:hyperlink r:id="rId399">
              <w:r>
                <w:rPr>
                  <w:rFonts w:ascii="Times New Roman" w:cs="Times New Roman" w:eastAsia="Times New Roman" w:hAnsi="Times New Roman"/>
                  <w:sz w:val="15"/>
                  <w:szCs w:val="15"/>
                  <w:color w:val="0000EE"/>
                </w:rPr>
                <w:t>Filing Fee Table</w:t>
              </w:r>
            </w:hyperlink>
          </w:p>
        </w:tc>
        <w:tc>
          <w:tcPr>
            <w:tcW w:w="0" w:type="dxa"/>
            <w:vAlign w:val="bottom"/>
          </w:tcPr>
          <w:p>
            <w:pPr>
              <w:spacing w:after="0"/>
              <w:rPr>
                <w:sz w:val="1"/>
                <w:szCs w:val="1"/>
                <w:color w:val="auto"/>
              </w:rPr>
            </w:pPr>
          </w:p>
        </w:tc>
      </w:tr>
      <w:tr>
        <w:trPr>
          <w:trHeight w:val="310"/>
        </w:trPr>
        <w:tc>
          <w:tcPr>
            <w:tcW w:w="1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Filed previously.</w:t>
            </w:r>
          </w:p>
        </w:tc>
        <w:tc>
          <w:tcPr>
            <w:tcW w:w="10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80" w:type="dxa"/>
            <w:vAlign w:val="bottom"/>
            <w:gridSpan w:val="20"/>
          </w:tcPr>
          <w:p>
            <w:pPr>
              <w:jc w:val="center"/>
              <w:ind w:right="4180"/>
              <w:spacing w:after="0"/>
              <w:rPr>
                <w:sz w:val="20"/>
                <w:szCs w:val="20"/>
                <w:color w:val="auto"/>
              </w:rPr>
            </w:pPr>
            <w:r>
              <w:rPr>
                <w:rFonts w:ascii="Times New Roman" w:cs="Times New Roman" w:eastAsia="Times New Roman" w:hAnsi="Times New Roman"/>
                <w:sz w:val="15"/>
                <w:szCs w:val="15"/>
                <w:color w:val="auto"/>
                <w:w w:val="97"/>
              </w:rPr>
              <w:t>II-4</w:t>
            </w:r>
          </w:p>
        </w:tc>
        <w:tc>
          <w:tcPr>
            <w:tcW w:w="0" w:type="dxa"/>
            <w:vAlign w:val="bottom"/>
          </w:tcPr>
          <w:p>
            <w:pPr>
              <w:spacing w:after="0"/>
              <w:rPr>
                <w:sz w:val="1"/>
                <w:szCs w:val="1"/>
                <w:color w:val="auto"/>
              </w:rPr>
            </w:pPr>
          </w:p>
        </w:tc>
      </w:tr>
    </w:tbl>
    <w:p>
      <w:pPr>
        <w:sectPr>
          <w:pgSz w:w="11900" w:h="16840" w:orient="portrait"/>
          <w:cols w:equalWidth="0" w:num="1">
            <w:col w:w="10120"/>
          </w:cols>
          <w:pgMar w:left="660" w:top="874" w:right="1120" w:bottom="1440" w:gutter="0" w:footer="0" w:header="0"/>
        </w:sectPr>
      </w:pPr>
    </w:p>
    <w:bookmarkStart w:id="267" w:name="page268"/>
    <w:bookmarkEnd w:id="2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9" w:lineRule="exact"/>
        <w:rPr>
          <w:sz w:val="20"/>
          <w:szCs w:val="20"/>
          <w:color w:val="auto"/>
        </w:rPr>
      </w:pPr>
    </w:p>
    <w:p>
      <w:pPr>
        <w:ind w:left="460" w:right="560"/>
        <w:spacing w:after="0" w:line="284"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the registrant has duly caused this registration statement to be signed on its behalf by the undersigned, thereunto duly authorized, in the City of Palo Alto, State of California, on September 30, 2025.</w:t>
      </w:r>
    </w:p>
    <w:p>
      <w:pPr>
        <w:spacing w:after="0" w:line="16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199" w:lineRule="exact"/>
        <w:rPr>
          <w:sz w:val="20"/>
          <w:szCs w:val="20"/>
          <w:color w:val="auto"/>
        </w:rPr>
      </w:pPr>
    </w:p>
    <w:tbl>
      <w:tblPr>
        <w:tblLayout w:type="fixed"/>
        <w:tblInd w:w="6260" w:type="dxa"/>
        <w:tblCellMar>
          <w:top w:w="0" w:type="dxa"/>
          <w:left w:w="0" w:type="dxa"/>
          <w:bottom w:w="0" w:type="dxa"/>
          <w:right w:w="0" w:type="dxa"/>
        </w:tblCellMar>
      </w:tblPr>
      <w:tr>
        <w:trPr>
          <w:trHeight w:val="189"/>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Avi S Katz</w:t>
            </w:r>
          </w:p>
        </w:tc>
      </w:tr>
      <w:tr>
        <w:trPr>
          <w:trHeight w:val="158"/>
        </w:trPr>
        <w:tc>
          <w:tcPr>
            <w:tcW w:w="4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Name:</w:t>
            </w:r>
          </w:p>
        </w:tc>
        <w:tc>
          <w:tcPr>
            <w:tcW w:w="33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Dr. Avi S. Katz</w:t>
            </w:r>
          </w:p>
        </w:tc>
      </w:tr>
      <w:tr>
        <w:trPr>
          <w:trHeight w:val="199"/>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 and Chairman</w:t>
            </w:r>
          </w:p>
        </w:tc>
      </w:tr>
    </w:tbl>
    <w:p>
      <w:pPr>
        <w:spacing w:after="0" w:line="168" w:lineRule="exact"/>
        <w:rPr>
          <w:sz w:val="20"/>
          <w:szCs w:val="20"/>
          <w:color w:val="auto"/>
        </w:rPr>
      </w:pPr>
    </w:p>
    <w:p>
      <w:pPr>
        <w:ind w:left="460" w:right="200" w:firstLine="379"/>
        <w:spacing w:after="0" w:line="284"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this Registration Statement has been signed by the following persons in the capacities and on the dates indicated.</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4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47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80" w:type="dxa"/>
            <w:vAlign w:val="bottom"/>
          </w:tcPr>
          <w:p>
            <w:pPr>
              <w:spacing w:after="0"/>
              <w:rPr>
                <w:sz w:val="15"/>
                <w:szCs w:val="15"/>
                <w:color w:val="auto"/>
              </w:rPr>
            </w:pPr>
          </w:p>
        </w:tc>
        <w:tc>
          <w:tcPr>
            <w:tcW w:w="15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3"/>
                <w:szCs w:val="13"/>
                <w:b w:val="1"/>
                <w:bCs w:val="1"/>
                <w:color w:val="auto"/>
              </w:rPr>
              <w:t>Date</w:t>
            </w:r>
          </w:p>
        </w:tc>
      </w:tr>
      <w:tr>
        <w:trPr>
          <w:trHeight w:val="352"/>
        </w:trPr>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Avi S. Katz</w:t>
            </w:r>
          </w:p>
        </w:tc>
        <w:tc>
          <w:tcPr>
            <w:tcW w:w="2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 and Chairman of the Board</w:t>
            </w:r>
          </w:p>
        </w:tc>
        <w:tc>
          <w:tcPr>
            <w:tcW w:w="18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September 30, 2025</w:t>
            </w:r>
          </w:p>
        </w:tc>
      </w:tr>
      <w:tr>
        <w:trPr>
          <w:trHeight w:val="191"/>
        </w:trPr>
        <w:tc>
          <w:tcPr>
            <w:tcW w:w="3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Dr. Avi S. Katz</w:t>
            </w:r>
          </w:p>
        </w:tc>
        <w:tc>
          <w:tcPr>
            <w:tcW w:w="20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58"/>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 and Treasurer</w:t>
            </w:r>
          </w:p>
        </w:tc>
        <w:tc>
          <w:tcPr>
            <w:tcW w:w="18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September 30, 2025</w:t>
            </w:r>
          </w:p>
        </w:tc>
      </w:tr>
      <w:tr>
        <w:trPr>
          <w:trHeight w:val="191"/>
        </w:trPr>
        <w:tc>
          <w:tcPr>
            <w:tcW w:w="3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Christine M. Marshall</w:t>
            </w:r>
          </w:p>
        </w:tc>
        <w:tc>
          <w:tcPr>
            <w:tcW w:w="20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(Principal Financial and Accounting Officer)</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58"/>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c>
          <w:tcPr>
            <w:tcW w:w="18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September 30, 2025</w:t>
            </w:r>
          </w:p>
        </w:tc>
      </w:tr>
      <w:tr>
        <w:trPr>
          <w:trHeight w:val="191"/>
        </w:trPr>
        <w:tc>
          <w:tcPr>
            <w:tcW w:w="3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Dr. Raluca Dinu</w:t>
            </w:r>
          </w:p>
        </w:tc>
        <w:tc>
          <w:tcPr>
            <w:tcW w:w="2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93"/>
        </w:trPr>
        <w:tc>
          <w:tcPr>
            <w:tcW w:w="3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*By:  /s/ Avi S Katz</w:t>
            </w:r>
          </w:p>
        </w:tc>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39"/>
        </w:trPr>
        <w:tc>
          <w:tcPr>
            <w:tcW w:w="2980" w:type="dxa"/>
            <w:vAlign w:val="bottom"/>
            <w:gridSpan w:val="2"/>
          </w:tcPr>
          <w:p>
            <w:pPr>
              <w:spacing w:after="0" w:line="139" w:lineRule="exact"/>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Avi S. Katz</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9"/>
        </w:trPr>
        <w:tc>
          <w:tcPr>
            <w:tcW w:w="3000" w:type="dxa"/>
            <w:vAlign w:val="bottom"/>
            <w:gridSpan w:val="3"/>
          </w:tcPr>
          <w:p>
            <w:pPr>
              <w:spacing w:after="0"/>
              <w:rPr>
                <w:sz w:val="20"/>
                <w:szCs w:val="20"/>
                <w:color w:val="auto"/>
              </w:rPr>
            </w:pPr>
            <w:r>
              <w:rPr>
                <w:rFonts w:ascii="Arial" w:cs="Arial" w:eastAsia="Arial" w:hAnsi="Arial"/>
                <w:sz w:val="15"/>
                <w:szCs w:val="15"/>
                <w:color w:val="auto"/>
              </w:rPr>
              <w:t> </w:t>
            </w:r>
            <w:r>
              <w:rPr>
                <w:rFonts w:ascii="Times New Roman" w:cs="Times New Roman" w:eastAsia="Times New Roman" w:hAnsi="Times New Roman"/>
                <w:sz w:val="15"/>
                <w:szCs w:val="15"/>
                <w:color w:val="auto"/>
              </w:rPr>
              <w:t>Attorney-in-fact</w:t>
            </w:r>
          </w:p>
        </w:tc>
        <w:tc>
          <w:tcPr>
            <w:tcW w:w="2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II-5</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40" w:orient="portrait"/>
          <w:cols w:equalWidth="0" w:num="1">
            <w:col w:w="10120"/>
          </w:cols>
          <w:pgMar w:left="660" w:top="874" w:right="1120" w:bottom="1440" w:gutter="0" w:footer="0" w:header="0"/>
        </w:sectPr>
      </w:pPr>
    </w:p>
    <w:bookmarkStart w:id="268" w:name="page269"/>
    <w:bookmarkEnd w:id="2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501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6749415" cy="50165"/>
                    </a:xfrm>
                    <a:prstGeom prst="rect">
                      <a:avLst/>
                    </a:prstGeom>
                    <a:noFill/>
                  </pic:spPr>
                </pic:pic>
              </a:graphicData>
            </a:graphic>
          </wp:anchor>
        </w:drawing>
      </w:r>
      <w:hyperlink w:anchor="page10">
        <w:r>
          <w:rPr>
            <w:rFonts w:ascii="Times New Roman" w:cs="Times New Roman" w:eastAsia="Times New Roman" w:hAnsi="Times New Roman"/>
            <w:sz w:val="15"/>
            <w:szCs w:val="15"/>
            <w:b w:val="1"/>
            <w:bCs w:val="1"/>
            <w:u w:val="single" w:color="auto"/>
            <w:color w:val="0000EE"/>
          </w:rPr>
          <w:t>Table of Contents</w:t>
        </w:r>
      </w:hyperlink>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b w:val="1"/>
          <w:bCs w:val="1"/>
          <w:color w:val="auto"/>
        </w:rPr>
        <w:t>AUTHORIZED REPRESENTATIVE OF THE REGISTRANT</w:t>
      </w:r>
    </w:p>
    <w:p>
      <w:pPr>
        <w:spacing w:after="0" w:line="199" w:lineRule="exact"/>
        <w:rPr>
          <w:sz w:val="20"/>
          <w:szCs w:val="20"/>
          <w:color w:val="auto"/>
        </w:rPr>
      </w:pPr>
    </w:p>
    <w:p>
      <w:pPr>
        <w:ind w:left="460" w:right="220"/>
        <w:spacing w:after="0" w:line="284" w:lineRule="auto"/>
        <w:rPr>
          <w:sz w:val="20"/>
          <w:szCs w:val="20"/>
          <w:color w:val="auto"/>
        </w:rPr>
      </w:pPr>
      <w:r>
        <w:rPr>
          <w:rFonts w:ascii="Times New Roman" w:cs="Times New Roman" w:eastAsia="Times New Roman" w:hAnsi="Times New Roman"/>
          <w:sz w:val="15"/>
          <w:szCs w:val="15"/>
          <w:color w:val="auto"/>
        </w:rPr>
        <w:t>Pursuant to the requirement of the Securities Act of 1933, as amended, the undersigned has signed this registration statement, solely in his capacity as the duly authorized representative of GigCapital8 Corp. in the City of Palo Alto, California, on September 30, 2025.</w:t>
      </w:r>
    </w:p>
    <w:p>
      <w:pPr>
        <w:spacing w:after="0" w:line="172" w:lineRule="exact"/>
        <w:rPr>
          <w:sz w:val="20"/>
          <w:szCs w:val="20"/>
          <w:color w:val="auto"/>
        </w:rPr>
      </w:pPr>
    </w:p>
    <w:tbl>
      <w:tblPr>
        <w:tblLayout w:type="fixed"/>
        <w:tblInd w:w="6260" w:type="dxa"/>
        <w:tblCellMar>
          <w:top w:w="0" w:type="dxa"/>
          <w:left w:w="0" w:type="dxa"/>
          <w:bottom w:w="0" w:type="dxa"/>
          <w:right w:w="0" w:type="dxa"/>
        </w:tblCellMar>
      </w:tblPr>
      <w:tr>
        <w:trPr>
          <w:trHeight w:val="189"/>
        </w:trPr>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Avi S. Katz</w:t>
            </w:r>
          </w:p>
        </w:tc>
      </w:tr>
      <w:tr>
        <w:trPr>
          <w:trHeight w:val="170"/>
        </w:trPr>
        <w:tc>
          <w:tcPr>
            <w:tcW w:w="50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336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Avi S. Katz</w:t>
            </w:r>
          </w:p>
        </w:tc>
      </w:tr>
      <w:tr>
        <w:trPr>
          <w:trHeight w:val="199"/>
        </w:trPr>
        <w:tc>
          <w:tcPr>
            <w:tcW w:w="5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Authorized Representative</w:t>
            </w:r>
          </w:p>
        </w:tc>
      </w:tr>
    </w:tbl>
    <w:p>
      <w:pPr>
        <w:sectPr>
          <w:pgSz w:w="11900" w:h="16840" w:orient="portrait"/>
          <w:cols w:equalWidth="0" w:num="1">
            <w:col w:w="10120"/>
          </w:cols>
          <w:pgMar w:left="660" w:top="874" w:right="1120" w:bottom="1440" w:gutter="0" w:footer="0" w:header="0"/>
        </w:sectPr>
      </w:pPr>
    </w:p>
    <w:bookmarkStart w:id="269" w:name="page270"/>
    <w:bookmarkEnd w:id="269"/>
    <w:p>
      <w:pPr>
        <w:ind w:left="8940"/>
        <w:spacing w:after="0"/>
        <w:rPr>
          <w:sz w:val="20"/>
          <w:szCs w:val="20"/>
          <w:color w:val="auto"/>
        </w:rPr>
      </w:pPr>
      <w:r>
        <w:rPr>
          <w:rFonts w:ascii="Times New Roman" w:cs="Times New Roman" w:eastAsia="Times New Roman" w:hAnsi="Times New Roman"/>
          <w:sz w:val="15"/>
          <w:szCs w:val="15"/>
          <w:b w:val="1"/>
          <w:bCs w:val="1"/>
          <w:color w:val="auto"/>
        </w:rPr>
        <w:t>Exhibit 1.1</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UNDERWRITING AGREEMENT</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New York, New York</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September [ • ],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 BORAL CAPITAL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590 Madison Avenue</w:t>
      </w:r>
    </w:p>
    <w:p>
      <w:pPr>
        <w:spacing w:after="0" w:line="181" w:lineRule="auto"/>
        <w:rPr>
          <w:sz w:val="20"/>
          <w:szCs w:val="20"/>
          <w:color w:val="auto"/>
        </w:rPr>
      </w:pPr>
      <w:r>
        <w:rPr>
          <w:rFonts w:ascii="Times New Roman" w:cs="Times New Roman" w:eastAsia="Times New Roman" w:hAnsi="Times New Roman"/>
          <w:sz w:val="14"/>
          <w:szCs w:val="14"/>
          <w:color w:val="auto"/>
        </w:rPr>
        <w:t>39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Representative of the Underwriters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named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Ladies and Gentlemen:</w:t>
      </w:r>
    </w:p>
    <w:p>
      <w:pPr>
        <w:spacing w:after="0" w:line="179" w:lineRule="exact"/>
        <w:rPr>
          <w:sz w:val="20"/>
          <w:szCs w:val="20"/>
          <w:color w:val="auto"/>
        </w:rPr>
      </w:pPr>
    </w:p>
    <w:p>
      <w:pPr>
        <w:ind w:right="140" w:firstLine="379"/>
        <w:spacing w:after="0" w:line="265" w:lineRule="auto"/>
        <w:rPr>
          <w:sz w:val="20"/>
          <w:szCs w:val="20"/>
          <w:color w:val="auto"/>
        </w:rPr>
      </w:pPr>
      <w:r>
        <w:rPr>
          <w:rFonts w:ascii="Times New Roman" w:cs="Times New Roman" w:eastAsia="Times New Roman" w:hAnsi="Times New Roman"/>
          <w:sz w:val="15"/>
          <w:szCs w:val="15"/>
          <w:color w:val="auto"/>
        </w:rPr>
        <w:t>GigCapital8 Corp., a Cayman Islands exempted company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hereby confirms its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with D. Boral Capital LLC (hereinafter referred to as “you” (including its correlatives) acting as representative (the “</w:t>
      </w:r>
      <w:r>
        <w:rPr>
          <w:rFonts w:ascii="Times New Roman" w:cs="Times New Roman" w:eastAsia="Times New Roman" w:hAnsi="Times New Roman"/>
          <w:sz w:val="15"/>
          <w:szCs w:val="15"/>
          <w:u w:val="single" w:color="auto"/>
          <w:color w:val="auto"/>
        </w:rPr>
        <w:t>Representative</w:t>
      </w:r>
      <w:r>
        <w:rPr>
          <w:rFonts w:ascii="Times New Roman" w:cs="Times New Roman" w:eastAsia="Times New Roman" w:hAnsi="Times New Roman"/>
          <w:sz w:val="15"/>
          <w:szCs w:val="15"/>
          <w:color w:val="auto"/>
        </w:rPr>
        <w:t xml:space="preserve">”) of the several underwriters named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(the “</w:t>
      </w:r>
      <w:r>
        <w:rPr>
          <w:rFonts w:ascii="Times New Roman" w:cs="Times New Roman" w:eastAsia="Times New Roman" w:hAnsi="Times New Roman"/>
          <w:sz w:val="15"/>
          <w:szCs w:val="15"/>
          <w:u w:val="single" w:color="auto"/>
          <w:color w:val="auto"/>
        </w:rPr>
        <w:t>Underwriters</w:t>
      </w:r>
      <w:r>
        <w:rPr>
          <w:rFonts w:ascii="Times New Roman" w:cs="Times New Roman" w:eastAsia="Times New Roman" w:hAnsi="Times New Roman"/>
          <w:sz w:val="15"/>
          <w:szCs w:val="15"/>
          <w:color w:val="auto"/>
        </w:rPr>
        <w:t>” or, each underwriter individually, an “</w:t>
      </w:r>
      <w:r>
        <w:rPr>
          <w:rFonts w:ascii="Times New Roman" w:cs="Times New Roman" w:eastAsia="Times New Roman" w:hAnsi="Times New Roman"/>
          <w:sz w:val="15"/>
          <w:szCs w:val="15"/>
          <w:u w:val="single" w:color="auto"/>
          <w:color w:val="auto"/>
        </w:rPr>
        <w:t>Underwriter</w:t>
      </w:r>
      <w:r>
        <w:rPr>
          <w:rFonts w:ascii="Times New Roman" w:cs="Times New Roman" w:eastAsia="Times New Roman" w:hAnsi="Times New Roman"/>
          <w:sz w:val="15"/>
          <w:szCs w:val="15"/>
          <w:color w:val="auto"/>
        </w:rPr>
        <w:t>”), as follows: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PURCHASE AND SALE OF SECURITIES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Units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1.1.1 </w:t>
      </w:r>
      <w:r>
        <w:rPr>
          <w:rFonts w:ascii="Times New Roman" w:cs="Times New Roman" w:eastAsia="Times New Roman" w:hAnsi="Times New Roman"/>
          <w:sz w:val="15"/>
          <w:szCs w:val="15"/>
          <w:u w:val="single" w:color="auto"/>
          <w:color w:val="auto"/>
        </w:rPr>
        <w:t>Purchase of Units</w:t>
      </w:r>
      <w:r>
        <w:rPr>
          <w:rFonts w:ascii="Times New Roman" w:cs="Times New Roman" w:eastAsia="Times New Roman" w:hAnsi="Times New Roman"/>
          <w:sz w:val="15"/>
          <w:szCs w:val="15"/>
          <w:color w:val="auto"/>
        </w:rPr>
        <w:t>. On the basis of the representations and warranties herein contained, but subject to the terms and conditions herein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forth, the Company agrees to issue and sell to the Underwriters, an aggregate of 22,000,000 units of the Company (the “</w:t>
      </w:r>
      <w:r>
        <w:rPr>
          <w:rFonts w:ascii="Times New Roman" w:cs="Times New Roman" w:eastAsia="Times New Roman" w:hAnsi="Times New Roman"/>
          <w:sz w:val="15"/>
          <w:szCs w:val="15"/>
          <w:u w:val="single" w:color="auto"/>
          <w:color w:val="auto"/>
        </w:rPr>
        <w:t>Firm Units</w:t>
      </w:r>
      <w:r>
        <w:rPr>
          <w:rFonts w:ascii="Times New Roman" w:cs="Times New Roman" w:eastAsia="Times New Roman" w:hAnsi="Times New Roman"/>
          <w:sz w:val="15"/>
          <w:szCs w:val="15"/>
          <w:color w:val="auto"/>
        </w:rPr>
        <w:t>”) at a purchase price (net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discounts and commissions) of approximately $9.9545 per Firm Unit ($219,000,000 in total for all of the Firm Units). Each Firm Unit consists of 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Class A ordinary share of the Company, par value $0.0001 per share (individually, a “</w:t>
      </w:r>
      <w:r>
        <w:rPr>
          <w:rFonts w:ascii="Times New Roman" w:cs="Times New Roman" w:eastAsia="Times New Roman" w:hAnsi="Times New Roman"/>
          <w:sz w:val="15"/>
          <w:szCs w:val="15"/>
          <w:u w:val="single" w:color="auto"/>
          <w:color w:val="auto"/>
        </w:rPr>
        <w:t>Class A Ordinary Share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Public Share</w:t>
      </w:r>
      <w:r>
        <w:rPr>
          <w:rFonts w:ascii="Times New Roman" w:cs="Times New Roman" w:eastAsia="Times New Roman" w:hAnsi="Times New Roman"/>
          <w:sz w:val="15"/>
          <w:szCs w:val="15"/>
          <w:color w:val="auto"/>
        </w:rPr>
        <w:t>” and collectively,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A Ordinary Shares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Public Shares</w:t>
      </w:r>
      <w:r>
        <w:rPr>
          <w:rFonts w:ascii="Times New Roman" w:cs="Times New Roman" w:eastAsia="Times New Roman" w:hAnsi="Times New Roman"/>
          <w:sz w:val="15"/>
          <w:szCs w:val="15"/>
          <w:color w:val="auto"/>
        </w:rPr>
        <w:t>,” and such Class A Ordinary Shares together with Class B ordinary shares, collectively, “</w:t>
      </w:r>
      <w:r>
        <w:rPr>
          <w:rFonts w:ascii="Times New Roman" w:cs="Times New Roman" w:eastAsia="Times New Roman" w:hAnsi="Times New Roman"/>
          <w:sz w:val="15"/>
          <w:szCs w:val="15"/>
          <w:u w:val="single" w:color="auto"/>
          <w:color w:val="auto"/>
        </w:rPr>
        <w:t>Ordinary Shares</w:t>
      </w:r>
      <w:r>
        <w:rPr>
          <w:rFonts w:ascii="Times New Roman" w:cs="Times New Roman" w:eastAsia="Times New Roman" w:hAnsi="Times New Roman"/>
          <w:sz w:val="15"/>
          <w:szCs w:val="15"/>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one right (the “</w:t>
      </w:r>
      <w:r>
        <w:rPr>
          <w:rFonts w:ascii="Times New Roman" w:cs="Times New Roman" w:eastAsia="Times New Roman" w:hAnsi="Times New Roman"/>
          <w:sz w:val="15"/>
          <w:szCs w:val="15"/>
          <w:u w:val="single" w:color="auto"/>
          <w:color w:val="auto"/>
        </w:rPr>
        <w:t>Rights</w:t>
      </w:r>
      <w:r>
        <w:rPr>
          <w:rFonts w:ascii="Times New Roman" w:cs="Times New Roman" w:eastAsia="Times New Roman" w:hAnsi="Times New Roman"/>
          <w:sz w:val="15"/>
          <w:szCs w:val="15"/>
          <w:color w:val="auto"/>
        </w:rPr>
        <w:t>”), entitling the holder to receive one-tenth (1/10) of one Class A Ordinary Share upon the consummation by the Company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initial Business Combination (as defined below). The Public Shares and Rights included in the Firm Units will not be separately tradable until 52 days after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date hereof unless the Representative informs the Company of its decision to allow earlier separate trading, subject to the Company filing a Current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Report on Form 8-K with the Securities and Exchange Commission (the “</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containing an audited</w:t>
      </w:r>
    </w:p>
    <w:p>
      <w:pPr>
        <w:sectPr>
          <w:pgSz w:w="11900" w:h="16840" w:orient="portrait"/>
          <w:cols w:equalWidth="0" w:num="1">
            <w:col w:w="9660"/>
          </w:cols>
          <w:pgMar w:left="1120" w:top="554" w:right="1120" w:bottom="1440" w:gutter="0" w:footer="0" w:header="0"/>
        </w:sectPr>
      </w:pPr>
    </w:p>
    <w:bookmarkStart w:id="270" w:name="page271"/>
    <w:bookmarkEnd w:id="270"/>
    <w:p>
      <w:pPr>
        <w:ind w:right="20"/>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balance sheet reflecting the Company’s receipt of the gross proceeds of the Offering (defined below) and the completion of the Private Placements (defined in </w:t>
      </w:r>
      <w:r>
        <w:rPr>
          <w:rFonts w:ascii="Times New Roman" w:cs="Times New Roman" w:eastAsia="Times New Roman" w:hAnsi="Times New Roman"/>
          <w:sz w:val="15"/>
          <w:szCs w:val="15"/>
          <w:u w:val="single" w:color="auto"/>
          <w:color w:val="auto"/>
        </w:rPr>
        <w:t>Section 1.4.2)</w:t>
      </w:r>
      <w:r>
        <w:rPr>
          <w:rFonts w:ascii="Times New Roman" w:cs="Times New Roman" w:eastAsia="Times New Roman" w:hAnsi="Times New Roman"/>
          <w:sz w:val="15"/>
          <w:szCs w:val="15"/>
          <w:color w:val="auto"/>
        </w:rPr>
        <w:t xml:space="preserve"> and issuing a press release announcing when such separate trading will begin. The Underwriters, severally and not jointly, agree to purchase from the Company the number of Firm Units set forth opposite their respective names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Underwriters shall offer the Firm Units to the public (the “</w:t>
      </w:r>
      <w:r>
        <w:rPr>
          <w:rFonts w:ascii="Times New Roman" w:cs="Times New Roman" w:eastAsia="Times New Roman" w:hAnsi="Times New Roman"/>
          <w:sz w:val="15"/>
          <w:szCs w:val="15"/>
          <w:u w:val="single" w:color="auto"/>
          <w:color w:val="auto"/>
        </w:rPr>
        <w:t>Offering</w:t>
      </w:r>
      <w:r>
        <w:rPr>
          <w:rFonts w:ascii="Times New Roman" w:cs="Times New Roman" w:eastAsia="Times New Roman" w:hAnsi="Times New Roman"/>
          <w:sz w:val="15"/>
          <w:szCs w:val="15"/>
          <w:color w:val="auto"/>
        </w:rPr>
        <w:t>”) at the offering price of $10.00 per Firm Unit.</w:t>
      </w:r>
    </w:p>
    <w:p>
      <w:pPr>
        <w:spacing w:after="0" w:line="156" w:lineRule="exact"/>
        <w:rPr>
          <w:sz w:val="20"/>
          <w:szCs w:val="20"/>
          <w:color w:val="auto"/>
        </w:rPr>
      </w:pPr>
    </w:p>
    <w:p>
      <w:pPr>
        <w:ind w:firstLine="865"/>
        <w:spacing w:after="0" w:line="249" w:lineRule="auto"/>
        <w:rPr>
          <w:sz w:val="20"/>
          <w:szCs w:val="20"/>
          <w:color w:val="auto"/>
        </w:rPr>
      </w:pPr>
      <w:r>
        <w:rPr>
          <w:rFonts w:ascii="Times New Roman" w:cs="Times New Roman" w:eastAsia="Times New Roman" w:hAnsi="Times New Roman"/>
          <w:sz w:val="15"/>
          <w:szCs w:val="15"/>
          <w:color w:val="auto"/>
        </w:rPr>
        <w:t xml:space="preserve">1.1.2 </w:t>
      </w:r>
      <w:r>
        <w:rPr>
          <w:rFonts w:ascii="Times New Roman" w:cs="Times New Roman" w:eastAsia="Times New Roman" w:hAnsi="Times New Roman"/>
          <w:sz w:val="15"/>
          <w:szCs w:val="15"/>
          <w:u w:val="single" w:color="auto"/>
          <w:color w:val="auto"/>
        </w:rPr>
        <w:t>Payment and Delivery</w:t>
      </w:r>
      <w:r>
        <w:rPr>
          <w:rFonts w:ascii="Times New Roman" w:cs="Times New Roman" w:eastAsia="Times New Roman" w:hAnsi="Times New Roman"/>
          <w:sz w:val="15"/>
          <w:szCs w:val="15"/>
          <w:color w:val="auto"/>
        </w:rPr>
        <w:t>. Delivery and payment for the Firm Units shall be made at 10:00 A.M., New York time, on the second (2nd) Business Day (as defined below) following the commencement of trading of the Firm Units at the offices of D. Boral Capital LLC, or at such earlier time and/or such other place as agreed upon by the Representative and the Company. The closing of the Offering is referred to herein as the “</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and the hour and date of delivery and payment for the Firm Units is referred to herein as the “</w:t>
      </w:r>
      <w:r>
        <w:rPr>
          <w:rFonts w:ascii="Times New Roman" w:cs="Times New Roman" w:eastAsia="Times New Roman" w:hAnsi="Times New Roman"/>
          <w:sz w:val="15"/>
          <w:szCs w:val="15"/>
          <w:u w:val="single" w:color="auto"/>
          <w:color w:val="auto"/>
        </w:rPr>
        <w:t>Closing Date</w:t>
      </w:r>
      <w:r>
        <w:rPr>
          <w:rFonts w:ascii="Times New Roman" w:cs="Times New Roman" w:eastAsia="Times New Roman" w:hAnsi="Times New Roman"/>
          <w:sz w:val="15"/>
          <w:szCs w:val="15"/>
          <w:color w:val="auto"/>
        </w:rPr>
        <w:t>.” Payment for the Firm Units shall be made on the Closing Date through the facilities of The Depository Trust Company (“</w:t>
      </w:r>
      <w:r>
        <w:rPr>
          <w:rFonts w:ascii="Times New Roman" w:cs="Times New Roman" w:eastAsia="Times New Roman" w:hAnsi="Times New Roman"/>
          <w:sz w:val="15"/>
          <w:szCs w:val="15"/>
          <w:u w:val="single" w:color="auto"/>
          <w:color w:val="auto"/>
        </w:rPr>
        <w:t>DTC</w:t>
      </w:r>
      <w:r>
        <w:rPr>
          <w:rFonts w:ascii="Times New Roman" w:cs="Times New Roman" w:eastAsia="Times New Roman" w:hAnsi="Times New Roman"/>
          <w:sz w:val="15"/>
          <w:szCs w:val="15"/>
          <w:color w:val="auto"/>
        </w:rPr>
        <w:t>”) by wire transfer in Federal (same day) funds. On the Closing Date, an aggregate of $220,000,000 of the net proceeds from the sale of the Firm Units and Private Placement Securities (as defined below) shall be deposited into the trust account (the “</w:t>
      </w:r>
      <w:r>
        <w:rPr>
          <w:rFonts w:ascii="Times New Roman" w:cs="Times New Roman" w:eastAsia="Times New Roman" w:hAnsi="Times New Roman"/>
          <w:sz w:val="15"/>
          <w:szCs w:val="15"/>
          <w:u w:val="single" w:color="auto"/>
          <w:color w:val="auto"/>
        </w:rPr>
        <w:t>Trust Account</w:t>
      </w:r>
      <w:r>
        <w:rPr>
          <w:rFonts w:ascii="Times New Roman" w:cs="Times New Roman" w:eastAsia="Times New Roman" w:hAnsi="Times New Roman"/>
          <w:sz w:val="15"/>
          <w:szCs w:val="15"/>
          <w:color w:val="auto"/>
        </w:rPr>
        <w:t xml:space="preserve">”) established by the Company for the benefit of the Public Shareholders (as defined below), as described in the Registration Statement (as defined in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below) and pursuant to the terms of an Investment Management Trust Agreement (the “</w:t>
      </w:r>
      <w:r>
        <w:rPr>
          <w:rFonts w:ascii="Times New Roman" w:cs="Times New Roman" w:eastAsia="Times New Roman" w:hAnsi="Times New Roman"/>
          <w:sz w:val="15"/>
          <w:szCs w:val="15"/>
          <w:u w:val="single" w:color="auto"/>
          <w:color w:val="auto"/>
        </w:rPr>
        <w:t>Trust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between the Company and Continental Stock Transfer &amp; Trust Company (“</w:t>
      </w:r>
      <w:r>
        <w:rPr>
          <w:rFonts w:ascii="Times New Roman" w:cs="Times New Roman" w:eastAsia="Times New Roman" w:hAnsi="Times New Roman"/>
          <w:sz w:val="15"/>
          <w:szCs w:val="15"/>
          <w:u w:val="single" w:color="auto"/>
          <w:color w:val="auto"/>
        </w:rPr>
        <w:t>CST</w:t>
      </w:r>
      <w:r>
        <w:rPr>
          <w:rFonts w:ascii="Times New Roman" w:cs="Times New Roman" w:eastAsia="Times New Roman" w:hAnsi="Times New Roman"/>
          <w:sz w:val="15"/>
          <w:szCs w:val="15"/>
          <w:color w:val="auto"/>
        </w:rPr>
        <w:t>”), substantially in the form annexed as an exhibit to the Registration Statement. The remaining proceeds (less actual expenses and fees payable pursuant to this Agreement) shall be paid to the order of the Company on the Closing Date upon delivery of certificates representing the Firm Units (in form and substance reasonably satisfactory to the Representative) or through the facilities of DTC for the account of the Underwriters. The Firm Units shall be registered in such name or names and in such authorized denominations as the Representative may request in writing at least one (1) Business Day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 As used herein, the term “</w:t>
      </w:r>
      <w:r>
        <w:rPr>
          <w:rFonts w:ascii="Times New Roman" w:cs="Times New Roman" w:eastAsia="Times New Roman" w:hAnsi="Times New Roman"/>
          <w:sz w:val="15"/>
          <w:szCs w:val="15"/>
          <w:u w:val="single" w:color="auto"/>
          <w:color w:val="auto"/>
        </w:rPr>
        <w:t>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Day</w:t>
      </w:r>
      <w:r>
        <w:rPr>
          <w:rFonts w:ascii="Times New Roman" w:cs="Times New Roman" w:eastAsia="Times New Roman" w:hAnsi="Times New Roman"/>
          <w:sz w:val="15"/>
          <w:szCs w:val="15"/>
          <w:color w:val="auto"/>
        </w:rPr>
        <w:t>” means any day other than a Saturday, Sunday, or any day on which national banks in New York, New York are not open for business, and the term “</w:t>
      </w:r>
      <w:r>
        <w:rPr>
          <w:rFonts w:ascii="Times New Roman" w:cs="Times New Roman" w:eastAsia="Times New Roman" w:hAnsi="Times New Roman"/>
          <w:sz w:val="15"/>
          <w:szCs w:val="15"/>
          <w:u w:val="single" w:color="auto"/>
          <w:color w:val="auto"/>
        </w:rPr>
        <w:t>Public Shareholders</w:t>
      </w:r>
      <w:r>
        <w:rPr>
          <w:rFonts w:ascii="Times New Roman" w:cs="Times New Roman" w:eastAsia="Times New Roman" w:hAnsi="Times New Roman"/>
          <w:sz w:val="15"/>
          <w:szCs w:val="15"/>
          <w:color w:val="auto"/>
        </w:rPr>
        <w:t xml:space="preserve">” means the holders of the Class A Ordinary Shares sold in the Offering or acquired in the aftermarket, including any of the Respondents (as defined in </w:t>
      </w:r>
      <w:r>
        <w:rPr>
          <w:rFonts w:ascii="Times New Roman" w:cs="Times New Roman" w:eastAsia="Times New Roman" w:hAnsi="Times New Roman"/>
          <w:sz w:val="15"/>
          <w:szCs w:val="15"/>
          <w:u w:val="single" w:color="auto"/>
          <w:color w:val="auto"/>
        </w:rPr>
        <w:t>Section 2.14</w:t>
      </w:r>
      <w:r>
        <w:rPr>
          <w:rFonts w:ascii="Times New Roman" w:cs="Times New Roman" w:eastAsia="Times New Roman" w:hAnsi="Times New Roman"/>
          <w:sz w:val="15"/>
          <w:szCs w:val="15"/>
          <w:color w:val="auto"/>
        </w:rPr>
        <w:t xml:space="preserve"> below) to the extent they acquire such Class A Ordinary Shares in the Offering or in the aftermarket (and solely with respect to such shares).</w:t>
      </w:r>
    </w:p>
    <w:p>
      <w:pPr>
        <w:spacing w:after="0" w:line="3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Over-Allotment Option</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240" w:firstLine="865"/>
        <w:spacing w:after="0" w:line="256" w:lineRule="auto"/>
        <w:rPr>
          <w:sz w:val="20"/>
          <w:szCs w:val="20"/>
          <w:color w:val="auto"/>
        </w:rPr>
      </w:pPr>
      <w:r>
        <w:rPr>
          <w:rFonts w:ascii="Times New Roman" w:cs="Times New Roman" w:eastAsia="Times New Roman" w:hAnsi="Times New Roman"/>
          <w:sz w:val="15"/>
          <w:szCs w:val="15"/>
          <w:color w:val="auto"/>
        </w:rPr>
        <w:t xml:space="preserve">1.2.1 </w:t>
      </w:r>
      <w:r>
        <w:rPr>
          <w:rFonts w:ascii="Times New Roman" w:cs="Times New Roman" w:eastAsia="Times New Roman" w:hAnsi="Times New Roman"/>
          <w:sz w:val="15"/>
          <w:szCs w:val="15"/>
          <w:u w:val="single" w:color="auto"/>
          <w:color w:val="auto"/>
        </w:rPr>
        <w:t>Grant of Option</w:t>
      </w:r>
      <w:r>
        <w:rPr>
          <w:rFonts w:ascii="Times New Roman" w:cs="Times New Roman" w:eastAsia="Times New Roman" w:hAnsi="Times New Roman"/>
          <w:sz w:val="15"/>
          <w:szCs w:val="15"/>
          <w:color w:val="auto"/>
        </w:rPr>
        <w:t>. The Representative shall have the option (the “</w:t>
      </w:r>
      <w:r>
        <w:rPr>
          <w:rFonts w:ascii="Times New Roman" w:cs="Times New Roman" w:eastAsia="Times New Roman" w:hAnsi="Times New Roman"/>
          <w:sz w:val="15"/>
          <w:szCs w:val="15"/>
          <w:u w:val="single" w:color="auto"/>
          <w:color w:val="auto"/>
        </w:rPr>
        <w:t>Over-Allotment Option</w:t>
      </w:r>
      <w:r>
        <w:rPr>
          <w:rFonts w:ascii="Times New Roman" w:cs="Times New Roman" w:eastAsia="Times New Roman" w:hAnsi="Times New Roman"/>
          <w:sz w:val="15"/>
          <w:szCs w:val="15"/>
          <w:color w:val="auto"/>
        </w:rPr>
        <w:t>”) to purchase, on behalf of the several Underwriters, all or less than all of an additional 3,300,000 units of the Company (the “</w:t>
      </w:r>
      <w:r>
        <w:rPr>
          <w:rFonts w:ascii="Times New Roman" w:cs="Times New Roman" w:eastAsia="Times New Roman" w:hAnsi="Times New Roman"/>
          <w:sz w:val="15"/>
          <w:szCs w:val="15"/>
          <w:u w:val="single" w:color="auto"/>
          <w:color w:val="auto"/>
        </w:rPr>
        <w:t>Option Units</w:t>
      </w:r>
      <w:r>
        <w:rPr>
          <w:rFonts w:ascii="Times New Roman" w:cs="Times New Roman" w:eastAsia="Times New Roman" w:hAnsi="Times New Roman"/>
          <w:sz w:val="15"/>
          <w:szCs w:val="15"/>
          <w:color w:val="auto"/>
        </w:rPr>
        <w:t xml:space="preserve">”) solely for the purposes of covering any over-allotments in connection with the distribution and sale of the Firm Units. Such Option Units shall, at the Representative’s election, be purchased for each account of the several Underwriters in the same proportion as the number of Firm Units set forth opposite such Underwriter’s name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(subject to adjustment by the Representative to</w:t>
      </w:r>
    </w:p>
    <w:p>
      <w:pPr>
        <w:sectPr>
          <w:pgSz w:w="11900" w:h="16840" w:orient="portrait"/>
          <w:cols w:equalWidth="0" w:num="1">
            <w:col w:w="9700"/>
          </w:cols>
          <w:pgMar w:left="1120" w:top="689" w:right="1080" w:bottom="1440" w:gutter="0" w:footer="0" w:header="0"/>
        </w:sectPr>
      </w:pPr>
    </w:p>
    <w:bookmarkStart w:id="271" w:name="page272"/>
    <w:bookmarkEnd w:id="271"/>
    <w:p>
      <w:pPr>
        <w:ind w:left="5" w:right="20"/>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6749415" cy="35560"/>
                    </a:xfrm>
                    <a:prstGeom prst="rect">
                      <a:avLst/>
                    </a:prstGeom>
                    <a:noFill/>
                  </pic:spPr>
                </pic:pic>
              </a:graphicData>
            </a:graphic>
          </wp:anchor>
        </w:drawing>
        <w:t>eliminate fractions). Such Option Units shall be identical in all respects to the Firm Units. The Firm Units and the Option Units are hereinafter collectively referred to as the “</w:t>
      </w:r>
      <w:r>
        <w:rPr>
          <w:rFonts w:ascii="Times New Roman" w:cs="Times New Roman" w:eastAsia="Times New Roman" w:hAnsi="Times New Roman"/>
          <w:sz w:val="15"/>
          <w:szCs w:val="15"/>
          <w:u w:val="single" w:color="auto"/>
          <w:color w:val="auto"/>
        </w:rPr>
        <w:t>Public Securities</w:t>
      </w:r>
      <w:r>
        <w:rPr>
          <w:rFonts w:ascii="Times New Roman" w:cs="Times New Roman" w:eastAsia="Times New Roman" w:hAnsi="Times New Roman"/>
          <w:sz w:val="15"/>
          <w:szCs w:val="15"/>
          <w:color w:val="auto"/>
        </w:rPr>
        <w:t>.” No Option Units shall be sold or delivered unless the Firm Units previously have been, or simultaneously are, sold and delivered. The right to purchase the Option Units, or any portion thereof, may be exercised from time to time and to the extent not previously exercised may be surrendered and terminated at any time upon notice by the Representative to the Company. The purchase price to be paid for each Option Unit (net of discounts and commissions) will be approximately $9.9924 per Option Unit ($32,975,000 in total for all of the Option Units, if the Over-Allotment Option is exercised in full).</w:t>
      </w:r>
    </w:p>
    <w:p>
      <w:pPr>
        <w:spacing w:after="0" w:line="160" w:lineRule="exact"/>
        <w:rPr>
          <w:sz w:val="20"/>
          <w:szCs w:val="20"/>
          <w:color w:val="auto"/>
        </w:rPr>
      </w:pPr>
    </w:p>
    <w:p>
      <w:pPr>
        <w:ind w:left="5" w:firstLine="865"/>
        <w:spacing w:after="0" w:line="251" w:lineRule="auto"/>
        <w:rPr>
          <w:sz w:val="20"/>
          <w:szCs w:val="20"/>
          <w:color w:val="auto"/>
        </w:rPr>
      </w:pPr>
      <w:r>
        <w:rPr>
          <w:rFonts w:ascii="Times New Roman" w:cs="Times New Roman" w:eastAsia="Times New Roman" w:hAnsi="Times New Roman"/>
          <w:sz w:val="15"/>
          <w:szCs w:val="15"/>
          <w:color w:val="auto"/>
        </w:rPr>
        <w:t xml:space="preserve">1.2.2 </w:t>
      </w:r>
      <w:r>
        <w:rPr>
          <w:rFonts w:ascii="Times New Roman" w:cs="Times New Roman" w:eastAsia="Times New Roman" w:hAnsi="Times New Roman"/>
          <w:sz w:val="15"/>
          <w:szCs w:val="15"/>
          <w:u w:val="single" w:color="auto"/>
          <w:color w:val="auto"/>
        </w:rPr>
        <w:t>Exercise of Option</w:t>
      </w:r>
      <w:r>
        <w:rPr>
          <w:rFonts w:ascii="Times New Roman" w:cs="Times New Roman" w:eastAsia="Times New Roman" w:hAnsi="Times New Roman"/>
          <w:sz w:val="15"/>
          <w:szCs w:val="15"/>
          <w:color w:val="auto"/>
        </w:rPr>
        <w:t xml:space="preserve">. The Over-Allotment Option may be exercised by the Representative, on behalf of the several Underwriters, as to all or any part of the Option Units at any time and from time to time within forty -five (45) days after the Effective Date (as defined in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below). The Representative will not be under any obligation to purchase any Option Units prior to the exercise of the Over -Allotment Option. The Over-Allotment Option may be exercised by oral notice from the Representative to the Company, which must be confirmed in accordance with the notice provisions of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xml:space="preserve"> herein, setting forth the number of Option Units to be purchased and the date and time for delivery of and payment for the Option Units, if other than the Closing Date, which date shall not be earlier than the Closing Date or later than ten (10) full Business Days after the date of the notice (the “</w:t>
      </w:r>
      <w:r>
        <w:rPr>
          <w:rFonts w:ascii="Times New Roman" w:cs="Times New Roman" w:eastAsia="Times New Roman" w:hAnsi="Times New Roman"/>
          <w:sz w:val="15"/>
          <w:szCs w:val="15"/>
          <w:u w:val="single" w:color="auto"/>
          <w:color w:val="auto"/>
        </w:rPr>
        <w:t>Option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Closing Date</w:t>
      </w:r>
      <w:r>
        <w:rPr>
          <w:rFonts w:ascii="Times New Roman" w:cs="Times New Roman" w:eastAsia="Times New Roman" w:hAnsi="Times New Roman"/>
          <w:sz w:val="15"/>
          <w:szCs w:val="15"/>
          <w:color w:val="auto"/>
        </w:rPr>
        <w:t xml:space="preserve">”), at the offices of D. Boral Capital LLC, or at such other time and place as shall be agreed upon by the Company and the Representative. Upon exercise of the Over- Allotment Option, the Company will become obligated to convey to the several Underwriters, and, subject to the terms and conditions set forth herein, the several Underwriters will become obligated to purchase, the number of Option Units specified in such notice in the same proportion as the number of Firm Units set forth opposite each Underwriter’s name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w:t>
      </w:r>
    </w:p>
    <w:p>
      <w:pPr>
        <w:spacing w:after="0" w:line="162" w:lineRule="exact"/>
        <w:rPr>
          <w:sz w:val="20"/>
          <w:szCs w:val="20"/>
          <w:color w:val="auto"/>
        </w:rPr>
      </w:pPr>
    </w:p>
    <w:p>
      <w:pPr>
        <w:ind w:left="5" w:right="40" w:firstLine="865"/>
        <w:spacing w:after="0" w:line="250" w:lineRule="auto"/>
        <w:rPr>
          <w:sz w:val="20"/>
          <w:szCs w:val="20"/>
          <w:color w:val="auto"/>
        </w:rPr>
      </w:pPr>
      <w:r>
        <w:rPr>
          <w:rFonts w:ascii="Times New Roman" w:cs="Times New Roman" w:eastAsia="Times New Roman" w:hAnsi="Times New Roman"/>
          <w:sz w:val="15"/>
          <w:szCs w:val="15"/>
          <w:color w:val="auto"/>
        </w:rPr>
        <w:t xml:space="preserve">1.2.3 </w:t>
      </w:r>
      <w:r>
        <w:rPr>
          <w:rFonts w:ascii="Times New Roman" w:cs="Times New Roman" w:eastAsia="Times New Roman" w:hAnsi="Times New Roman"/>
          <w:sz w:val="15"/>
          <w:szCs w:val="15"/>
          <w:u w:val="single" w:color="auto"/>
          <w:color w:val="auto"/>
        </w:rPr>
        <w:t>Payment and Delivery</w:t>
      </w:r>
      <w:r>
        <w:rPr>
          <w:rFonts w:ascii="Times New Roman" w:cs="Times New Roman" w:eastAsia="Times New Roman" w:hAnsi="Times New Roman"/>
          <w:sz w:val="15"/>
          <w:szCs w:val="15"/>
          <w:color w:val="auto"/>
        </w:rPr>
        <w:t>. Payment for the Option Units shall be made on the Option Closing Date at the Representative’s election by wire transfer in Federal (same day) funds or by certified or bank cashier’s check(s) in New York Clearing House funds, payable as follows: $10.00 per Option Unit shall be deposited in the Trust Account pursuant to the Trust Agreement upon delivery of certificates representing the Option Units (in form and substance satisfactory to the Representative), or through the facilities of DTC for the account of the Underwriters. The Option Units shall be registered in such names and in such authorized denominations as the Representative may request in writing at least one (1) Business Day prior to the Closing Date or the Option Closing Date, as the case may be. The Company will permit the Representative to examine and package the Option Units for delivery at least one</w:t>
      </w:r>
    </w:p>
    <w:p>
      <w:pPr>
        <w:spacing w:after="0" w:line="4" w:lineRule="exact"/>
        <w:rPr>
          <w:sz w:val="20"/>
          <w:szCs w:val="20"/>
          <w:color w:val="auto"/>
        </w:rPr>
      </w:pPr>
    </w:p>
    <w:p>
      <w:pPr>
        <w:ind w:left="385" w:right="3840" w:hanging="385"/>
        <w:spacing w:after="0" w:line="499" w:lineRule="auto"/>
        <w:tabs>
          <w:tab w:leader="none" w:pos="224"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full Business Day prior to the Closing Date or the Option Closing Date, as the case may be. Section 1.3 </w:t>
      </w:r>
      <w:r>
        <w:rPr>
          <w:rFonts w:ascii="Times New Roman" w:cs="Times New Roman" w:eastAsia="Times New Roman" w:hAnsi="Times New Roman"/>
          <w:sz w:val="15"/>
          <w:szCs w:val="15"/>
          <w:u w:val="single" w:color="auto"/>
          <w:color w:val="auto"/>
        </w:rPr>
        <w:t>[Reserved]</w:t>
      </w:r>
      <w:r>
        <w:rPr>
          <w:rFonts w:ascii="Times New Roman" w:cs="Times New Roman" w:eastAsia="Times New Roman" w:hAnsi="Times New Roman"/>
          <w:sz w:val="15"/>
          <w:szCs w:val="15"/>
          <w:color w:val="auto"/>
        </w:rPr>
        <w:t>.</w:t>
      </w:r>
    </w:p>
    <w:p>
      <w:pPr>
        <w:spacing w:after="0" w:line="1" w:lineRule="exact"/>
        <w:rPr>
          <w:rFonts w:ascii="Times New Roman" w:cs="Times New Roman" w:eastAsia="Times New Roman" w:hAnsi="Times New Roman"/>
          <w:sz w:val="15"/>
          <w:szCs w:val="15"/>
          <w:color w:val="auto"/>
        </w:rPr>
      </w:pPr>
    </w:p>
    <w:p>
      <w:pPr>
        <w:ind w:left="385"/>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u w:val="single" w:color="auto"/>
          <w:color w:val="auto"/>
        </w:rPr>
        <w:t>Private Placements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5"/>
          <w:szCs w:val="15"/>
          <w:color w:val="auto"/>
        </w:rPr>
        <w:t>1.4.1 In June 2025, upon the Company’s formation, one Class B ordinary share (the “</w:t>
      </w:r>
      <w:r>
        <w:rPr>
          <w:rFonts w:ascii="Times New Roman" w:cs="Times New Roman" w:eastAsia="Times New Roman" w:hAnsi="Times New Roman"/>
          <w:sz w:val="15"/>
          <w:szCs w:val="15"/>
          <w:u w:val="single" w:color="auto"/>
          <w:color w:val="auto"/>
        </w:rPr>
        <w:t>Original Share</w:t>
      </w:r>
      <w:r>
        <w:rPr>
          <w:rFonts w:ascii="Times New Roman" w:cs="Times New Roman" w:eastAsia="Times New Roman" w:hAnsi="Times New Roman"/>
          <w:sz w:val="15"/>
          <w:szCs w:val="15"/>
          <w:color w:val="auto"/>
        </w:rPr>
        <w:t>” and all Class B ordinary shares, the</w:t>
      </w:r>
    </w:p>
    <w:p>
      <w:pPr>
        <w:spacing w:after="0" w:line="2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 Ordinary Shares</w:t>
      </w:r>
      <w:r>
        <w:rPr>
          <w:rFonts w:ascii="Times New Roman" w:cs="Times New Roman" w:eastAsia="Times New Roman" w:hAnsi="Times New Roman"/>
          <w:sz w:val="15"/>
          <w:szCs w:val="15"/>
          <w:color w:val="auto"/>
        </w:rPr>
        <w:t>”) was allotted to Harneys Fiduciary (Cayman) Limited (“</w:t>
      </w:r>
      <w:r>
        <w:rPr>
          <w:rFonts w:ascii="Times New Roman" w:cs="Times New Roman" w:eastAsia="Times New Roman" w:hAnsi="Times New Roman"/>
          <w:sz w:val="15"/>
          <w:szCs w:val="15"/>
          <w:u w:val="single" w:color="auto"/>
          <w:color w:val="auto"/>
        </w:rPr>
        <w:t>Harneys Fiduciary</w:t>
      </w:r>
      <w:r>
        <w:rPr>
          <w:rFonts w:ascii="Times New Roman" w:cs="Times New Roman" w:eastAsia="Times New Roman" w:hAnsi="Times New Roman"/>
          <w:sz w:val="15"/>
          <w:szCs w:val="15"/>
          <w:color w:val="auto"/>
        </w:rPr>
        <w:t>”). On June 30, 2025, Harneys Fiduciary transferred</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the Original Share to GigAcquisitions8 Corp., a Cayman Islands exempted company (the “</w:t>
      </w:r>
      <w:r>
        <w:rPr>
          <w:rFonts w:ascii="Times New Roman" w:cs="Times New Roman" w:eastAsia="Times New Roman" w:hAnsi="Times New Roman"/>
          <w:sz w:val="15"/>
          <w:szCs w:val="15"/>
          <w:u w:val="single" w:color="auto"/>
          <w:color w:val="auto"/>
        </w:rPr>
        <w:t>Sponsor</w:t>
      </w:r>
      <w:r>
        <w:rPr>
          <w:rFonts w:ascii="Times New Roman" w:cs="Times New Roman" w:eastAsia="Times New Roman" w:hAnsi="Times New Roman"/>
          <w:sz w:val="15"/>
          <w:szCs w:val="15"/>
          <w:color w:val="auto"/>
        </w:rPr>
        <w:t>”), and the Sponsor purchased an additional 8,099,613</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Class B Ordinary Shares (such Class B Ordinary Shares together with the Original Share, the “</w:t>
      </w:r>
      <w:r>
        <w:rPr>
          <w:rFonts w:ascii="Times New Roman" w:cs="Times New Roman" w:eastAsia="Times New Roman" w:hAnsi="Times New Roman"/>
          <w:sz w:val="15"/>
          <w:szCs w:val="15"/>
          <w:u w:val="single" w:color="auto"/>
          <w:color w:val="auto"/>
        </w:rPr>
        <w:t>Founder Shares</w:t>
      </w:r>
      <w:r>
        <w:rPr>
          <w:rFonts w:ascii="Times New Roman" w:cs="Times New Roman" w:eastAsia="Times New Roman" w:hAnsi="Times New Roman"/>
          <w:sz w:val="15"/>
          <w:szCs w:val="15"/>
          <w:color w:val="auto"/>
        </w:rPr>
        <w:t>”)</w:t>
      </w:r>
    </w:p>
    <w:p>
      <w:pPr>
        <w:sectPr>
          <w:pgSz w:w="11900" w:h="16840" w:orient="portrait"/>
          <w:cols w:equalWidth="0" w:num="1">
            <w:col w:w="9685"/>
          </w:cols>
          <w:pgMar w:left="1115" w:top="689" w:right="1100" w:bottom="1440" w:gutter="0" w:footer="0" w:header="0"/>
        </w:sectPr>
      </w:pPr>
    </w:p>
    <w:bookmarkStart w:id="272" w:name="page273"/>
    <w:bookmarkEnd w:id="272"/>
    <w:p>
      <w:pPr>
        <w:spacing w:after="0" w:line="24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6749415" cy="35560"/>
                    </a:xfrm>
                    <a:prstGeom prst="rect">
                      <a:avLst/>
                    </a:prstGeom>
                    <a:noFill/>
                  </pic:spPr>
                </pic:pic>
              </a:graphicData>
            </a:graphic>
          </wp:anchor>
        </w:drawing>
        <w:t>from the Company for a purchase price of $0.0035 per share, for an aggregate purchase price of $25,000 in a private placement intended to be exempt from registration under Section 4(a)(2) of the Securities Act of 1933, as amended (the “</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On July 18, 2025, the Sponsor surrendered 249,385 Founder Shares to the Company for no consideration, resulting in 7,850,229 Founder Shares outstanding. No underwriting discounts, commissions or placement fees have been or will be payable in connection with the sale of the Founder Shares. In connection with the Offering, the Sponsor will sell 375,397 Founder Shares to certain of its independent directors (the “</w:t>
      </w:r>
      <w:r>
        <w:rPr>
          <w:rFonts w:ascii="Times New Roman" w:cs="Times New Roman" w:eastAsia="Times New Roman" w:hAnsi="Times New Roman"/>
          <w:sz w:val="15"/>
          <w:szCs w:val="15"/>
          <w:u w:val="single" w:color="auto"/>
          <w:color w:val="auto"/>
        </w:rPr>
        <w:t>Specified Independent Directors</w:t>
      </w:r>
      <w:r>
        <w:rPr>
          <w:rFonts w:ascii="Times New Roman" w:cs="Times New Roman" w:eastAsia="Times New Roman" w:hAnsi="Times New Roman"/>
          <w:sz w:val="15"/>
          <w:szCs w:val="15"/>
          <w:color w:val="auto"/>
        </w:rPr>
        <w:t>”), for an aggregate purchase price of $ 9,244, and 1,416,665 Founder Shares to Lynrock Lake Master Fund LP (“Lynrock”) for an aggregate purchase price of $13,130, reducing the number of Founder Shares held by the Sponsor to 6,058,167, and the amount paid by the Sponsor for each such Founder Share to $0.000433. Separately, prior to the consummation of the Offering, the Sponsor will transfer 5,000 Founder Shares to the Chief Financial Officer of the Company solely in consideration of future services. In addition, in connection with the Offering, the Company will sell 2,964,203 Class B Ordinary Shares (the “</w:t>
      </w:r>
      <w:r>
        <w:rPr>
          <w:rFonts w:ascii="Times New Roman" w:cs="Times New Roman" w:eastAsia="Times New Roman" w:hAnsi="Times New Roman"/>
          <w:sz w:val="15"/>
          <w:szCs w:val="15"/>
          <w:u w:val="single" w:color="auto"/>
          <w:color w:val="auto"/>
        </w:rPr>
        <w:t>Private Investor Shares</w:t>
      </w:r>
      <w:r>
        <w:rPr>
          <w:rFonts w:ascii="Times New Roman" w:cs="Times New Roman" w:eastAsia="Times New Roman" w:hAnsi="Times New Roman"/>
          <w:sz w:val="15"/>
          <w:szCs w:val="15"/>
          <w:color w:val="auto"/>
        </w:rPr>
        <w:t>”) to eight groups of institutional investors (the “</w:t>
      </w:r>
      <w:r>
        <w:rPr>
          <w:rFonts w:ascii="Times New Roman" w:cs="Times New Roman" w:eastAsia="Times New Roman" w:hAnsi="Times New Roman"/>
          <w:sz w:val="15"/>
          <w:szCs w:val="15"/>
          <w:u w:val="single" w:color="auto"/>
          <w:color w:val="auto"/>
        </w:rPr>
        <w:t>Non-Managing Investors</w:t>
      </w:r>
      <w:r>
        <w:rPr>
          <w:rFonts w:ascii="Times New Roman" w:cs="Times New Roman" w:eastAsia="Times New Roman" w:hAnsi="Times New Roman"/>
          <w:sz w:val="15"/>
          <w:szCs w:val="15"/>
          <w:color w:val="auto"/>
        </w:rPr>
        <w:t>”) at a price of $0.023254 per Private Investor Share in a private placement intended to be exempt from registration under the Act (the “</w:t>
      </w:r>
      <w:r>
        <w:rPr>
          <w:rFonts w:ascii="Times New Roman" w:cs="Times New Roman" w:eastAsia="Times New Roman" w:hAnsi="Times New Roman"/>
          <w:sz w:val="15"/>
          <w:szCs w:val="15"/>
          <w:u w:val="single" w:color="auto"/>
          <w:color w:val="auto"/>
        </w:rPr>
        <w:t>Private Investor Shares Private Placement</w:t>
      </w:r>
      <w:r>
        <w:rPr>
          <w:rFonts w:ascii="Times New Roman" w:cs="Times New Roman" w:eastAsia="Times New Roman" w:hAnsi="Times New Roman"/>
          <w:sz w:val="15"/>
          <w:szCs w:val="15"/>
          <w:color w:val="auto"/>
        </w:rPr>
        <w:t>”). The Founder Shares and the Private Investor Shares shall be subject to restrictions on transfer as set forth in the Registration Statement. Holders of the Founder Shares and the Private Investor Shares shall have no right to any liquidation distributions with respect to any portion of the Founder Shares in the event the Company fails to consummate any proposed initial merger, amalgamation, share exchange, asset acquisition, share purchase, reorganization or similar business combination with one or more businesses (the “</w:t>
      </w:r>
      <w:r>
        <w:rPr>
          <w:rFonts w:ascii="Times New Roman" w:cs="Times New Roman" w:eastAsia="Times New Roman" w:hAnsi="Times New Roman"/>
          <w:sz w:val="15"/>
          <w:szCs w:val="15"/>
          <w:u w:val="single" w:color="auto"/>
          <w:color w:val="auto"/>
        </w:rPr>
        <w:t>Business Combination</w:t>
      </w:r>
      <w:r>
        <w:rPr>
          <w:rFonts w:ascii="Times New Roman" w:cs="Times New Roman" w:eastAsia="Times New Roman" w:hAnsi="Times New Roman"/>
          <w:sz w:val="15"/>
          <w:szCs w:val="15"/>
          <w:color w:val="auto"/>
        </w:rPr>
        <w:t>”) within the required time period except with respect to any funds held outside of the Trust Account remaining after payment of all fees and expenses. Holders of the Founder Shares and the Private Investor Shares shall not have redemption rights with respect to the Founder Shares or the Private Investor Shares nor shall they be entitled to sell such Founder Shares or Private Investor Shares to the Company in any tender offer in connection with a proposed Business Combination. Up to 1,023,943 Founder Shares and 386,681 Private Investor Shares are subject to forfeiture depending on the extent to which the Over-Allotment Option is exercised.</w:t>
      </w:r>
    </w:p>
    <w:p>
      <w:pPr>
        <w:spacing w:after="0" w:line="344" w:lineRule="exact"/>
        <w:rPr>
          <w:sz w:val="20"/>
          <w:szCs w:val="20"/>
          <w:color w:val="auto"/>
        </w:rPr>
      </w:pPr>
    </w:p>
    <w:p>
      <w:pPr>
        <w:ind w:right="60" w:firstLine="865"/>
        <w:spacing w:after="0" w:line="250" w:lineRule="auto"/>
        <w:rPr>
          <w:sz w:val="20"/>
          <w:szCs w:val="20"/>
          <w:color w:val="auto"/>
        </w:rPr>
      </w:pPr>
      <w:r>
        <w:rPr>
          <w:rFonts w:ascii="Times New Roman" w:cs="Times New Roman" w:eastAsia="Times New Roman" w:hAnsi="Times New Roman"/>
          <w:sz w:val="15"/>
          <w:szCs w:val="15"/>
          <w:color w:val="auto"/>
        </w:rPr>
        <w:t xml:space="preserve">1.4.2 Simultaneously with the closing of the Offering, the Sponsor, the Specified Independent Directors and Lynrock will purchase from the Company, pursuant to the </w:t>
      </w:r>
      <w:r>
        <w:rPr>
          <w:rFonts w:ascii="Times New Roman" w:cs="Times New Roman" w:eastAsia="Times New Roman" w:hAnsi="Times New Roman"/>
          <w:sz w:val="15"/>
          <w:szCs w:val="15"/>
          <w:u w:val="single" w:color="auto"/>
          <w:color w:val="auto"/>
        </w:rPr>
        <w:t>Sponsor Private Placement Securities Purchase Agreement</w:t>
      </w:r>
      <w:r>
        <w:rPr>
          <w:rFonts w:ascii="Times New Roman" w:cs="Times New Roman" w:eastAsia="Times New Roman" w:hAnsi="Times New Roman"/>
          <w:sz w:val="15"/>
          <w:szCs w:val="15"/>
          <w:color w:val="auto"/>
        </w:rPr>
        <w:t xml:space="preserve"> (as defined in Section 2.24.2 below), in a private placement (the “</w:t>
      </w:r>
      <w:r>
        <w:rPr>
          <w:rFonts w:ascii="Times New Roman" w:cs="Times New Roman" w:eastAsia="Times New Roman" w:hAnsi="Times New Roman"/>
          <w:sz w:val="15"/>
          <w:szCs w:val="15"/>
          <w:u w:val="single" w:color="auto"/>
          <w:color w:val="auto"/>
        </w:rPr>
        <w:t>Sponsor Private Placement</w:t>
      </w:r>
      <w:r>
        <w:rPr>
          <w:rFonts w:ascii="Times New Roman" w:cs="Times New Roman" w:eastAsia="Times New Roman" w:hAnsi="Times New Roman"/>
          <w:sz w:val="15"/>
          <w:szCs w:val="15"/>
          <w:color w:val="auto"/>
        </w:rPr>
        <w:t>”) intended to be exempt from registration under the Act, at an aggregate purchase price equal to $927,000, a total of 95,200 private placement units of the Company (the “</w:t>
      </w:r>
      <w:r>
        <w:rPr>
          <w:rFonts w:ascii="Times New Roman" w:cs="Times New Roman" w:eastAsia="Times New Roman" w:hAnsi="Times New Roman"/>
          <w:sz w:val="15"/>
          <w:szCs w:val="15"/>
          <w:u w:val="single" w:color="auto"/>
          <w:color w:val="auto"/>
        </w:rPr>
        <w:t>Private Placement Units</w:t>
      </w:r>
      <w:r>
        <w:rPr>
          <w:rFonts w:ascii="Times New Roman" w:cs="Times New Roman" w:eastAsia="Times New Roman" w:hAnsi="Times New Roman"/>
          <w:sz w:val="15"/>
          <w:szCs w:val="15"/>
          <w:color w:val="auto"/>
        </w:rPr>
        <w:t>”), at a price equal to $9.7374 per Private Placement Unit. Each Private Placement Unit consists of (a) one Class A Ordinary Share (the “</w:t>
      </w:r>
      <w:r>
        <w:rPr>
          <w:rFonts w:ascii="Times New Roman" w:cs="Times New Roman" w:eastAsia="Times New Roman" w:hAnsi="Times New Roman"/>
          <w:sz w:val="15"/>
          <w:szCs w:val="15"/>
          <w:u w:val="single" w:color="auto"/>
          <w:color w:val="auto"/>
        </w:rPr>
        <w:t>Private Placement Shares</w:t>
      </w:r>
      <w:r>
        <w:rPr>
          <w:rFonts w:ascii="Times New Roman" w:cs="Times New Roman" w:eastAsia="Times New Roman" w:hAnsi="Times New Roman"/>
          <w:sz w:val="15"/>
          <w:szCs w:val="15"/>
          <w:color w:val="auto"/>
        </w:rPr>
        <w:t>”), and (b) one right (the “</w:t>
      </w:r>
      <w:r>
        <w:rPr>
          <w:rFonts w:ascii="Times New Roman" w:cs="Times New Roman" w:eastAsia="Times New Roman" w:hAnsi="Times New Roman"/>
          <w:sz w:val="15"/>
          <w:szCs w:val="15"/>
          <w:u w:val="single" w:color="auto"/>
          <w:color w:val="auto"/>
        </w:rPr>
        <w:t>Private Placement Rights</w:t>
      </w:r>
      <w:r>
        <w:rPr>
          <w:rFonts w:ascii="Times New Roman" w:cs="Times New Roman" w:eastAsia="Times New Roman" w:hAnsi="Times New Roman"/>
          <w:sz w:val="15"/>
          <w:szCs w:val="15"/>
          <w:color w:val="auto"/>
        </w:rPr>
        <w:t>”), entitling the holder to receive one-tenth (1/10) of one Class A Ordinary Share upon the consummation of the initial Business Combination. Simultaneously with the closing of the Offering, the Non- Managing Investors shall purchase from the Company in a private placement intended to be exempt from registration under the Act (the “</w:t>
      </w:r>
      <w:r>
        <w:rPr>
          <w:rFonts w:ascii="Times New Roman" w:cs="Times New Roman" w:eastAsia="Times New Roman" w:hAnsi="Times New Roman"/>
          <w:sz w:val="15"/>
          <w:szCs w:val="15"/>
          <w:u w:val="single" w:color="auto"/>
          <w:color w:val="auto"/>
        </w:rPr>
        <w:t>Private Investors Private Placement Units Placement</w:t>
      </w:r>
      <w:r>
        <w:rPr>
          <w:rFonts w:ascii="Times New Roman" w:cs="Times New Roman" w:eastAsia="Times New Roman" w:hAnsi="Times New Roman"/>
          <w:sz w:val="15"/>
          <w:szCs w:val="15"/>
          <w:color w:val="auto"/>
        </w:rPr>
        <w:t>” and, together with the Sponsor Private Placement and the Private Investor Shares Private Placement, the “</w:t>
      </w:r>
      <w:r>
        <w:rPr>
          <w:rFonts w:ascii="Times New Roman" w:cs="Times New Roman" w:eastAsia="Times New Roman" w:hAnsi="Times New Roman"/>
          <w:sz w:val="15"/>
          <w:szCs w:val="15"/>
          <w:u w:val="single" w:color="auto"/>
          <w:color w:val="auto"/>
        </w:rPr>
        <w:t>Private Placements</w:t>
      </w:r>
      <w:r>
        <w:rPr>
          <w:rFonts w:ascii="Times New Roman" w:cs="Times New Roman" w:eastAsia="Times New Roman" w:hAnsi="Times New Roman"/>
          <w:sz w:val="15"/>
          <w:szCs w:val="15"/>
          <w:color w:val="auto"/>
        </w:rPr>
        <w:t>”), 242,475 Private Placement Units, at a price of $ 9.7374 per Private Placement Unit. No underwriting discounts, commissions or placement fees have been or will be payable in connection with the Private Placements. The Company shall cause to be deposited an amount of additional proceeds from the sale of the Private Placement Units into the Trust Account such that the amount of funds in the Trust Account shall be $10.00 per Public Share sold in the Offering.</w:t>
      </w:r>
    </w:p>
    <w:p>
      <w:pPr>
        <w:sectPr>
          <w:pgSz w:w="11900" w:h="16840" w:orient="portrait"/>
          <w:cols w:equalWidth="0" w:num="1">
            <w:col w:w="9660"/>
          </w:cols>
          <w:pgMar w:left="1120" w:top="689" w:right="1120" w:bottom="1440" w:gutter="0" w:footer="0" w:header="0"/>
        </w:sectPr>
      </w:pPr>
    </w:p>
    <w:bookmarkStart w:id="273" w:name="page274"/>
    <w:bookmarkEnd w:id="273"/>
    <w:p>
      <w:pPr>
        <w:ind w:firstLine="865"/>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6749415" cy="35560"/>
                    </a:xfrm>
                    <a:prstGeom prst="rect">
                      <a:avLst/>
                    </a:prstGeom>
                    <a:noFill/>
                  </pic:spPr>
                </pic:pic>
              </a:graphicData>
            </a:graphic>
          </wp:anchor>
        </w:drawing>
        <w:t>1.4.3 The amount of the proceeds of the sale of the Private Placement Securities, together with the proceeds of the Offering, shall be used to maintain the amount in trust at $10.00 per Firm Unit sold in the Offering. Additionally, the Sponsor agrees that if the Over -Allotment Option is exercised, all of the proceeds of such Over-Allotment Option will be deposited into the Trust Account such that the amount in trust shall be equal to $10.00 per Class A Ordinary Share sold to the public in the Offering, including as a result of the exercise of the Over-Allotment Option.</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1.5 </w:t>
      </w:r>
      <w:r>
        <w:rPr>
          <w:rFonts w:ascii="Times New Roman" w:cs="Times New Roman" w:eastAsia="Times New Roman" w:hAnsi="Times New Roman"/>
          <w:sz w:val="15"/>
          <w:szCs w:val="15"/>
          <w:u w:val="single" w:color="auto"/>
          <w:color w:val="auto"/>
        </w:rPr>
        <w:t>Trust Account Proceeds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40" w:firstLine="865"/>
        <w:spacing w:after="0" w:line="259" w:lineRule="auto"/>
        <w:rPr>
          <w:sz w:val="20"/>
          <w:szCs w:val="20"/>
          <w:color w:val="auto"/>
        </w:rPr>
      </w:pPr>
      <w:r>
        <w:rPr>
          <w:rFonts w:ascii="Times New Roman" w:cs="Times New Roman" w:eastAsia="Times New Roman" w:hAnsi="Times New Roman"/>
          <w:sz w:val="15"/>
          <w:szCs w:val="15"/>
          <w:color w:val="auto"/>
        </w:rPr>
        <w:t xml:space="preserve">1.5.1 </w:t>
      </w:r>
      <w:r>
        <w:rPr>
          <w:rFonts w:ascii="Times New Roman" w:cs="Times New Roman" w:eastAsia="Times New Roman" w:hAnsi="Times New Roman"/>
          <w:sz w:val="15"/>
          <w:szCs w:val="15"/>
          <w:u w:val="single" w:color="auto"/>
          <w:color w:val="auto"/>
        </w:rPr>
        <w:t>Working Capital</w:t>
      </w:r>
      <w:r>
        <w:rPr>
          <w:rFonts w:ascii="Times New Roman" w:cs="Times New Roman" w:eastAsia="Times New Roman" w:hAnsi="Times New Roman"/>
          <w:sz w:val="15"/>
          <w:szCs w:val="15"/>
          <w:color w:val="auto"/>
        </w:rPr>
        <w:t>. Upon consummation of the Offering, approximately $1,400,000 ($1,507,000 if the Over -Allotment Option is exercised in full) of the net proceeds from the sale of the Private Placement Securities shall be released to the Company, which together with $ 25,000 paid to the Company by the Sponsor for the purchase of Founder Shares, shall result in a total of $1,425,000 ($1,532,000 if the Over-Allotment Option is exercised in full) to fund the working capital requirements of the Company.</w:t>
      </w:r>
    </w:p>
    <w:p>
      <w:pPr>
        <w:spacing w:after="0" w:line="156" w:lineRule="exact"/>
        <w:rPr>
          <w:sz w:val="20"/>
          <w:szCs w:val="20"/>
          <w:color w:val="auto"/>
        </w:rPr>
      </w:pPr>
    </w:p>
    <w:p>
      <w:pPr>
        <w:ind w:right="100" w:firstLine="865"/>
        <w:spacing w:after="0" w:line="274" w:lineRule="auto"/>
        <w:rPr>
          <w:sz w:val="20"/>
          <w:szCs w:val="20"/>
          <w:color w:val="auto"/>
        </w:rPr>
      </w:pPr>
      <w:r>
        <w:rPr>
          <w:rFonts w:ascii="Times New Roman" w:cs="Times New Roman" w:eastAsia="Times New Roman" w:hAnsi="Times New Roman"/>
          <w:sz w:val="15"/>
          <w:szCs w:val="15"/>
          <w:color w:val="auto"/>
        </w:rPr>
        <w:t xml:space="preserve">1.5.2 </w:t>
      </w:r>
      <w:r>
        <w:rPr>
          <w:rFonts w:ascii="Times New Roman" w:cs="Times New Roman" w:eastAsia="Times New Roman" w:hAnsi="Times New Roman"/>
          <w:sz w:val="15"/>
          <w:szCs w:val="15"/>
          <w:u w:val="single" w:color="auto"/>
          <w:color w:val="auto"/>
        </w:rPr>
        <w:t>Trust Account Proceeds</w:t>
      </w:r>
      <w:r>
        <w:rPr>
          <w:rFonts w:ascii="Times New Roman" w:cs="Times New Roman" w:eastAsia="Times New Roman" w:hAnsi="Times New Roman"/>
          <w:sz w:val="15"/>
          <w:szCs w:val="15"/>
          <w:color w:val="auto"/>
        </w:rPr>
        <w:t>. Interest income on funds held in the Trust Account may be released to the Company from the Trust Account in accordance with the terms of the Trust Agreement to pay any taxes incurred by the Company, all as more fully described in the Prospectus (as defined below).</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REPRESENTATIONS AND WARRANTIES OF THE COMPANY</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Company represents and warrants to the Underwriters as of the date hereof as follows:</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2.1 </w:t>
      </w:r>
      <w:r>
        <w:rPr>
          <w:rFonts w:ascii="Times New Roman" w:cs="Times New Roman" w:eastAsia="Times New Roman" w:hAnsi="Times New Roman"/>
          <w:sz w:val="15"/>
          <w:szCs w:val="15"/>
          <w:u w:val="single" w:color="auto"/>
          <w:color w:val="auto"/>
        </w:rPr>
        <w:t>Filing of Registration Statement</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20" w:firstLine="865"/>
        <w:spacing w:after="0" w:line="250" w:lineRule="auto"/>
        <w:rPr>
          <w:sz w:val="20"/>
          <w:szCs w:val="20"/>
          <w:color w:val="auto"/>
        </w:rPr>
      </w:pPr>
      <w:r>
        <w:rPr>
          <w:rFonts w:ascii="Times New Roman" w:cs="Times New Roman" w:eastAsia="Times New Roman" w:hAnsi="Times New Roman"/>
          <w:sz w:val="15"/>
          <w:szCs w:val="15"/>
          <w:color w:val="auto"/>
        </w:rPr>
        <w:t xml:space="preserve">2.1.1 </w:t>
      </w:r>
      <w:r>
        <w:rPr>
          <w:rFonts w:ascii="Times New Roman" w:cs="Times New Roman" w:eastAsia="Times New Roman" w:hAnsi="Times New Roman"/>
          <w:sz w:val="15"/>
          <w:szCs w:val="15"/>
          <w:u w:val="single" w:color="auto"/>
          <w:color w:val="auto"/>
        </w:rPr>
        <w:t>Pursuant to the Act</w:t>
      </w:r>
      <w:r>
        <w:rPr>
          <w:rFonts w:ascii="Times New Roman" w:cs="Times New Roman" w:eastAsia="Times New Roman" w:hAnsi="Times New Roman"/>
          <w:sz w:val="15"/>
          <w:szCs w:val="15"/>
          <w:color w:val="auto"/>
        </w:rPr>
        <w:t>. The Company has filed with the Commission a registration statement and any amendments thereto, on FormS-1 (File No. 333-289479), including any related preliminary prospectus (the “</w:t>
      </w:r>
      <w:r>
        <w:rPr>
          <w:rFonts w:ascii="Times New Roman" w:cs="Times New Roman" w:eastAsia="Times New Roman" w:hAnsi="Times New Roman"/>
          <w:sz w:val="15"/>
          <w:szCs w:val="15"/>
          <w:u w:val="single" w:color="auto"/>
          <w:color w:val="auto"/>
        </w:rPr>
        <w:t>Preliminary Prospectus</w:t>
      </w:r>
      <w:r>
        <w:rPr>
          <w:rFonts w:ascii="Times New Roman" w:cs="Times New Roman" w:eastAsia="Times New Roman" w:hAnsi="Times New Roman"/>
          <w:sz w:val="15"/>
          <w:szCs w:val="15"/>
          <w:color w:val="auto"/>
        </w:rPr>
        <w:t>”, including any prospectus that is included in the registration statement immediately prior to the effectiveness of the registration statement, for the registration of the Public Securities under the Act, which registration statement and amendment or amendments have been prepared by the Company in conformity with the requirements of the Act, and the rules and regulations (the “</w:t>
      </w:r>
      <w:r>
        <w:rPr>
          <w:rFonts w:ascii="Times New Roman" w:cs="Times New Roman" w:eastAsia="Times New Roman" w:hAnsi="Times New Roman"/>
          <w:sz w:val="15"/>
          <w:szCs w:val="15"/>
          <w:u w:val="single" w:color="auto"/>
          <w:color w:val="auto"/>
        </w:rPr>
        <w:t>Regulations</w:t>
      </w:r>
      <w:r>
        <w:rPr>
          <w:rFonts w:ascii="Times New Roman" w:cs="Times New Roman" w:eastAsia="Times New Roman" w:hAnsi="Times New Roman"/>
          <w:sz w:val="15"/>
          <w:szCs w:val="15"/>
          <w:color w:val="auto"/>
        </w:rPr>
        <w:t>”) of the Commission under the Act. Except as the context may otherwise require, such registration statement, as amended, on file with the Commission and effective as of the date hereof (the “</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including the prospectus, financial statements, schedules, exhibits, and all other documents filed as a part thereof or incorporated therein and all information deemed to be a part thereof as of such time pursuant to Rule 430A of the Regulations, together with the registration statement filed by the Company pursuant to Rule 462(b) under the Act, if any, registering additional Public Securities (the “</w:t>
      </w:r>
      <w:r>
        <w:rPr>
          <w:rFonts w:ascii="Times New Roman" w:cs="Times New Roman" w:eastAsia="Times New Roman" w:hAnsi="Times New Roman"/>
          <w:sz w:val="15"/>
          <w:szCs w:val="15"/>
          <w:u w:val="single" w:color="auto"/>
          <w:color w:val="auto"/>
        </w:rPr>
        <w:t>Rule 462(b) Registration Statement</w:t>
      </w:r>
      <w:r>
        <w:rPr>
          <w:rFonts w:ascii="Times New Roman" w:cs="Times New Roman" w:eastAsia="Times New Roman" w:hAnsi="Times New Roman"/>
          <w:sz w:val="15"/>
          <w:szCs w:val="15"/>
          <w:color w:val="auto"/>
        </w:rPr>
        <w:t>”), is hereinafter called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provided, that any references herein to the Registration Statement at any given time shall mean such registration statement, as amended, on file with the Commission at such time, including the prospectus, financial statements, schedules, exhibits, and all other documents filed as a part thereof or incorporated therein and all information deemed to be a part thereof as of such time pursuant to Rule 430A of the Regulations, and the form of the final prospectus dated the Effective Date</w:t>
      </w:r>
    </w:p>
    <w:p>
      <w:pPr>
        <w:sectPr>
          <w:pgSz w:w="11900" w:h="16840" w:orient="portrait"/>
          <w:cols w:equalWidth="0" w:num="1">
            <w:col w:w="9680"/>
          </w:cols>
          <w:pgMar w:left="1120" w:top="689" w:right="1100" w:bottom="1440" w:gutter="0" w:footer="0" w:header="0"/>
        </w:sectPr>
      </w:pPr>
    </w:p>
    <w:bookmarkStart w:id="274" w:name="page275"/>
    <w:bookmarkEnd w:id="274"/>
    <w:p>
      <w:pPr>
        <w:spacing w:after="0" w:line="25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 </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For purposes of this Agreement, “</w:t>
      </w:r>
      <w:r>
        <w:rPr>
          <w:rFonts w:ascii="Times New Roman" w:cs="Times New Roman" w:eastAsia="Times New Roman" w:hAnsi="Times New Roman"/>
          <w:sz w:val="15"/>
          <w:szCs w:val="15"/>
          <w:u w:val="single" w:color="auto"/>
          <w:color w:val="auto"/>
        </w:rPr>
        <w:t>Time of Sale</w:t>
      </w:r>
      <w:r>
        <w:rPr>
          <w:rFonts w:ascii="Times New Roman" w:cs="Times New Roman" w:eastAsia="Times New Roman" w:hAnsi="Times New Roman"/>
          <w:sz w:val="15"/>
          <w:szCs w:val="15"/>
          <w:color w:val="auto"/>
        </w:rPr>
        <w:t>,” as used in the Act, means 4:35 p.m., New York time, on the date of this Agreement. Prior to the Time of Sale, the Company prepared a preliminary prospectus, dated September [25], 2025, for distribution by the Underwriters (the “</w:t>
      </w:r>
      <w:r>
        <w:rPr>
          <w:rFonts w:ascii="Times New Roman" w:cs="Times New Roman" w:eastAsia="Times New Roman" w:hAnsi="Times New Roman"/>
          <w:sz w:val="15"/>
          <w:szCs w:val="15"/>
          <w:u w:val="single" w:color="auto"/>
          <w:color w:val="auto"/>
        </w:rPr>
        <w:t>Statutory Prospectus</w:t>
      </w:r>
      <w:r>
        <w:rPr>
          <w:rFonts w:ascii="Times New Roman" w:cs="Times New Roman" w:eastAsia="Times New Roman" w:hAnsi="Times New Roman"/>
          <w:sz w:val="15"/>
          <w:szCs w:val="15"/>
          <w:color w:val="auto"/>
        </w:rPr>
        <w:t>” and, together with the information included on Schedule B hereto, the “</w:t>
      </w:r>
      <w:r>
        <w:rPr>
          <w:rFonts w:ascii="Times New Roman" w:cs="Times New Roman" w:eastAsia="Times New Roman" w:hAnsi="Times New Roman"/>
          <w:sz w:val="15"/>
          <w:szCs w:val="15"/>
          <w:u w:val="single" w:color="auto"/>
          <w:color w:val="auto"/>
        </w:rPr>
        <w:t>General Disclosure Package</w:t>
      </w:r>
      <w:r>
        <w:rPr>
          <w:rFonts w:ascii="Times New Roman" w:cs="Times New Roman" w:eastAsia="Times New Roman" w:hAnsi="Times New Roman"/>
          <w:sz w:val="15"/>
          <w:szCs w:val="15"/>
          <w:color w:val="auto"/>
        </w:rPr>
        <w:t>”). Other than the Registration Statement, together with any correspondence letters between the Company and/or counsel for the Company and the Commission, no other document with respect to the Registration Statement has been filed under the Act with the Commission. All of the Public Securities have been or will be registered under the Act pursuant to the Registration Statement. The Registration Statement has been declared effective by the Commission at 9:00 a.m., New York time, on [ • ], 2025. If, subsequent to the date of this Agreement, the Company or the Representative determines that at the Time of Sale, the General Disclosure Package included an untrue statement of a material fact or omitted a statement of material fact necessary to make the statements therein, in light of the circumstances under which they were made, not misleading and agrees to provide an opportunity to purchasers of the Firm Units to terminate their old purchase contracts and enter into new purchase contracts, then the General Disclosure Package will be deemed to include any additional information available to purchasers at the time of entry into the first such new purchase contract.</w:t>
      </w:r>
    </w:p>
    <w:p>
      <w:pPr>
        <w:spacing w:after="0" w:line="163" w:lineRule="exact"/>
        <w:rPr>
          <w:sz w:val="20"/>
          <w:szCs w:val="20"/>
          <w:color w:val="auto"/>
        </w:rPr>
      </w:pPr>
    </w:p>
    <w:p>
      <w:pPr>
        <w:ind w:right="160" w:firstLine="865"/>
        <w:spacing w:after="0" w:line="259" w:lineRule="auto"/>
        <w:rPr>
          <w:sz w:val="20"/>
          <w:szCs w:val="20"/>
          <w:color w:val="auto"/>
        </w:rPr>
      </w:pPr>
      <w:r>
        <w:rPr>
          <w:rFonts w:ascii="Times New Roman" w:cs="Times New Roman" w:eastAsia="Times New Roman" w:hAnsi="Times New Roman"/>
          <w:sz w:val="15"/>
          <w:szCs w:val="15"/>
          <w:color w:val="auto"/>
        </w:rPr>
        <w:t xml:space="preserve">2. 1.2 </w:t>
      </w:r>
      <w:r>
        <w:rPr>
          <w:rFonts w:ascii="Times New Roman" w:cs="Times New Roman" w:eastAsia="Times New Roman" w:hAnsi="Times New Roman"/>
          <w:sz w:val="15"/>
          <w:szCs w:val="15"/>
          <w:u w:val="single" w:color="auto"/>
          <w:color w:val="auto"/>
        </w:rPr>
        <w:t>Pursuant to the Exchange Act</w:t>
      </w:r>
      <w:r>
        <w:rPr>
          <w:rFonts w:ascii="Times New Roman" w:cs="Times New Roman" w:eastAsia="Times New Roman" w:hAnsi="Times New Roman"/>
          <w:sz w:val="15"/>
          <w:szCs w:val="15"/>
          <w:color w:val="auto"/>
        </w:rPr>
        <w:t>. The Company has filed with the Commission a Registration Statement on Form 8-A, as amended (File Number 001-[ • ]), providing for the registration under the Securities Exchange Act of 1934, as amended (the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of the Public Securities, Public Shares, and Rights. The registration of the Public Securities, Public Shares, and Rights under the Exchange Act has been declared effective by the Commission on or prior to the date hereof.</w:t>
      </w:r>
    </w:p>
    <w:p>
      <w:pPr>
        <w:spacing w:after="0" w:line="156" w:lineRule="exact"/>
        <w:rPr>
          <w:sz w:val="20"/>
          <w:szCs w:val="20"/>
          <w:color w:val="auto"/>
        </w:rPr>
      </w:pPr>
    </w:p>
    <w:p>
      <w:pPr>
        <w:jc w:val="both"/>
        <w:ind w:right="8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2.2 </w:t>
      </w:r>
      <w:r>
        <w:rPr>
          <w:rFonts w:ascii="Times New Roman" w:cs="Times New Roman" w:eastAsia="Times New Roman" w:hAnsi="Times New Roman"/>
          <w:sz w:val="15"/>
          <w:szCs w:val="15"/>
          <w:u w:val="single" w:color="auto"/>
          <w:color w:val="auto"/>
        </w:rPr>
        <w:t>No Stop Orders, etc</w:t>
      </w:r>
      <w:r>
        <w:rPr>
          <w:rFonts w:ascii="Times New Roman" w:cs="Times New Roman" w:eastAsia="Times New Roman" w:hAnsi="Times New Roman"/>
          <w:sz w:val="15"/>
          <w:szCs w:val="15"/>
          <w:color w:val="auto"/>
        </w:rPr>
        <w:t>. Neither the Commission nor, to the Company’s knowledge, any foreign or state regulatory authority has issued any order or threatened to issue any order preventing or suspending the use of any Statutory Prospectus or the Prospectus or has instituted or, to the best of the Company’s knowledge, threatened to institute any proceedings with respect to such an order.</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u w:val="single" w:color="auto"/>
          <w:color w:val="auto"/>
        </w:rPr>
        <w:t>Disclosures in Registration Statement</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firstLine="865"/>
        <w:spacing w:after="0" w:line="252" w:lineRule="auto"/>
        <w:rPr>
          <w:sz w:val="20"/>
          <w:szCs w:val="20"/>
          <w:color w:val="auto"/>
        </w:rPr>
      </w:pPr>
      <w:r>
        <w:rPr>
          <w:rFonts w:ascii="Times New Roman" w:cs="Times New Roman" w:eastAsia="Times New Roman" w:hAnsi="Times New Roman"/>
          <w:sz w:val="15"/>
          <w:szCs w:val="15"/>
          <w:color w:val="auto"/>
        </w:rPr>
        <w:t xml:space="preserve">2.3.1 </w:t>
      </w:r>
      <w:r>
        <w:rPr>
          <w:rFonts w:ascii="Times New Roman" w:cs="Times New Roman" w:eastAsia="Times New Roman" w:hAnsi="Times New Roman"/>
          <w:sz w:val="15"/>
          <w:szCs w:val="15"/>
          <w:u w:val="single" w:color="auto"/>
          <w:color w:val="auto"/>
        </w:rPr>
        <w:t>10b-5 Representation</w:t>
      </w:r>
      <w:r>
        <w:rPr>
          <w:rFonts w:ascii="Times New Roman" w:cs="Times New Roman" w:eastAsia="Times New Roman" w:hAnsi="Times New Roman"/>
          <w:sz w:val="15"/>
          <w:szCs w:val="15"/>
          <w:color w:val="auto"/>
        </w:rPr>
        <w:t>. At the Effective Date (or at the effective time of any post-effective amendment to the Registration Statement subsequent to the Effective Date) and at all times subsequent thereto up to the Closing Date, the Registration Statement, the Statutory Prospectus, and the Prospectus contained or will contain all material statements that are required to be stated therein in accordance with the Act and the Regulations, and did or will, in all material respects, conform to the requirements of the Act and the Regulations. At the Effective Date and at the Time of Sale, the Registration Statement did not, and on the Closing Date it will not, contain any untrue statement of a material fact or omit to state a material fact required to be stated therein or necessary in order to make the statements therein not misleading; on the date of any filing pursuant to Rule 424(b) and on the Closing Date, the Prospectus (together with any supplement thereto) will not include any untrue statement of a material fact or omit to state a material fact necessary in order to make the statements therein, in the light of the</w:t>
      </w:r>
    </w:p>
    <w:p>
      <w:pPr>
        <w:sectPr>
          <w:pgSz w:w="11900" w:h="16840" w:orient="portrait"/>
          <w:cols w:equalWidth="0" w:num="1">
            <w:col w:w="9560"/>
          </w:cols>
          <w:pgMar w:left="1120" w:top="689" w:right="1220" w:bottom="1440" w:gutter="0" w:footer="0" w:header="0"/>
        </w:sectPr>
      </w:pPr>
    </w:p>
    <w:bookmarkStart w:id="275" w:name="page276"/>
    <w:bookmarkEnd w:id="275"/>
    <w:p>
      <w:pPr>
        <w:ind w:right="100"/>
        <w:spacing w:after="0" w:line="25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circumstances under which they were made, not misleading; and at the Time of Sale, the General Disclosure Package does not include any untrue statement of a material fact or omit to state a material fact necessary in order to make the statements therein, in light of the circumstances under which they were made, not misleading; </w:t>
      </w:r>
      <w:r>
        <w:rPr>
          <w:rFonts w:ascii="Times New Roman" w:cs="Times New Roman" w:eastAsia="Times New Roman" w:hAnsi="Times New Roman"/>
          <w:sz w:val="15"/>
          <w:szCs w:val="15"/>
          <w:u w:val="single" w:color="auto"/>
          <w:color w:val="auto"/>
        </w:rPr>
        <w:t>provided however</w:t>
      </w:r>
      <w:r>
        <w:rPr>
          <w:rFonts w:ascii="Times New Roman" w:cs="Times New Roman" w:eastAsia="Times New Roman" w:hAnsi="Times New Roman"/>
          <w:sz w:val="15"/>
          <w:szCs w:val="15"/>
          <w:color w:val="auto"/>
        </w:rPr>
        <w:t xml:space="preserve"> that the representation and warranty made in this </w:t>
      </w:r>
      <w:r>
        <w:rPr>
          <w:rFonts w:ascii="Times New Roman" w:cs="Times New Roman" w:eastAsia="Times New Roman" w:hAnsi="Times New Roman"/>
          <w:sz w:val="15"/>
          <w:szCs w:val="15"/>
          <w:u w:val="single" w:color="auto"/>
          <w:color w:val="auto"/>
        </w:rPr>
        <w:t>Section 2.3.1</w:t>
      </w:r>
      <w:r>
        <w:rPr>
          <w:rFonts w:ascii="Times New Roman" w:cs="Times New Roman" w:eastAsia="Times New Roman" w:hAnsi="Times New Roman"/>
          <w:sz w:val="15"/>
          <w:szCs w:val="15"/>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the General Disclosure Package, or Prospectus, or any amendment thereof or supplement thereto, which information, it is agreed, shall consist solely of the following (the “</w:t>
      </w:r>
      <w:r>
        <w:rPr>
          <w:rFonts w:ascii="Times New Roman" w:cs="Times New Roman" w:eastAsia="Times New Roman" w:hAnsi="Times New Roman"/>
          <w:sz w:val="15"/>
          <w:szCs w:val="15"/>
          <w:u w:val="single" w:color="auto"/>
          <w:color w:val="auto"/>
        </w:rPr>
        <w:t>Underwriter Information</w:t>
      </w:r>
      <w:r>
        <w:rPr>
          <w:rFonts w:ascii="Times New Roman" w:cs="Times New Roman" w:eastAsia="Times New Roman" w:hAnsi="Times New Roman"/>
          <w:sz w:val="15"/>
          <w:szCs w:val="15"/>
          <w:color w:val="auto"/>
        </w:rPr>
        <w:t>”): the names of the Underwriters and the information with respect to short positions and stabilizing transactions contained in the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5"/>
          <w:szCs w:val="15"/>
          <w:color w:val="auto"/>
        </w:rPr>
        <w:t xml:space="preserve"> paragraph in the section captioned “Underwriting”.</w:t>
      </w:r>
    </w:p>
    <w:p>
      <w:pPr>
        <w:spacing w:after="0" w:line="47" w:lineRule="exact"/>
        <w:rPr>
          <w:sz w:val="20"/>
          <w:szCs w:val="20"/>
          <w:color w:val="auto"/>
        </w:rPr>
      </w:pPr>
    </w:p>
    <w:p>
      <w:pPr>
        <w:ind w:firstLine="865"/>
        <w:spacing w:after="0" w:line="249" w:lineRule="auto"/>
        <w:rPr>
          <w:sz w:val="20"/>
          <w:szCs w:val="20"/>
          <w:color w:val="auto"/>
        </w:rPr>
      </w:pPr>
      <w:r>
        <w:rPr>
          <w:rFonts w:ascii="Times New Roman" w:cs="Times New Roman" w:eastAsia="Times New Roman" w:hAnsi="Times New Roman"/>
          <w:sz w:val="15"/>
          <w:szCs w:val="15"/>
          <w:color w:val="auto"/>
        </w:rPr>
        <w:t xml:space="preserve">2.3.2 </w:t>
      </w:r>
      <w:r>
        <w:rPr>
          <w:rFonts w:ascii="Times New Roman" w:cs="Times New Roman" w:eastAsia="Times New Roman" w:hAnsi="Times New Roman"/>
          <w:sz w:val="15"/>
          <w:szCs w:val="15"/>
          <w:u w:val="single" w:color="auto"/>
          <w:color w:val="auto"/>
        </w:rPr>
        <w:t>Disclosure of Agreements</w:t>
      </w:r>
      <w:r>
        <w:rPr>
          <w:rFonts w:ascii="Times New Roman" w:cs="Times New Roman" w:eastAsia="Times New Roman" w:hAnsi="Times New Roman"/>
          <w:sz w:val="15"/>
          <w:szCs w:val="15"/>
          <w:color w:val="auto"/>
        </w:rPr>
        <w:t>. The agreements and documents described in the Registration Statement, the General Disclosure Package, and the Prospectus conform in all material respects to the descriptions thereof contained therein and there are no agreements or other documents required to be described in the Registration Statement, the General Disclosure Package,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that is referred to in the Registration Statement or attached as an exhibit thereto or that is material to the Company’s business, has been duly and validly executed by the Company, is in full force and effect in all material respects, and is enforceable against the Company and, to the Company’s knowledge, the other parties thereto, in all material respects in accordance with its terms, except (a) as such enforceability may be limited by bankruptcy, insolvency, reorganization or similar laws affecting creditors’ rights generally, (b) as enforceability of any indemnification or contribution provision may be limited under the foreign, federal, and state securities laws, and (c)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69" w:lineRule="exact"/>
        <w:rPr>
          <w:sz w:val="20"/>
          <w:szCs w:val="20"/>
          <w:color w:val="auto"/>
        </w:rPr>
      </w:pPr>
    </w:p>
    <w:p>
      <w:pPr>
        <w:ind w:right="160" w:firstLine="865"/>
        <w:spacing w:after="0" w:line="265" w:lineRule="auto"/>
        <w:rPr>
          <w:sz w:val="20"/>
          <w:szCs w:val="20"/>
          <w:color w:val="auto"/>
        </w:rPr>
      </w:pPr>
      <w:r>
        <w:rPr>
          <w:rFonts w:ascii="Times New Roman" w:cs="Times New Roman" w:eastAsia="Times New Roman" w:hAnsi="Times New Roman"/>
          <w:sz w:val="15"/>
          <w:szCs w:val="15"/>
          <w:color w:val="auto"/>
        </w:rPr>
        <w:t xml:space="preserve">2.3.3 </w:t>
      </w:r>
      <w:r>
        <w:rPr>
          <w:rFonts w:ascii="Times New Roman" w:cs="Times New Roman" w:eastAsia="Times New Roman" w:hAnsi="Times New Roman"/>
          <w:sz w:val="15"/>
          <w:szCs w:val="15"/>
          <w:u w:val="single" w:color="auto"/>
          <w:color w:val="auto"/>
        </w:rPr>
        <w:t>Prior Securities Transactions</w:t>
      </w:r>
      <w:r>
        <w:rPr>
          <w:rFonts w:ascii="Times New Roman" w:cs="Times New Roman" w:eastAsia="Times New Roman" w:hAnsi="Times New Roman"/>
          <w:sz w:val="15"/>
          <w:szCs w:val="15"/>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 the General Disclosure Package, and the Prospectus.</w:t>
      </w:r>
    </w:p>
    <w:p>
      <w:pPr>
        <w:sectPr>
          <w:pgSz w:w="11900" w:h="16840" w:orient="portrait"/>
          <w:cols w:equalWidth="0" w:num="1">
            <w:col w:w="9680"/>
          </w:cols>
          <w:pgMar w:left="1120" w:top="689" w:right="1100" w:bottom="1440" w:gutter="0" w:footer="0" w:header="0"/>
        </w:sectPr>
      </w:pPr>
    </w:p>
    <w:bookmarkStart w:id="276" w:name="page277"/>
    <w:bookmarkEnd w:id="276"/>
    <w:p>
      <w:pPr>
        <w:jc w:val="both"/>
        <w:ind w:left="5" w:firstLine="865"/>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2.3.4 </w:t>
      </w:r>
      <w:r>
        <w:rPr>
          <w:rFonts w:ascii="Times New Roman" w:cs="Times New Roman" w:eastAsia="Times New Roman" w:hAnsi="Times New Roman"/>
          <w:sz w:val="15"/>
          <w:szCs w:val="15"/>
          <w:u w:val="single" w:color="auto"/>
          <w:color w:val="auto"/>
        </w:rPr>
        <w:t>Regulations</w:t>
      </w:r>
      <w:r>
        <w:rPr>
          <w:rFonts w:ascii="Times New Roman" w:cs="Times New Roman" w:eastAsia="Times New Roman" w:hAnsi="Times New Roman"/>
          <w:sz w:val="15"/>
          <w:szCs w:val="15"/>
          <w:color w:val="auto"/>
        </w:rPr>
        <w:t>. The disclosures in the Registration Statement, the General Disclosure Package, and the Prospectus concerning the effects of foreign, federal, state and local regulation on the Company’s business as currently contemplated are correct in all material respects and do not omit to state a material fact necessary to make the statements therein, in the light of the circumstances in which they were made, not misleading.</w:t>
      </w:r>
    </w:p>
    <w:p>
      <w:pPr>
        <w:spacing w:after="0" w:line="151"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5"/>
          <w:szCs w:val="15"/>
          <w:color w:val="auto"/>
        </w:rPr>
        <w:t xml:space="preserve">Section 2.4 </w:t>
      </w:r>
      <w:r>
        <w:rPr>
          <w:rFonts w:ascii="Times New Roman" w:cs="Times New Roman" w:eastAsia="Times New Roman" w:hAnsi="Times New Roman"/>
          <w:sz w:val="15"/>
          <w:szCs w:val="15"/>
          <w:u w:val="single" w:color="auto"/>
          <w:color w:val="auto"/>
        </w:rPr>
        <w:t>Changes after Dates in Registration Statement</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5" w:firstLine="865"/>
        <w:spacing w:after="0" w:line="254" w:lineRule="auto"/>
        <w:rPr>
          <w:sz w:val="20"/>
          <w:szCs w:val="20"/>
          <w:color w:val="auto"/>
        </w:rPr>
      </w:pPr>
      <w:r>
        <w:rPr>
          <w:rFonts w:ascii="Times New Roman" w:cs="Times New Roman" w:eastAsia="Times New Roman" w:hAnsi="Times New Roman"/>
          <w:sz w:val="15"/>
          <w:szCs w:val="15"/>
          <w:color w:val="auto"/>
        </w:rPr>
        <w:t xml:space="preserve">2.4.1 </w:t>
      </w:r>
      <w:r>
        <w:rPr>
          <w:rFonts w:ascii="Times New Roman" w:cs="Times New Roman" w:eastAsia="Times New Roman" w:hAnsi="Times New Roman"/>
          <w:sz w:val="15"/>
          <w:szCs w:val="15"/>
          <w:u w:val="single" w:color="auto"/>
          <w:color w:val="auto"/>
        </w:rPr>
        <w:t>No Material Adverse Change</w:t>
      </w:r>
      <w:r>
        <w:rPr>
          <w:rFonts w:ascii="Times New Roman" w:cs="Times New Roman" w:eastAsia="Times New Roman" w:hAnsi="Times New Roman"/>
          <w:sz w:val="15"/>
          <w:szCs w:val="15"/>
          <w:color w:val="auto"/>
        </w:rPr>
        <w:t>. Since the end of the period covered by the latest audited financial statements included in the Registration Statement, the General Disclosure Package, and the Prospectus, except as otherwise specifically stated therein: (i) no event has occurred that could reasonably be expected to have a Material Adverse Effect (as defined below) on the condition, financial or otherwise, or business prospects of the Company;</w:t>
      </w:r>
    </w:p>
    <w:p>
      <w:pPr>
        <w:spacing w:after="0" w:line="1" w:lineRule="exact"/>
        <w:rPr>
          <w:sz w:val="20"/>
          <w:szCs w:val="20"/>
          <w:color w:val="auto"/>
        </w:rPr>
      </w:pPr>
    </w:p>
    <w:p>
      <w:pPr>
        <w:ind w:left="5" w:right="240" w:hanging="5"/>
        <w:spacing w:after="0" w:line="252" w:lineRule="auto"/>
        <w:tabs>
          <w:tab w:leader="none" w:pos="232"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the General Disclosure Package, and the Prospectus.</w:t>
      </w:r>
    </w:p>
    <w:p>
      <w:pPr>
        <w:spacing w:after="0" w:line="160" w:lineRule="exact"/>
        <w:rPr>
          <w:sz w:val="20"/>
          <w:szCs w:val="20"/>
          <w:color w:val="auto"/>
        </w:rPr>
      </w:pPr>
    </w:p>
    <w:p>
      <w:pPr>
        <w:ind w:left="5" w:right="200" w:firstLine="865"/>
        <w:spacing w:after="0" w:line="259" w:lineRule="auto"/>
        <w:rPr>
          <w:sz w:val="20"/>
          <w:szCs w:val="20"/>
          <w:color w:val="auto"/>
        </w:rPr>
      </w:pPr>
      <w:r>
        <w:rPr>
          <w:rFonts w:ascii="Times New Roman" w:cs="Times New Roman" w:eastAsia="Times New Roman" w:hAnsi="Times New Roman"/>
          <w:sz w:val="15"/>
          <w:szCs w:val="15"/>
          <w:color w:val="auto"/>
        </w:rPr>
        <w:t xml:space="preserve">2.4.2 </w:t>
      </w:r>
      <w:r>
        <w:rPr>
          <w:rFonts w:ascii="Times New Roman" w:cs="Times New Roman" w:eastAsia="Times New Roman" w:hAnsi="Times New Roman"/>
          <w:sz w:val="15"/>
          <w:szCs w:val="15"/>
          <w:u w:val="single" w:color="auto"/>
          <w:color w:val="auto"/>
        </w:rPr>
        <w:t>Recent Securities Transactions, etc</w:t>
      </w:r>
      <w:r>
        <w:rPr>
          <w:rFonts w:ascii="Times New Roman" w:cs="Times New Roman" w:eastAsia="Times New Roman" w:hAnsi="Times New Roman"/>
          <w:sz w:val="15"/>
          <w:szCs w:val="15"/>
          <w:color w:val="auto"/>
        </w:rPr>
        <w:t>. Since the end of the period covered by the latest audited financial statements included in the Registration Statement, the General Disclosure Package, and the Prospectus, and except as may otherwise be indicated or contemplated herein or therein, the Company has not: (i) issued any securities or incurred any material liability or obligation, direct or contingent, for borrowed money other than in the ordinary course of business; or (ii) declared or paid any dividend or made any other distribution on or in respect to its capital stock.</w:t>
      </w:r>
    </w:p>
    <w:p>
      <w:pPr>
        <w:spacing w:after="0" w:line="156" w:lineRule="exact"/>
        <w:rPr>
          <w:sz w:val="20"/>
          <w:szCs w:val="20"/>
          <w:color w:val="auto"/>
        </w:rPr>
      </w:pPr>
    </w:p>
    <w:p>
      <w:pPr>
        <w:ind w:left="5" w:right="40" w:firstLine="379"/>
        <w:spacing w:after="0" w:line="254" w:lineRule="auto"/>
        <w:rPr>
          <w:sz w:val="20"/>
          <w:szCs w:val="20"/>
          <w:color w:val="auto"/>
        </w:rPr>
      </w:pPr>
      <w:r>
        <w:rPr>
          <w:rFonts w:ascii="Times New Roman" w:cs="Times New Roman" w:eastAsia="Times New Roman" w:hAnsi="Times New Roman"/>
          <w:sz w:val="15"/>
          <w:szCs w:val="15"/>
          <w:color w:val="auto"/>
        </w:rPr>
        <w:t xml:space="preserve">Section 2.5 </w:t>
      </w:r>
      <w:r>
        <w:rPr>
          <w:rFonts w:ascii="Times New Roman" w:cs="Times New Roman" w:eastAsia="Times New Roman" w:hAnsi="Times New Roman"/>
          <w:sz w:val="15"/>
          <w:szCs w:val="15"/>
          <w:u w:val="single" w:color="auto"/>
          <w:color w:val="auto"/>
        </w:rPr>
        <w:t>Independent Registered Public Accounting Firm</w:t>
      </w:r>
      <w:r>
        <w:rPr>
          <w:rFonts w:ascii="Times New Roman" w:cs="Times New Roman" w:eastAsia="Times New Roman" w:hAnsi="Times New Roman"/>
          <w:sz w:val="15"/>
          <w:szCs w:val="15"/>
          <w:color w:val="auto"/>
        </w:rPr>
        <w:t>. BPM LLP (“</w:t>
      </w:r>
      <w:r>
        <w:rPr>
          <w:rFonts w:ascii="Times New Roman" w:cs="Times New Roman" w:eastAsia="Times New Roman" w:hAnsi="Times New Roman"/>
          <w:sz w:val="15"/>
          <w:szCs w:val="15"/>
          <w:u w:val="single" w:color="auto"/>
          <w:color w:val="auto"/>
        </w:rPr>
        <w:t>BPM</w:t>
      </w:r>
      <w:r>
        <w:rPr>
          <w:rFonts w:ascii="Times New Roman" w:cs="Times New Roman" w:eastAsia="Times New Roman" w:hAnsi="Times New Roman"/>
          <w:sz w:val="15"/>
          <w:szCs w:val="15"/>
          <w:color w:val="auto"/>
        </w:rPr>
        <w:t>”), whose report is filed with the Commission as part of the Registration Statement and included in the Registration Statement, the General Disclosure Package, and the Prospectus, is an independent registered public accounting firm as required by the Act, the Regulations, and the Public Company Accounting Oversight Board (the “</w:t>
      </w:r>
      <w:r>
        <w:rPr>
          <w:rFonts w:ascii="Times New Roman" w:cs="Times New Roman" w:eastAsia="Times New Roman" w:hAnsi="Times New Roman"/>
          <w:sz w:val="15"/>
          <w:szCs w:val="15"/>
          <w:u w:val="single" w:color="auto"/>
          <w:color w:val="auto"/>
        </w:rPr>
        <w:t>PCAOB</w:t>
      </w:r>
      <w:r>
        <w:rPr>
          <w:rFonts w:ascii="Times New Roman" w:cs="Times New Roman" w:eastAsia="Times New Roman" w:hAnsi="Times New Roman"/>
          <w:sz w:val="15"/>
          <w:szCs w:val="15"/>
          <w:color w:val="auto"/>
        </w:rPr>
        <w:t>”), including the rules and regulations promulgated by such entity. To the Company’s knowledge, BPM is duly registered and in good standing with the PCAOB. BPM has not, during the periods covered by the financial statements included in the Registration Statement, the General Disclosure Package, and the Prospectus, provided to the Company any non-audit services, as such term is used in Section 10A(g) of the Exchange Act.</w:t>
      </w:r>
    </w:p>
    <w:p>
      <w:pPr>
        <w:spacing w:after="0" w:line="160"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5"/>
          <w:szCs w:val="15"/>
          <w:color w:val="auto"/>
        </w:rPr>
        <w:t xml:space="preserve">Section 2.6 </w:t>
      </w:r>
      <w:r>
        <w:rPr>
          <w:rFonts w:ascii="Times New Roman" w:cs="Times New Roman" w:eastAsia="Times New Roman" w:hAnsi="Times New Roman"/>
          <w:sz w:val="15"/>
          <w:szCs w:val="15"/>
          <w:u w:val="single" w:color="auto"/>
          <w:color w:val="auto"/>
        </w:rPr>
        <w:t>Financial Statements; Statistical Data</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5" w:right="160" w:firstLine="865"/>
        <w:spacing w:after="0" w:line="256" w:lineRule="auto"/>
        <w:rPr>
          <w:sz w:val="20"/>
          <w:szCs w:val="20"/>
          <w:color w:val="auto"/>
        </w:rPr>
      </w:pPr>
      <w:r>
        <w:rPr>
          <w:rFonts w:ascii="Times New Roman" w:cs="Times New Roman" w:eastAsia="Times New Roman" w:hAnsi="Times New Roman"/>
          <w:sz w:val="15"/>
          <w:szCs w:val="15"/>
          <w:color w:val="auto"/>
        </w:rPr>
        <w:t xml:space="preserve">2.6.1 </w:t>
      </w:r>
      <w:r>
        <w:rPr>
          <w:rFonts w:ascii="Times New Roman" w:cs="Times New Roman" w:eastAsia="Times New Roman" w:hAnsi="Times New Roman"/>
          <w:sz w:val="15"/>
          <w:szCs w:val="15"/>
          <w:u w:val="single" w:color="auto"/>
          <w:color w:val="auto"/>
        </w:rPr>
        <w:t>Financial Statements</w:t>
      </w:r>
      <w:r>
        <w:rPr>
          <w:rFonts w:ascii="Times New Roman" w:cs="Times New Roman" w:eastAsia="Times New Roman" w:hAnsi="Times New Roman"/>
          <w:sz w:val="15"/>
          <w:szCs w:val="15"/>
          <w:color w:val="auto"/>
        </w:rPr>
        <w:t>. The financial statements, including the notes thereto and supporting schedules included in the Registration Statement, the General Disclosure Package, and the Prospectus, fairly present in all material respects the financial position and the results of operations of the Company at the dates and for the periods to which they apply; and such financial statements have been prepared in conformity with United States generally accepted accounting principles (“</w:t>
      </w:r>
      <w:r>
        <w:rPr>
          <w:rFonts w:ascii="Times New Roman" w:cs="Times New Roman" w:eastAsia="Times New Roman" w:hAnsi="Times New Roman"/>
          <w:sz w:val="15"/>
          <w:szCs w:val="15"/>
          <w:u w:val="single" w:color="auto"/>
          <w:color w:val="auto"/>
        </w:rPr>
        <w:t>GAAP</w:t>
      </w:r>
      <w:r>
        <w:rPr>
          <w:rFonts w:ascii="Times New Roman" w:cs="Times New Roman" w:eastAsia="Times New Roman" w:hAnsi="Times New Roman"/>
          <w:sz w:val="15"/>
          <w:szCs w:val="15"/>
          <w:color w:val="auto"/>
        </w:rPr>
        <w:t>”), consistently applied throughout the periods involved, except as disclosed therein; and the supporting schedules included in the Registration Statement</w:t>
      </w:r>
    </w:p>
    <w:p>
      <w:pPr>
        <w:sectPr>
          <w:pgSz w:w="11900" w:h="16840" w:orient="portrait"/>
          <w:cols w:equalWidth="0" w:num="1">
            <w:col w:w="9645"/>
          </w:cols>
          <w:pgMar w:left="1115" w:top="689" w:right="1140" w:bottom="1440" w:gutter="0" w:footer="0" w:header="0"/>
        </w:sectPr>
      </w:pPr>
    </w:p>
    <w:bookmarkStart w:id="277" w:name="page278"/>
    <w:bookmarkEnd w:id="277"/>
    <w:p>
      <w:pPr>
        <w:ind w:right="80"/>
        <w:spacing w:after="0" w:line="25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6749415" cy="35560"/>
                    </a:xfrm>
                    <a:prstGeom prst="rect">
                      <a:avLst/>
                    </a:prstGeom>
                    <a:noFill/>
                  </pic:spPr>
                </pic:pic>
              </a:graphicData>
            </a:graphic>
          </wp:anchor>
        </w:drawing>
        <w:t>present fairly in all material respects the information required to be stated therein in conformity with the Regulations. No other financial statements or supporting schedules are required to be included or incorporated by reference in the Registration Statement, the General Disclosure Package, or the Prospectus. The Registration Statement, the General Disclosure Package,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There are no pro forma or as adjusted financial statements which are required to be included in the Registration Statement, the General Disclosure Package, or the Prospectus in accordance with Regulation S-X of the Regulations which have not been included as so required.</w:t>
      </w:r>
    </w:p>
    <w:p>
      <w:pPr>
        <w:spacing w:after="0" w:line="162" w:lineRule="exact"/>
        <w:rPr>
          <w:sz w:val="20"/>
          <w:szCs w:val="20"/>
          <w:color w:val="auto"/>
        </w:rPr>
      </w:pPr>
    </w:p>
    <w:p>
      <w:pPr>
        <w:ind w:right="180" w:firstLine="865"/>
        <w:spacing w:after="0" w:line="265" w:lineRule="auto"/>
        <w:rPr>
          <w:sz w:val="20"/>
          <w:szCs w:val="20"/>
          <w:color w:val="auto"/>
        </w:rPr>
      </w:pPr>
      <w:r>
        <w:rPr>
          <w:rFonts w:ascii="Times New Roman" w:cs="Times New Roman" w:eastAsia="Times New Roman" w:hAnsi="Times New Roman"/>
          <w:sz w:val="15"/>
          <w:szCs w:val="15"/>
          <w:color w:val="auto"/>
        </w:rPr>
        <w:t xml:space="preserve">2.6.2 </w:t>
      </w:r>
      <w:r>
        <w:rPr>
          <w:rFonts w:ascii="Times New Roman" w:cs="Times New Roman" w:eastAsia="Times New Roman" w:hAnsi="Times New Roman"/>
          <w:sz w:val="15"/>
          <w:szCs w:val="15"/>
          <w:u w:val="single" w:color="auto"/>
          <w:color w:val="auto"/>
        </w:rPr>
        <w:t>Statistical Data</w:t>
      </w:r>
      <w:r>
        <w:rPr>
          <w:rFonts w:ascii="Times New Roman" w:cs="Times New Roman" w:eastAsia="Times New Roman" w:hAnsi="Times New Roman"/>
          <w:sz w:val="15"/>
          <w:szCs w:val="15"/>
          <w:color w:val="auto"/>
        </w:rPr>
        <w:t xml:space="preserve"> . The statistical, industry-related and market-related data included in the Registration Statement, the General Disclosure Package, and/or the Prospectus are based on or derived from sources which the Company reasonably and in good faith believes are reliable and accurate, and such data agree with the sources from which they are derived.</w:t>
      </w:r>
    </w:p>
    <w:p>
      <w:pPr>
        <w:spacing w:after="0" w:line="151" w:lineRule="exact"/>
        <w:rPr>
          <w:sz w:val="20"/>
          <w:szCs w:val="20"/>
          <w:color w:val="auto"/>
        </w:rPr>
      </w:pPr>
    </w:p>
    <w:p>
      <w:pPr>
        <w:ind w:right="140" w:firstLine="379"/>
        <w:spacing w:after="0" w:line="253" w:lineRule="auto"/>
        <w:rPr>
          <w:sz w:val="20"/>
          <w:szCs w:val="20"/>
          <w:color w:val="auto"/>
        </w:rPr>
      </w:pPr>
      <w:r>
        <w:rPr>
          <w:rFonts w:ascii="Times New Roman" w:cs="Times New Roman" w:eastAsia="Times New Roman" w:hAnsi="Times New Roman"/>
          <w:sz w:val="15"/>
          <w:szCs w:val="15"/>
          <w:color w:val="auto"/>
        </w:rPr>
        <w:t xml:space="preserve">Section 2.7 </w:t>
      </w:r>
      <w:r>
        <w:rPr>
          <w:rFonts w:ascii="Times New Roman" w:cs="Times New Roman" w:eastAsia="Times New Roman" w:hAnsi="Times New Roman"/>
          <w:sz w:val="15"/>
          <w:szCs w:val="15"/>
          <w:u w:val="single" w:color="auto"/>
          <w:color w:val="auto"/>
        </w:rPr>
        <w:t>Authorized Capital; Options</w:t>
      </w:r>
      <w:r>
        <w:rPr>
          <w:rFonts w:ascii="Times New Roman" w:cs="Times New Roman" w:eastAsia="Times New Roman" w:hAnsi="Times New Roman"/>
          <w:sz w:val="15"/>
          <w:szCs w:val="15"/>
          <w:color w:val="auto"/>
        </w:rPr>
        <w:t>. etc. The Company had at the date or dates indicated in each of the Registration Statement, the General Disclosure Package, and the Prospectus, as the case may be, duly authorized, issued, and outstanding capitalization as set forth in the Registration Statement, the General Disclosure Package, and the Prospectus. Based on the assumptions stated in the Registration Statement, the General Disclosure Package, and the Prospectus, the Company will have on the Closing Date the adjusted stock capitalization set forth therein. Except as set forth in, or contemplated by, the Registration Statement, the General Disclosure Package and the Prospectus, on the Effective Date and on the Closing Date, there will be no options, warrants, or other rights to purchase or otherwise acquire any authorized, but unissued Ordinary Shares or any security convertible into Ordinary Shares, or any contracts or commitments to issue or sell Ordinary Shares or any such options, warrants, rights or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-702945</wp:posOffset>
            </wp:positionV>
            <wp:extent cx="13525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135255" cy="7620"/>
                    </a:xfrm>
                    <a:prstGeom prst="rect">
                      <a:avLst/>
                    </a:prstGeom>
                    <a:noFill/>
                  </pic:spPr>
                </pic:pic>
              </a:graphicData>
            </a:graphic>
          </wp:anchor>
        </w:drawing>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2.8 </w:t>
      </w:r>
      <w:r>
        <w:rPr>
          <w:rFonts w:ascii="Times New Roman" w:cs="Times New Roman" w:eastAsia="Times New Roman" w:hAnsi="Times New Roman"/>
          <w:sz w:val="15"/>
          <w:szCs w:val="15"/>
          <w:u w:val="single" w:color="auto"/>
          <w:color w:val="auto"/>
        </w:rPr>
        <w:t>Valid Issuance of Securities, etc</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firstLine="865"/>
        <w:spacing w:after="0" w:line="252" w:lineRule="auto"/>
        <w:rPr>
          <w:sz w:val="20"/>
          <w:szCs w:val="20"/>
          <w:color w:val="auto"/>
        </w:rPr>
      </w:pPr>
      <w:r>
        <w:rPr>
          <w:rFonts w:ascii="Times New Roman" w:cs="Times New Roman" w:eastAsia="Times New Roman" w:hAnsi="Times New Roman"/>
          <w:sz w:val="15"/>
          <w:szCs w:val="15"/>
          <w:color w:val="auto"/>
        </w:rPr>
        <w:t xml:space="preserve">2.8.1 </w:t>
      </w:r>
      <w:r>
        <w:rPr>
          <w:rFonts w:ascii="Times New Roman" w:cs="Times New Roman" w:eastAsia="Times New Roman" w:hAnsi="Times New Roman"/>
          <w:sz w:val="15"/>
          <w:szCs w:val="15"/>
          <w:u w:val="single" w:color="auto"/>
          <w:color w:val="auto"/>
        </w:rPr>
        <w:t>Outstanding Securities</w:t>
      </w:r>
      <w:r>
        <w:rPr>
          <w:rFonts w:ascii="Times New Roman" w:cs="Times New Roman" w:eastAsia="Times New Roman" w:hAnsi="Times New Roman"/>
          <w:sz w:val="15"/>
          <w:szCs w:val="15"/>
          <w:color w:val="auto"/>
        </w:rPr>
        <w:t>. All issued and outstanding securities of the Company issued prior to the Offering and Private Placements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outstanding securities of the Company issued prior to the Offering and Private Placements conform to the descriptions thereof contained in the Registration Statement, the General Disclosure Package, and the Prospectus. All offers, sales, and any transfers of the outstanding securities of the Company issued prior to the transactions contemplated by this Agreement were at all relevant times either registered under the Act and the applicable state securities or Blue Sky laws or exempt from such registration requirements (based in part on the representations and warranties of the purchasers of the securities of the Company issued prior to the Offering and Private Placements).</w:t>
      </w:r>
    </w:p>
    <w:p>
      <w:pPr>
        <w:sectPr>
          <w:pgSz w:w="11900" w:h="16840" w:orient="portrait"/>
          <w:cols w:equalWidth="0" w:num="1">
            <w:col w:w="9680"/>
          </w:cols>
          <w:pgMar w:left="1120" w:top="689" w:right="1100" w:bottom="1440" w:gutter="0" w:footer="0" w:header="0"/>
        </w:sectPr>
      </w:pPr>
    </w:p>
    <w:bookmarkStart w:id="278" w:name="page279"/>
    <w:bookmarkEnd w:id="278"/>
    <w:p>
      <w:pPr>
        <w:ind w:firstLine="865"/>
        <w:spacing w:after="0" w:line="25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2. 8.2 </w:t>
      </w:r>
      <w:r>
        <w:rPr>
          <w:rFonts w:ascii="Times New Roman" w:cs="Times New Roman" w:eastAsia="Times New Roman" w:hAnsi="Times New Roman"/>
          <w:sz w:val="15"/>
          <w:szCs w:val="15"/>
          <w:u w:val="single" w:color="auto"/>
          <w:color w:val="auto"/>
        </w:rPr>
        <w:t>Public Securities</w:t>
      </w:r>
      <w:r>
        <w:rPr>
          <w:rFonts w:ascii="Times New Roman" w:cs="Times New Roman" w:eastAsia="Times New Roman" w:hAnsi="Times New Roman"/>
          <w:sz w:val="15"/>
          <w:szCs w:val="15"/>
          <w:color w:val="auto"/>
        </w:rPr>
        <w:t>. The Public Securities, the Public Shares, the Rights, and the Class A Ordinary Shares underlying the Rights, have been duly authorized and reserved for issuance and when issued and paid for in accordance with this Agreement, will be validly issued, fully paid and non-assessable; the holders thereof are not and will not be subject to personal liability by reason of being such holders; the Public Securities, the Public Shares, the Rights, and the Class A Ordinary Shares underlying the Rights, are not and will not be subject to the preemptive rights of any holders of any security of the Company or similar contractual rights granted by the Company; and all corporate action required to be taken for the authorization, issuance and sale of the Public Securities, the Public Shares, the Rights, and the Class A Ordinary Shares underlying the Rights, has been duly and validly taken. The Public Securities, the Public Shares, the Rights, and the Class A Ordinary Shares underlying the Rights conform in all material respects to the descriptions thereof contained in the Registration Statement, the General Disclosure Package, and the Prospectus, as the case may be.</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2.8.3 </w:t>
      </w:r>
      <w:r>
        <w:rPr>
          <w:rFonts w:ascii="Times New Roman" w:cs="Times New Roman" w:eastAsia="Times New Roman" w:hAnsi="Times New Roman"/>
          <w:sz w:val="15"/>
          <w:szCs w:val="15"/>
          <w:u w:val="single" w:color="auto"/>
          <w:color w:val="auto"/>
        </w:rPr>
        <w:t>[Reserved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t>
      </w:r>
    </w:p>
    <w:p>
      <w:pPr>
        <w:spacing w:after="0" w:line="195" w:lineRule="exact"/>
        <w:rPr>
          <w:sz w:val="20"/>
          <w:szCs w:val="20"/>
          <w:color w:val="auto"/>
        </w:rPr>
      </w:pPr>
    </w:p>
    <w:p>
      <w:pPr>
        <w:ind w:firstLine="865"/>
        <w:spacing w:after="0" w:line="251" w:lineRule="auto"/>
        <w:rPr>
          <w:sz w:val="20"/>
          <w:szCs w:val="20"/>
          <w:color w:val="auto"/>
        </w:rPr>
      </w:pPr>
      <w:r>
        <w:rPr>
          <w:rFonts w:ascii="Times New Roman" w:cs="Times New Roman" w:eastAsia="Times New Roman" w:hAnsi="Times New Roman"/>
          <w:sz w:val="15"/>
          <w:szCs w:val="15"/>
          <w:color w:val="auto"/>
        </w:rPr>
        <w:t xml:space="preserve">2.8.4 </w:t>
      </w:r>
      <w:r>
        <w:rPr>
          <w:rFonts w:ascii="Times New Roman" w:cs="Times New Roman" w:eastAsia="Times New Roman" w:hAnsi="Times New Roman"/>
          <w:sz w:val="15"/>
          <w:szCs w:val="15"/>
          <w:u w:val="single" w:color="auto"/>
          <w:color w:val="auto"/>
        </w:rPr>
        <w:t>Private Placement Securities</w:t>
      </w:r>
      <w:r>
        <w:rPr>
          <w:rFonts w:ascii="Times New Roman" w:cs="Times New Roman" w:eastAsia="Times New Roman" w:hAnsi="Times New Roman"/>
          <w:sz w:val="15"/>
          <w:szCs w:val="15"/>
          <w:color w:val="auto"/>
        </w:rPr>
        <w:t>. The Private Placement Units, the Private Placement Shares, the Private Placement Rights, and the Class A Ordinary Shares underlying the Private Placement Rights have been duly authorized and reserved for issuance and when issued and paid for in accordance with each of the Sponsor Private Placement Securities Purchase Agreement and Investor Private Placement Securities Purchase Agreement will be validly issued, fully paid and non-assessable; the holders thereof are not and will not be subject to personal liability by reason of being such holders; the Private Placement Units, the Private Placement Shares, the Private Placement Rights, and the Class A Ordinary Shares underlying the Private Placement Rights, are not and will not be subject to the preemptive rights of any holders of any security of the Company or similar contractual rights granted by the Company; and all corporate action required to be taken for the authorization, issuance and sale of the Private Placement Units, the Private Placement Shares, the Private Placement Rights, and the Class A Ordinary Shares underlying the Private Placement Rights has been duly and validly taken. The Private Placement Units, the Private Placement Shares, the Private Placement Rights, and the Class A Ordinary Shares underlying the Private Placement Rights conform in all material respects to the descriptions thereof contained in the Registration Statement, the General Disclosure Package, and the Prospectus, as the case may be.</w:t>
      </w:r>
    </w:p>
    <w:p>
      <w:pPr>
        <w:spacing w:after="0" w:line="340" w:lineRule="exact"/>
        <w:rPr>
          <w:sz w:val="20"/>
          <w:szCs w:val="20"/>
          <w:color w:val="auto"/>
        </w:rPr>
      </w:pPr>
    </w:p>
    <w:p>
      <w:pPr>
        <w:ind w:right="60" w:firstLine="865"/>
        <w:spacing w:after="0" w:line="265" w:lineRule="auto"/>
        <w:rPr>
          <w:sz w:val="20"/>
          <w:szCs w:val="20"/>
          <w:color w:val="auto"/>
        </w:rPr>
      </w:pPr>
      <w:r>
        <w:rPr>
          <w:rFonts w:ascii="Times New Roman" w:cs="Times New Roman" w:eastAsia="Times New Roman" w:hAnsi="Times New Roman"/>
          <w:sz w:val="15"/>
          <w:szCs w:val="15"/>
          <w:color w:val="auto"/>
        </w:rPr>
        <w:t xml:space="preserve">2.8.5 </w:t>
      </w:r>
      <w:r>
        <w:rPr>
          <w:rFonts w:ascii="Times New Roman" w:cs="Times New Roman" w:eastAsia="Times New Roman" w:hAnsi="Times New Roman"/>
          <w:sz w:val="15"/>
          <w:szCs w:val="15"/>
          <w:u w:val="single" w:color="auto"/>
          <w:color w:val="auto"/>
        </w:rPr>
        <w:t>No Integration</w:t>
      </w:r>
      <w:r>
        <w:rPr>
          <w:rFonts w:ascii="Times New Roman" w:cs="Times New Roman" w:eastAsia="Times New Roman" w:hAnsi="Times New Roman"/>
          <w:sz w:val="15"/>
          <w:szCs w:val="15"/>
          <w:color w:val="auto"/>
        </w:rPr>
        <w:t>. Neither the Company nor any of its affiliates has, prior to the date hereof, made any offer or sale of any securities which are required to be “integrated” pursuant to the Act or the Regulations with the offer and sale of the Public Securities, the Public Shares, and the Rights pursuant to the Registration Statement, or the Private Placement Securities in the Private Placements.</w:t>
      </w:r>
    </w:p>
    <w:p>
      <w:pPr>
        <w:spacing w:after="0" w:line="151" w:lineRule="exact"/>
        <w:rPr>
          <w:sz w:val="20"/>
          <w:szCs w:val="20"/>
          <w:color w:val="auto"/>
        </w:rPr>
      </w:pPr>
    </w:p>
    <w:p>
      <w:pPr>
        <w:ind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2.9 </w:t>
      </w:r>
      <w:r>
        <w:rPr>
          <w:rFonts w:ascii="Times New Roman" w:cs="Times New Roman" w:eastAsia="Times New Roman" w:hAnsi="Times New Roman"/>
          <w:sz w:val="15"/>
          <w:szCs w:val="15"/>
          <w:u w:val="single" w:color="auto"/>
          <w:color w:val="auto"/>
        </w:rPr>
        <w:t>Registration Rights of Third Parties</w:t>
      </w:r>
      <w:r>
        <w:rPr>
          <w:rFonts w:ascii="Times New Roman" w:cs="Times New Roman" w:eastAsia="Times New Roman" w:hAnsi="Times New Roman"/>
          <w:sz w:val="15"/>
          <w:szCs w:val="15"/>
          <w:color w:val="auto"/>
        </w:rPr>
        <w:t>. Except as set forth in the Registration Statement, the General Disclosure Package,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ectPr>
          <w:pgSz w:w="11900" w:h="16840" w:orient="portrait"/>
          <w:cols w:equalWidth="0" w:num="1">
            <w:col w:w="9640"/>
          </w:cols>
          <w:pgMar w:left="1120" w:top="689" w:right="1140" w:bottom="1440" w:gutter="0" w:footer="0" w:header="0"/>
        </w:sectPr>
      </w:pPr>
    </w:p>
    <w:bookmarkStart w:id="279" w:name="page280"/>
    <w:bookmarkEnd w:id="279"/>
    <w:p>
      <w:pPr>
        <w:ind w:firstLine="379"/>
        <w:spacing w:after="0" w:line="25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2.10 </w:t>
      </w:r>
      <w:r>
        <w:rPr>
          <w:rFonts w:ascii="Times New Roman" w:cs="Times New Roman" w:eastAsia="Times New Roman" w:hAnsi="Times New Roman"/>
          <w:sz w:val="15"/>
          <w:szCs w:val="15"/>
          <w:u w:val="single" w:color="auto"/>
          <w:color w:val="auto"/>
        </w:rPr>
        <w:t>Validity and Binding Effect of Agreements</w:t>
      </w:r>
      <w:r>
        <w:rPr>
          <w:rFonts w:ascii="Times New Roman" w:cs="Times New Roman" w:eastAsia="Times New Roman" w:hAnsi="Times New Roman"/>
          <w:sz w:val="15"/>
          <w:szCs w:val="15"/>
          <w:color w:val="auto"/>
        </w:rPr>
        <w:t xml:space="preserve">. This Agreement, the Insider Letter (as defined in </w:t>
      </w:r>
      <w:r>
        <w:rPr>
          <w:rFonts w:ascii="Times New Roman" w:cs="Times New Roman" w:eastAsia="Times New Roman" w:hAnsi="Times New Roman"/>
          <w:sz w:val="15"/>
          <w:szCs w:val="15"/>
          <w:u w:val="single" w:color="auto"/>
          <w:color w:val="auto"/>
        </w:rPr>
        <w:t>Section 2.24.1</w:t>
      </w:r>
      <w:r>
        <w:rPr>
          <w:rFonts w:ascii="Times New Roman" w:cs="Times New Roman" w:eastAsia="Times New Roman" w:hAnsi="Times New Roman"/>
          <w:sz w:val="15"/>
          <w:szCs w:val="15"/>
          <w:color w:val="auto"/>
        </w:rPr>
        <w:t xml:space="preserve"> below), the Trust Agreement, the Sponsor Private Placement Securities Purchase Agreement (as defined in </w:t>
      </w:r>
      <w:r>
        <w:rPr>
          <w:rFonts w:ascii="Times New Roman" w:cs="Times New Roman" w:eastAsia="Times New Roman" w:hAnsi="Times New Roman"/>
          <w:sz w:val="15"/>
          <w:szCs w:val="15"/>
          <w:u w:val="single" w:color="auto"/>
          <w:color w:val="auto"/>
        </w:rPr>
        <w:t>Section 2.24. 2(a))</w:t>
      </w:r>
      <w:r>
        <w:rPr>
          <w:rFonts w:ascii="Times New Roman" w:cs="Times New Roman" w:eastAsia="Times New Roman" w:hAnsi="Times New Roman"/>
          <w:sz w:val="15"/>
          <w:szCs w:val="15"/>
          <w:color w:val="auto"/>
        </w:rPr>
        <w:t xml:space="preserve">, the Investor Private Placement Securities Purchase Agreement (as defined in </w:t>
      </w:r>
      <w:r>
        <w:rPr>
          <w:rFonts w:ascii="Times New Roman" w:cs="Times New Roman" w:eastAsia="Times New Roman" w:hAnsi="Times New Roman"/>
          <w:sz w:val="15"/>
          <w:szCs w:val="15"/>
          <w:u w:val="single" w:color="auto"/>
          <w:color w:val="auto"/>
        </w:rPr>
        <w:t>Section 2.24.2(b))</w:t>
      </w:r>
      <w:r>
        <w:rPr>
          <w:rFonts w:ascii="Times New Roman" w:cs="Times New Roman" w:eastAsia="Times New Roman" w:hAnsi="Times New Roman"/>
          <w:sz w:val="15"/>
          <w:szCs w:val="15"/>
          <w:color w:val="auto"/>
        </w:rPr>
        <w:t xml:space="preserve">, the Founder Shares Subscription Agreement (as defined in </w:t>
      </w:r>
      <w:r>
        <w:rPr>
          <w:rFonts w:ascii="Times New Roman" w:cs="Times New Roman" w:eastAsia="Times New Roman" w:hAnsi="Times New Roman"/>
          <w:sz w:val="15"/>
          <w:szCs w:val="15"/>
          <w:u w:val="single" w:color="auto"/>
          <w:color w:val="auto"/>
        </w:rPr>
        <w:t>Section 2.24.3)</w:t>
      </w:r>
      <w:r>
        <w:rPr>
          <w:rFonts w:ascii="Times New Roman" w:cs="Times New Roman" w:eastAsia="Times New Roman" w:hAnsi="Times New Roman"/>
          <w:sz w:val="15"/>
          <w:szCs w:val="15"/>
          <w:color w:val="auto"/>
        </w:rPr>
        <w:t xml:space="preserve"> the Services Agreement (as defined in </w:t>
      </w:r>
      <w:r>
        <w:rPr>
          <w:rFonts w:ascii="Times New Roman" w:cs="Times New Roman" w:eastAsia="Times New Roman" w:hAnsi="Times New Roman"/>
          <w:sz w:val="15"/>
          <w:szCs w:val="15"/>
          <w:u w:val="single" w:color="auto"/>
          <w:color w:val="auto"/>
        </w:rPr>
        <w:t>Section 2.24.7</w:t>
      </w:r>
      <w:r>
        <w:rPr>
          <w:rFonts w:ascii="Times New Roman" w:cs="Times New Roman" w:eastAsia="Times New Roman" w:hAnsi="Times New Roman"/>
          <w:sz w:val="15"/>
          <w:szCs w:val="15"/>
          <w:color w:val="auto"/>
        </w:rPr>
        <w:t xml:space="preserve"> below), the Rights Agreement (as defined in </w:t>
      </w:r>
      <w:r>
        <w:rPr>
          <w:rFonts w:ascii="Times New Roman" w:cs="Times New Roman" w:eastAsia="Times New Roman" w:hAnsi="Times New Roman"/>
          <w:sz w:val="15"/>
          <w:szCs w:val="15"/>
          <w:u w:val="single" w:color="auto"/>
          <w:color w:val="auto"/>
        </w:rPr>
        <w:t>Section 2.24.9)</w:t>
      </w:r>
      <w:r>
        <w:rPr>
          <w:rFonts w:ascii="Times New Roman" w:cs="Times New Roman" w:eastAsia="Times New Roman" w:hAnsi="Times New Roman"/>
          <w:sz w:val="15"/>
          <w:szCs w:val="15"/>
          <w:color w:val="auto"/>
        </w:rPr>
        <w:t xml:space="preserve"> and the Registration Rights Agreement (as defined in </w:t>
      </w:r>
      <w:r>
        <w:rPr>
          <w:rFonts w:ascii="Times New Roman" w:cs="Times New Roman" w:eastAsia="Times New Roman" w:hAnsi="Times New Roman"/>
          <w:sz w:val="15"/>
          <w:szCs w:val="15"/>
          <w:u w:val="single" w:color="auto"/>
          <w:color w:val="auto"/>
        </w:rPr>
        <w:t>Section 2.24.6</w:t>
      </w:r>
      <w:r>
        <w:rPr>
          <w:rFonts w:ascii="Times New Roman" w:cs="Times New Roman" w:eastAsia="Times New Roman" w:hAnsi="Times New Roman"/>
          <w:sz w:val="15"/>
          <w:szCs w:val="15"/>
          <w:color w:val="auto"/>
        </w:rPr>
        <w:t xml:space="preserve"> below) (collectively, the “</w:t>
      </w:r>
      <w:r>
        <w:rPr>
          <w:rFonts w:ascii="Times New Roman" w:cs="Times New Roman" w:eastAsia="Times New Roman" w:hAnsi="Times New Roman"/>
          <w:sz w:val="15"/>
          <w:szCs w:val="15"/>
          <w:u w:val="single" w:color="auto"/>
          <w:color w:val="auto"/>
        </w:rPr>
        <w:t>Transaction Documents</w:t>
      </w:r>
      <w:r>
        <w:rPr>
          <w:rFonts w:ascii="Times New Roman" w:cs="Times New Roman" w:eastAsia="Times New Roman" w:hAnsi="Times New Roman"/>
          <w:sz w:val="15"/>
          <w:szCs w:val="15"/>
          <w:color w:val="auto"/>
        </w:rPr>
        <w:t>”) have been duly and validly authorized by the Company, and, when executed and delivered by the Company and the other parties thereto, will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2" w:lineRule="exact"/>
        <w:rPr>
          <w:sz w:val="20"/>
          <w:szCs w:val="20"/>
          <w:color w:val="auto"/>
        </w:rPr>
      </w:pPr>
    </w:p>
    <w:p>
      <w:pPr>
        <w:ind w:right="20" w:firstLine="379"/>
        <w:spacing w:after="0" w:line="251" w:lineRule="auto"/>
        <w:rPr>
          <w:sz w:val="20"/>
          <w:szCs w:val="20"/>
          <w:color w:val="auto"/>
        </w:rPr>
      </w:pPr>
      <w:r>
        <w:rPr>
          <w:rFonts w:ascii="Times New Roman" w:cs="Times New Roman" w:eastAsia="Times New Roman" w:hAnsi="Times New Roman"/>
          <w:sz w:val="15"/>
          <w:szCs w:val="15"/>
          <w:color w:val="auto"/>
        </w:rPr>
        <w:t xml:space="preserve">Section 2.11 </w:t>
      </w:r>
      <w:r>
        <w:rPr>
          <w:rFonts w:ascii="Times New Roman" w:cs="Times New Roman" w:eastAsia="Times New Roman" w:hAnsi="Times New Roman"/>
          <w:sz w:val="15"/>
          <w:szCs w:val="15"/>
          <w:u w:val="single" w:color="auto"/>
          <w:color w:val="auto"/>
        </w:rPr>
        <w:t>No Conflicts etc</w:t>
      </w:r>
      <w:r>
        <w:rPr>
          <w:rFonts w:ascii="Times New Roman" w:cs="Times New Roman" w:eastAsia="Times New Roman" w:hAnsi="Times New Roman"/>
          <w:sz w:val="15"/>
          <w:szCs w:val="15"/>
          <w:color w:val="auto"/>
        </w:rPr>
        <w:t>. The execution, delivery, and performance by the Company of the Transaction Documents, the consummation by the Company of the transactions therein contemplated, and the compliance by the Company with the terms thereof do not and will not, with or without the giving of notice or the lapse of time or both: (i)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agreement, obligation, condition, covenant, or instrument to which the Company is a party or bound or to which its property is subject except pursuant to the Trust Agreement; (ii) result in any violation of the provisions of the Company’s amended and restated memorandum and articles of association (as the same may be amended from time to time, collectively the “</w:t>
      </w:r>
      <w:r>
        <w:rPr>
          <w:rFonts w:ascii="Times New Roman" w:cs="Times New Roman" w:eastAsia="Times New Roman" w:hAnsi="Times New Roman"/>
          <w:sz w:val="15"/>
          <w:szCs w:val="15"/>
          <w:u w:val="single" w:color="auto"/>
          <w:color w:val="auto"/>
        </w:rPr>
        <w:t>Charter Documents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or (iii) violate any existing applicable statute, law, rule, regulation, judgment, order, or decree of any governmental agency or court, domestic or foreign, having jurisdiction over the Company or any of its properties, business or assets, except such violation or breach that would not reasonably be expected to have a Material Adverse Effect.</w:t>
      </w:r>
    </w:p>
    <w:p>
      <w:pPr>
        <w:spacing w:after="0" w:line="165" w:lineRule="exact"/>
        <w:rPr>
          <w:sz w:val="20"/>
          <w:szCs w:val="20"/>
          <w:color w:val="auto"/>
        </w:rPr>
      </w:pPr>
    </w:p>
    <w:p>
      <w:pPr>
        <w:ind w:right="80" w:firstLine="379"/>
        <w:spacing w:after="0" w:line="253" w:lineRule="auto"/>
        <w:rPr>
          <w:sz w:val="20"/>
          <w:szCs w:val="20"/>
          <w:color w:val="auto"/>
        </w:rPr>
      </w:pPr>
      <w:r>
        <w:rPr>
          <w:rFonts w:ascii="Times New Roman" w:cs="Times New Roman" w:eastAsia="Times New Roman" w:hAnsi="Times New Roman"/>
          <w:sz w:val="15"/>
          <w:szCs w:val="15"/>
          <w:color w:val="auto"/>
        </w:rPr>
        <w:t xml:space="preserve">Section 2.12 </w:t>
      </w:r>
      <w:r>
        <w:rPr>
          <w:rFonts w:ascii="Times New Roman" w:cs="Times New Roman" w:eastAsia="Times New Roman" w:hAnsi="Times New Roman"/>
          <w:sz w:val="15"/>
          <w:szCs w:val="15"/>
          <w:u w:val="single" w:color="auto"/>
          <w:color w:val="auto"/>
        </w:rPr>
        <w:t>No Defaults; Violations</w:t>
      </w:r>
      <w:r>
        <w:rPr>
          <w:rFonts w:ascii="Times New Roman" w:cs="Times New Roman" w:eastAsia="Times New Roman" w:hAnsi="Times New Roman"/>
          <w:sz w:val="15"/>
          <w:szCs w:val="15"/>
          <w:color w:val="auto"/>
        </w:rPr>
        <w:t>. No default exists in the due performance and observance of any term, covenant or condition of any license, contract, indenture, mortgage, deed of trust, note, loan, or credit agreement, or any other agreement or instrument evidencing an obligation for borrowed money, or any other agreement or instrument to which the Company is a party or by which the Company may be bound or to which any of the properties or assets of the Company is subject except for such default that would not, singly or in the aggregate, result in a Material Adverse Effect to the Company. The Company is (i) not in violation of any term or provision of its Charter Documents; or (ii) in violation of any franchise, license, permit, applicable law, rule, regulation, judgment or decree of any governmental agency or court, domestic or foreign, having jurisdiction over the Company or any of its properties or businesses except, with respect to clause (ii) only, that would not, singly or in the aggregate, result in a Material Adverse Effect to the Company.</w:t>
      </w:r>
    </w:p>
    <w:p>
      <w:pPr>
        <w:sectPr>
          <w:pgSz w:w="11900" w:h="16840" w:orient="portrait"/>
          <w:cols w:equalWidth="0" w:num="1">
            <w:col w:w="9660"/>
          </w:cols>
          <w:pgMar w:left="1120" w:top="689" w:right="1120" w:bottom="1440" w:gutter="0" w:footer="0" w:header="0"/>
        </w:sectPr>
      </w:pPr>
    </w:p>
    <w:bookmarkStart w:id="280" w:name="page281"/>
    <w:bookmarkEnd w:id="280"/>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2.13 </w:t>
      </w:r>
      <w:r>
        <w:rPr>
          <w:rFonts w:ascii="Times New Roman" w:cs="Times New Roman" w:eastAsia="Times New Roman" w:hAnsi="Times New Roman"/>
          <w:sz w:val="15"/>
          <w:szCs w:val="15"/>
          <w:u w:val="single" w:color="auto"/>
          <w:color w:val="auto"/>
        </w:rPr>
        <w:t>Corporate Power; Licenses; Consents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20" w:firstLine="865"/>
        <w:spacing w:after="0" w:line="252" w:lineRule="auto"/>
        <w:rPr>
          <w:sz w:val="20"/>
          <w:szCs w:val="20"/>
          <w:color w:val="auto"/>
        </w:rPr>
      </w:pPr>
      <w:r>
        <w:rPr>
          <w:rFonts w:ascii="Times New Roman" w:cs="Times New Roman" w:eastAsia="Times New Roman" w:hAnsi="Times New Roman"/>
          <w:sz w:val="15"/>
          <w:szCs w:val="15"/>
          <w:color w:val="auto"/>
        </w:rPr>
        <w:t xml:space="preserve">2.13.1 </w:t>
      </w:r>
      <w:r>
        <w:rPr>
          <w:rFonts w:ascii="Times New Roman" w:cs="Times New Roman" w:eastAsia="Times New Roman" w:hAnsi="Times New Roman"/>
          <w:sz w:val="15"/>
          <w:szCs w:val="15"/>
          <w:u w:val="single" w:color="auto"/>
          <w:color w:val="auto"/>
        </w:rPr>
        <w:t>Conduct of Business</w:t>
      </w:r>
      <w:r>
        <w:rPr>
          <w:rFonts w:ascii="Times New Roman" w:cs="Times New Roman" w:eastAsia="Times New Roman" w:hAnsi="Times New Roman"/>
          <w:sz w:val="15"/>
          <w:szCs w:val="15"/>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General Disclosure Package, and the Prospectus. The disclosures in the Registration Statement, the General Disclosure Package, and the Prospectus concerning the effects of foreign, federal, state, and local regulation on this Offering and the Company’s business purpose as currently contemplated are correct in all material respects and do not omit to state a material fact required to be stated therein or necessary in order to make the statements therein, in the light of the circumstances under which they were made, not misleading. Since its formation and except as described in the Registration Statement, the Company has conducted no business and has incurred no liabilities other than in connection with its formation and in furtherance of the Offering.</w:t>
      </w:r>
    </w:p>
    <w:p>
      <w:pPr>
        <w:spacing w:after="0" w:line="162" w:lineRule="exact"/>
        <w:rPr>
          <w:sz w:val="20"/>
          <w:szCs w:val="20"/>
          <w:color w:val="auto"/>
        </w:rPr>
      </w:pPr>
    </w:p>
    <w:p>
      <w:pPr>
        <w:ind w:right="40" w:firstLine="865"/>
        <w:spacing w:after="0" w:line="253" w:lineRule="auto"/>
        <w:rPr>
          <w:sz w:val="20"/>
          <w:szCs w:val="20"/>
          <w:color w:val="auto"/>
        </w:rPr>
      </w:pPr>
      <w:r>
        <w:rPr>
          <w:rFonts w:ascii="Times New Roman" w:cs="Times New Roman" w:eastAsia="Times New Roman" w:hAnsi="Times New Roman"/>
          <w:sz w:val="15"/>
          <w:szCs w:val="15"/>
          <w:color w:val="auto"/>
        </w:rPr>
        <w:t xml:space="preserve">2.13.2 </w:t>
      </w:r>
      <w:r>
        <w:rPr>
          <w:rFonts w:ascii="Times New Roman" w:cs="Times New Roman" w:eastAsia="Times New Roman" w:hAnsi="Times New Roman"/>
          <w:sz w:val="15"/>
          <w:szCs w:val="15"/>
          <w:u w:val="single" w:color="auto"/>
          <w:color w:val="auto"/>
        </w:rPr>
        <w:t>Transactions Contemplated Herein</w:t>
      </w:r>
      <w:r>
        <w:rPr>
          <w:rFonts w:ascii="Times New Roman" w:cs="Times New Roman" w:eastAsia="Times New Roman" w:hAnsi="Times New Roman"/>
          <w:sz w:val="15"/>
          <w:szCs w:val="15"/>
          <w:color w:val="auto"/>
        </w:rPr>
        <w:t>. The Company has all corporate power and authority to enter into this Agreement and to carry out the provisions and conditions hereof, and all consents, authorizations, approvals, and orders required in connection herewith have been obtained. No consent, authorization, or order of, and no filing with, any court, government agency, or other body, foreign or domestic, is required for the valid issuance, sale, and delivery, of the Public Securities, the Public Shares, and the Rights and the consummation of the transactions and agreements contemplated by the Transaction Documents and as contemplated by the Registration Statement, the General Disclosure Package, and Prospectus, except with respect to applicable foreign, federal, and state securities laws and the rules and regulations promulgated by the Financial Industry Regulatory Authority, Inc. (“</w:t>
      </w:r>
      <w:r>
        <w:rPr>
          <w:rFonts w:ascii="Times New Roman" w:cs="Times New Roman" w:eastAsia="Times New Roman" w:hAnsi="Times New Roman"/>
          <w:sz w:val="15"/>
          <w:szCs w:val="15"/>
          <w:u w:val="single" w:color="auto"/>
          <w:color w:val="auto"/>
        </w:rPr>
        <w:t>FINRA</w:t>
      </w:r>
      <w:r>
        <w:rPr>
          <w:rFonts w:ascii="Times New Roman" w:cs="Times New Roman" w:eastAsia="Times New Roman" w:hAnsi="Times New Roman"/>
          <w:sz w:val="15"/>
          <w:szCs w:val="15"/>
          <w:color w:val="auto"/>
        </w:rPr>
        <w:t>”).</w:t>
      </w:r>
    </w:p>
    <w:p>
      <w:pPr>
        <w:spacing w:after="0" w:line="342" w:lineRule="exact"/>
        <w:rPr>
          <w:sz w:val="20"/>
          <w:szCs w:val="20"/>
          <w:color w:val="auto"/>
        </w:rPr>
      </w:pPr>
    </w:p>
    <w:p>
      <w:pPr>
        <w:ind w:right="40" w:firstLine="379"/>
        <w:spacing w:after="0" w:line="254" w:lineRule="auto"/>
        <w:rPr>
          <w:sz w:val="20"/>
          <w:szCs w:val="20"/>
          <w:color w:val="auto"/>
        </w:rPr>
      </w:pPr>
      <w:r>
        <w:rPr>
          <w:rFonts w:ascii="Times New Roman" w:cs="Times New Roman" w:eastAsia="Times New Roman" w:hAnsi="Times New Roman"/>
          <w:sz w:val="15"/>
          <w:szCs w:val="15"/>
          <w:color w:val="auto"/>
        </w:rPr>
        <w:t xml:space="preserve">Section 2.14 </w:t>
      </w:r>
      <w:r>
        <w:rPr>
          <w:rFonts w:ascii="Times New Roman" w:cs="Times New Roman" w:eastAsia="Times New Roman" w:hAnsi="Times New Roman"/>
          <w:sz w:val="15"/>
          <w:szCs w:val="15"/>
          <w:u w:val="single" w:color="auto"/>
          <w:color w:val="auto"/>
        </w:rPr>
        <w:t>D&amp;O Questionnaires</w:t>
      </w:r>
      <w:r>
        <w:rPr>
          <w:rFonts w:ascii="Times New Roman" w:cs="Times New Roman" w:eastAsia="Times New Roman" w:hAnsi="Times New Roman"/>
          <w:sz w:val="15"/>
          <w:szCs w:val="15"/>
          <w:color w:val="auto"/>
        </w:rPr>
        <w:t>. To the Company’s knowledge, all information contained in the questionnaires completed immediately prior to the initial filing of the Registration Statement and provided to the Representative (the “</w:t>
      </w:r>
      <w:r>
        <w:rPr>
          <w:rFonts w:ascii="Times New Roman" w:cs="Times New Roman" w:eastAsia="Times New Roman" w:hAnsi="Times New Roman"/>
          <w:sz w:val="15"/>
          <w:szCs w:val="15"/>
          <w:u w:val="single" w:color="auto"/>
          <w:color w:val="auto"/>
        </w:rPr>
        <w:t>Questionnaires</w:t>
      </w:r>
      <w:r>
        <w:rPr>
          <w:rFonts w:ascii="Times New Roman" w:cs="Times New Roman" w:eastAsia="Times New Roman" w:hAnsi="Times New Roman"/>
          <w:sz w:val="15"/>
          <w:szCs w:val="15"/>
          <w:color w:val="auto"/>
        </w:rPr>
        <w:t xml:space="preserve">”) by each of the Company’s officers, directors, 10% beneficial owners, and owners of unregistered securities acquired within the past 180 days (the “ </w:t>
      </w:r>
      <w:r>
        <w:rPr>
          <w:rFonts w:ascii="Times New Roman" w:cs="Times New Roman" w:eastAsia="Times New Roman" w:hAnsi="Times New Roman"/>
          <w:sz w:val="15"/>
          <w:szCs w:val="15"/>
          <w:u w:val="single" w:color="auto"/>
          <w:color w:val="auto"/>
        </w:rPr>
        <w:t>Respondents</w:t>
      </w:r>
      <w:r>
        <w:rPr>
          <w:rFonts w:ascii="Times New Roman" w:cs="Times New Roman" w:eastAsia="Times New Roman" w:hAnsi="Times New Roman"/>
          <w:sz w:val="15"/>
          <w:szCs w:val="15"/>
          <w:color w:val="auto"/>
        </w:rPr>
        <w:t>”), as such Questionnaires may have been updated from time to time and confirmed by each of the Respondents, as well as the biographies previously provided to the Representative, is true and correct and the Company has not become aware of any information which would cause the information disclosed in the Questionnaires to become inaccurate and incorrect.</w:t>
      </w:r>
    </w:p>
    <w:p>
      <w:pPr>
        <w:spacing w:after="0" w:line="160" w:lineRule="exact"/>
        <w:rPr>
          <w:sz w:val="20"/>
          <w:szCs w:val="20"/>
          <w:color w:val="auto"/>
        </w:rPr>
      </w:pPr>
    </w:p>
    <w:p>
      <w:pPr>
        <w:ind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2.15 </w:t>
      </w:r>
      <w:r>
        <w:rPr>
          <w:rFonts w:ascii="Times New Roman" w:cs="Times New Roman" w:eastAsia="Times New Roman" w:hAnsi="Times New Roman"/>
          <w:sz w:val="15"/>
          <w:szCs w:val="15"/>
          <w:u w:val="single" w:color="auto"/>
          <w:color w:val="auto"/>
        </w:rPr>
        <w:t>Litigation; Governmental Proceedings</w:t>
      </w:r>
      <w:r>
        <w:rPr>
          <w:rFonts w:ascii="Times New Roman" w:cs="Times New Roman" w:eastAsia="Times New Roman" w:hAnsi="Times New Roman"/>
          <w:sz w:val="15"/>
          <w:szCs w:val="15"/>
          <w:color w:val="auto"/>
        </w:rPr>
        <w:t>. There is no action, suit, proceeding, inquiry, arbitration, investigation, litigation, or governmental proceeding pending or, to the Company’s knowledge, threatened against, or involving the Company or, to the Company’s knowledge, any of the Respondents, which has not been disclosed in the Registration Statement, the General Disclosure Package, and the Prospectus.</w:t>
      </w:r>
    </w:p>
    <w:p>
      <w:pPr>
        <w:sectPr>
          <w:pgSz w:w="11900" w:h="16840" w:orient="portrait"/>
          <w:cols w:equalWidth="0" w:num="1">
            <w:col w:w="9620"/>
          </w:cols>
          <w:pgMar w:left="1120" w:top="689" w:right="1160" w:bottom="1440" w:gutter="0" w:footer="0" w:header="0"/>
        </w:sectPr>
      </w:pPr>
    </w:p>
    <w:bookmarkStart w:id="281" w:name="page282"/>
    <w:bookmarkEnd w:id="281"/>
    <w:p>
      <w:pPr>
        <w:ind w:right="80" w:firstLine="379"/>
        <w:spacing w:after="0" w:line="25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2.16 </w:t>
      </w:r>
      <w:r>
        <w:rPr>
          <w:rFonts w:ascii="Times New Roman" w:cs="Times New Roman" w:eastAsia="Times New Roman" w:hAnsi="Times New Roman"/>
          <w:sz w:val="15"/>
          <w:szCs w:val="15"/>
          <w:u w:val="single" w:color="auto"/>
          <w:color w:val="auto"/>
        </w:rPr>
        <w:t>Good Standing</w:t>
      </w:r>
      <w:r>
        <w:rPr>
          <w:rFonts w:ascii="Times New Roman" w:cs="Times New Roman" w:eastAsia="Times New Roman" w:hAnsi="Times New Roman"/>
          <w:sz w:val="15"/>
          <w:szCs w:val="15"/>
          <w:color w:val="auto"/>
        </w:rPr>
        <w:t>. The Company has been duly organized and is validly existing as a corporation and is in good standing under the laws of its jurisdiction of incorporation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condition (financial or otherwise), prospects, earnings, assets, business, operations or properties of the Company, whether or not arising from transactions in the ordinary course of business (a “</w:t>
      </w:r>
      <w:r>
        <w:rPr>
          <w:rFonts w:ascii="Times New Roman" w:cs="Times New Roman" w:eastAsia="Times New Roman" w:hAnsi="Times New Roman"/>
          <w:sz w:val="15"/>
          <w:szCs w:val="15"/>
          <w:u w:val="single" w:color="auto"/>
          <w:color w:val="auto"/>
        </w:rPr>
        <w:t>Material Adverse Effect</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ind w:right="46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2.17 </w:t>
      </w:r>
      <w:r>
        <w:rPr>
          <w:rFonts w:ascii="Times New Roman" w:cs="Times New Roman" w:eastAsia="Times New Roman" w:hAnsi="Times New Roman"/>
          <w:sz w:val="15"/>
          <w:szCs w:val="15"/>
          <w:u w:val="single" w:color="auto"/>
          <w:color w:val="auto"/>
        </w:rPr>
        <w:t>No Consideration of a Business Combination</w:t>
      </w:r>
      <w:r>
        <w:rPr>
          <w:rFonts w:ascii="Times New Roman" w:cs="Times New Roman" w:eastAsia="Times New Roman" w:hAnsi="Times New Roman"/>
          <w:sz w:val="15"/>
          <w:szCs w:val="15"/>
          <w:color w:val="auto"/>
        </w:rPr>
        <w:t xml:space="preserve">. Prior to the date hereof, neither the Company nor any Respondent has, and as of the Closing Date, the Company and such Respondents will not have: (a) had any specific Business Combination under consideration; or (b) directly or indirectly, contacted any prospective target business which the Company may seek to acquire (each, a “ </w:t>
      </w:r>
      <w:r>
        <w:rPr>
          <w:rFonts w:ascii="Times New Roman" w:cs="Times New Roman" w:eastAsia="Times New Roman" w:hAnsi="Times New Roman"/>
          <w:sz w:val="15"/>
          <w:szCs w:val="15"/>
          <w:u w:val="single" w:color="auto"/>
          <w:color w:val="auto"/>
        </w:rPr>
        <w:t>Target Business</w:t>
      </w:r>
      <w:r>
        <w:rPr>
          <w:rFonts w:ascii="Times New Roman" w:cs="Times New Roman" w:eastAsia="Times New Roman" w:hAnsi="Times New Roman"/>
          <w:sz w:val="15"/>
          <w:szCs w:val="15"/>
          <w:color w:val="auto"/>
        </w:rPr>
        <w:t>”) or had any substantive discussions, formal or otherwise, with respect to effecting any potential Business Combination with the Company.</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2.18 </w:t>
      </w:r>
      <w:r>
        <w:rPr>
          <w:rFonts w:ascii="Times New Roman" w:cs="Times New Roman" w:eastAsia="Times New Roman" w:hAnsi="Times New Roman"/>
          <w:sz w:val="15"/>
          <w:szCs w:val="15"/>
          <w:u w:val="single" w:color="auto"/>
          <w:color w:val="auto"/>
        </w:rPr>
        <w:t>Transactions Affecting Disclosure to FINRA</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100" w:firstLine="865"/>
        <w:spacing w:after="0" w:line="259" w:lineRule="auto"/>
        <w:rPr>
          <w:sz w:val="20"/>
          <w:szCs w:val="20"/>
          <w:color w:val="auto"/>
        </w:rPr>
      </w:pPr>
      <w:r>
        <w:rPr>
          <w:rFonts w:ascii="Times New Roman" w:cs="Times New Roman" w:eastAsia="Times New Roman" w:hAnsi="Times New Roman"/>
          <w:sz w:val="15"/>
          <w:szCs w:val="15"/>
          <w:color w:val="auto"/>
        </w:rPr>
        <w:t>2.18.1 To the Company’s knowledge, all information contained in the questionnaires (the “</w:t>
      </w:r>
      <w:r>
        <w:rPr>
          <w:rFonts w:ascii="Times New Roman" w:cs="Times New Roman" w:eastAsia="Times New Roman" w:hAnsi="Times New Roman"/>
          <w:sz w:val="15"/>
          <w:szCs w:val="15"/>
          <w:u w:val="single" w:color="auto"/>
          <w:color w:val="auto"/>
        </w:rPr>
        <w:t>FINRA Questionnaires</w:t>
      </w:r>
      <w:r>
        <w:rPr>
          <w:rFonts w:ascii="Times New Roman" w:cs="Times New Roman" w:eastAsia="Times New Roman" w:hAnsi="Times New Roman"/>
          <w:sz w:val="15"/>
          <w:szCs w:val="15"/>
          <w:color w:val="auto"/>
        </w:rPr>
        <w:t>”) completed by each of the Respondents and provided to the Representative, as such FINRA Questionnaires may have been updated from time to time and confirmed by each of the Respondents, is true and correct and the Company has not become aware of any information which would cause the information disclosed in the FINRA Questionnaires to become inaccurate and incorrect.</w:t>
      </w:r>
    </w:p>
    <w:p>
      <w:pPr>
        <w:spacing w:after="0" w:line="156" w:lineRule="exact"/>
        <w:rPr>
          <w:sz w:val="20"/>
          <w:szCs w:val="20"/>
          <w:color w:val="auto"/>
        </w:rPr>
      </w:pPr>
    </w:p>
    <w:p>
      <w:pPr>
        <w:ind w:right="100" w:firstLine="865"/>
        <w:spacing w:after="0" w:line="259" w:lineRule="auto"/>
        <w:rPr>
          <w:sz w:val="20"/>
          <w:szCs w:val="20"/>
          <w:color w:val="auto"/>
        </w:rPr>
      </w:pPr>
      <w:r>
        <w:rPr>
          <w:rFonts w:ascii="Times New Roman" w:cs="Times New Roman" w:eastAsia="Times New Roman" w:hAnsi="Times New Roman"/>
          <w:sz w:val="15"/>
          <w:szCs w:val="15"/>
          <w:color w:val="auto"/>
        </w:rPr>
        <w:t>2.18.2 Except as described in the Registration Statement, the General Disclosure Package, and the Prospectus, there are no claims, payments, arrangements, agreements, or understandings relating to the payment of a finder’s, consulting, or origination fee by the Company or any Respondent with respect to the sale of the Public Securities, the Public Shares, and the Rights hereunder or any other arrangements, agreements, or understandings of the Company or, to the Company’s knowledge, any Respondent that may affect the Underwriters’ compensation, as determined by FINRA.</w:t>
      </w:r>
    </w:p>
    <w:p>
      <w:pPr>
        <w:spacing w:after="0" w:line="156" w:lineRule="exact"/>
        <w:rPr>
          <w:sz w:val="20"/>
          <w:szCs w:val="20"/>
          <w:color w:val="auto"/>
        </w:rPr>
      </w:pPr>
    </w:p>
    <w:p>
      <w:pPr>
        <w:ind w:firstLine="865"/>
        <w:spacing w:after="0" w:line="256" w:lineRule="auto"/>
        <w:rPr>
          <w:sz w:val="20"/>
          <w:szCs w:val="20"/>
          <w:color w:val="auto"/>
        </w:rPr>
      </w:pPr>
      <w:r>
        <w:rPr>
          <w:rFonts w:ascii="Times New Roman" w:cs="Times New Roman" w:eastAsia="Times New Roman" w:hAnsi="Times New Roman"/>
          <w:sz w:val="15"/>
          <w:szCs w:val="15"/>
          <w:color w:val="auto"/>
        </w:rPr>
        <w:t>2.18.3 Except as described herein or in the Registration Statement, the General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“participating member as defined in FINRA Rule 5110(j)(15) (“</w:t>
      </w:r>
      <w:r>
        <w:rPr>
          <w:rFonts w:ascii="Times New Roman" w:cs="Times New Roman" w:eastAsia="Times New Roman" w:hAnsi="Times New Roman"/>
          <w:sz w:val="15"/>
          <w:szCs w:val="15"/>
          <w:u w:val="single" w:color="auto"/>
          <w:color w:val="auto"/>
        </w:rPr>
        <w:t>Participating Member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or (iii) to any person or entity that has any direct or indirect affiliation or association with any Participating Member, within the 180-day period prior to the initial filing date of the Registration Statement with the Commission.</w:t>
      </w:r>
    </w:p>
    <w:p>
      <w:pPr>
        <w:spacing w:after="0" w:line="158" w:lineRule="exact"/>
        <w:rPr>
          <w:sz w:val="20"/>
          <w:szCs w:val="20"/>
          <w:color w:val="auto"/>
        </w:rPr>
      </w:pPr>
    </w:p>
    <w:p>
      <w:pPr>
        <w:ind w:right="120" w:firstLine="865"/>
        <w:spacing w:after="0" w:line="284" w:lineRule="auto"/>
        <w:rPr>
          <w:sz w:val="20"/>
          <w:szCs w:val="20"/>
          <w:color w:val="auto"/>
        </w:rPr>
      </w:pPr>
      <w:r>
        <w:rPr>
          <w:rFonts w:ascii="Times New Roman" w:cs="Times New Roman" w:eastAsia="Times New Roman" w:hAnsi="Times New Roman"/>
          <w:sz w:val="15"/>
          <w:szCs w:val="15"/>
          <w:color w:val="auto"/>
        </w:rPr>
        <w:t>2.18.4 To the Company’s knowledge, except as set forth in the FINRA Questionnaires, no Respondent is a Participating Member or a person associated or affiliated with a Participating Member.</w:t>
      </w:r>
    </w:p>
    <w:p>
      <w:pPr>
        <w:spacing w:after="0" w:line="137" w:lineRule="exact"/>
        <w:rPr>
          <w:sz w:val="20"/>
          <w:szCs w:val="20"/>
          <w:color w:val="auto"/>
        </w:rPr>
      </w:pPr>
    </w:p>
    <w:p>
      <w:pPr>
        <w:ind w:right="60" w:firstLine="865"/>
        <w:spacing w:after="0" w:line="284" w:lineRule="auto"/>
        <w:rPr>
          <w:sz w:val="20"/>
          <w:szCs w:val="20"/>
          <w:color w:val="auto"/>
        </w:rPr>
      </w:pPr>
      <w:r>
        <w:rPr>
          <w:rFonts w:ascii="Times New Roman" w:cs="Times New Roman" w:eastAsia="Times New Roman" w:hAnsi="Times New Roman"/>
          <w:sz w:val="15"/>
          <w:szCs w:val="15"/>
          <w:color w:val="auto"/>
        </w:rPr>
        <w:t>2.18.5 To the Company’s knowledge, except as set forth in the FINRA Questionnaires, no Respondent is an owner of stock or other securities of any Participating Member (other than securities purchased in the open market).</w:t>
      </w:r>
    </w:p>
    <w:p>
      <w:pPr>
        <w:sectPr>
          <w:pgSz w:w="11900" w:h="16840" w:orient="portrait"/>
          <w:cols w:equalWidth="0" w:num="1">
            <w:col w:w="9660"/>
          </w:cols>
          <w:pgMar w:left="1120" w:top="689" w:right="1120" w:bottom="1440" w:gutter="0" w:footer="0" w:header="0"/>
        </w:sectPr>
      </w:pPr>
    </w:p>
    <w:bookmarkStart w:id="282" w:name="page283"/>
    <w:bookmarkEnd w:id="282"/>
    <w:p>
      <w:pPr>
        <w:ind w:right="200" w:firstLine="865"/>
        <w:spacing w:after="0" w:line="28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6749415" cy="35560"/>
                    </a:xfrm>
                    <a:prstGeom prst="rect">
                      <a:avLst/>
                    </a:prstGeom>
                    <a:noFill/>
                  </pic:spPr>
                </pic:pic>
              </a:graphicData>
            </a:graphic>
          </wp:anchor>
        </w:drawing>
        <w:t>2.18.6 To the Company’s knowledge, except as set forth in the FINRA Questionnaires, no Respondent has made a subordinated loan to any Participating Member.</w:t>
      </w:r>
    </w:p>
    <w:p>
      <w:pPr>
        <w:spacing w:after="0" w:line="137" w:lineRule="exact"/>
        <w:rPr>
          <w:sz w:val="20"/>
          <w:szCs w:val="20"/>
          <w:color w:val="auto"/>
        </w:rPr>
      </w:pPr>
    </w:p>
    <w:p>
      <w:pPr>
        <w:ind w:right="40" w:firstLine="865"/>
        <w:spacing w:after="0" w:line="284" w:lineRule="auto"/>
        <w:rPr>
          <w:sz w:val="20"/>
          <w:szCs w:val="20"/>
          <w:color w:val="auto"/>
        </w:rPr>
      </w:pPr>
      <w:r>
        <w:rPr>
          <w:rFonts w:ascii="Times New Roman" w:cs="Times New Roman" w:eastAsia="Times New Roman" w:hAnsi="Times New Roman"/>
          <w:sz w:val="15"/>
          <w:szCs w:val="15"/>
          <w:color w:val="auto"/>
        </w:rPr>
        <w:t>2.18.7 No proceeds from the sale of the Public Securities, the Public Shares, or the Rights (excluding underwriting compensation) will be paid to any Participating Member, or any persons associated or affiliated with a Participating Member, except as specifically authorized herein.</w:t>
      </w:r>
    </w:p>
    <w:p>
      <w:pPr>
        <w:spacing w:after="0" w:line="1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2.18.8 </w:t>
      </w:r>
      <w:r>
        <w:rPr>
          <w:rFonts w:ascii="Times New Roman" w:cs="Times New Roman" w:eastAsia="Times New Roman" w:hAnsi="Times New Roman"/>
          <w:sz w:val="15"/>
          <w:szCs w:val="15"/>
          <w:u w:val="single" w:color="auto"/>
          <w:color w:val="auto"/>
        </w:rPr>
        <w:t>[Reserved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t>
      </w:r>
    </w:p>
    <w:p>
      <w:pPr>
        <w:spacing w:after="0" w:line="195" w:lineRule="exact"/>
        <w:rPr>
          <w:sz w:val="20"/>
          <w:szCs w:val="20"/>
          <w:color w:val="auto"/>
        </w:rPr>
      </w:pPr>
    </w:p>
    <w:p>
      <w:pPr>
        <w:jc w:val="both"/>
        <w:ind w:right="240" w:firstLine="865"/>
        <w:spacing w:after="0" w:line="265" w:lineRule="auto"/>
        <w:rPr>
          <w:sz w:val="20"/>
          <w:szCs w:val="20"/>
          <w:color w:val="auto"/>
        </w:rPr>
      </w:pPr>
      <w:r>
        <w:rPr>
          <w:rFonts w:ascii="Times New Roman" w:cs="Times New Roman" w:eastAsia="Times New Roman" w:hAnsi="Times New Roman"/>
          <w:sz w:val="15"/>
          <w:szCs w:val="15"/>
          <w:color w:val="auto"/>
        </w:rPr>
        <w:t>2.18.9 To the Company’s knowledge, except as set forth in the FINRA Questionnaires, no person to whom securities of the Company have been privately issued within the 180-day period prior to the initial filing date of the Registration Statement with the Commission has any relationship or affiliation or association with any Participating Member.</w:t>
      </w:r>
    </w:p>
    <w:p>
      <w:pPr>
        <w:spacing w:after="0" w:line="1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2.18.10 To the Company’s knowledge, no Participating Member in the Offering has a conflict of interest (as defined by FINRA rules)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w:t>
      </w:r>
    </w:p>
    <w:p>
      <w:pPr>
        <w:spacing w:after="0" w:line="179" w:lineRule="exact"/>
        <w:rPr>
          <w:sz w:val="20"/>
          <w:szCs w:val="20"/>
          <w:color w:val="auto"/>
        </w:rPr>
      </w:pPr>
    </w:p>
    <w:p>
      <w:pPr>
        <w:ind w:firstLine="865"/>
        <w:spacing w:after="0" w:line="259" w:lineRule="auto"/>
        <w:rPr>
          <w:sz w:val="20"/>
          <w:szCs w:val="20"/>
          <w:color w:val="auto"/>
        </w:rPr>
      </w:pPr>
      <w:r>
        <w:rPr>
          <w:rFonts w:ascii="Times New Roman" w:cs="Times New Roman" w:eastAsia="Times New Roman" w:hAnsi="Times New Roman"/>
          <w:sz w:val="15"/>
          <w:szCs w:val="15"/>
          <w:color w:val="auto"/>
        </w:rPr>
        <w:t>2.18.11 Except with respect to the Representative in connection with the Offering and as otherwise disclosed in the Registration Statement, the Company has not entered into any agreement or arrangement (including, without limitation, any consulting agreement or any other type of agreement) during the 180-day period prior to the initial filing date of the Registration Statement with the Commission, which arrangement or agreement provides for the receipt of any “underwriting compensation” as defined in FINRA Rule 5110.01 from the Company to a Participating Member.</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2.19 </w:t>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180" w:firstLine="865"/>
        <w:spacing w:after="0" w:line="265" w:lineRule="auto"/>
        <w:rPr>
          <w:sz w:val="20"/>
          <w:szCs w:val="20"/>
          <w:color w:val="auto"/>
        </w:rPr>
      </w:pPr>
      <w:r>
        <w:rPr>
          <w:rFonts w:ascii="Times New Roman" w:cs="Times New Roman" w:eastAsia="Times New Roman" w:hAnsi="Times New Roman"/>
          <w:sz w:val="15"/>
          <w:szCs w:val="15"/>
          <w:color w:val="auto"/>
        </w:rPr>
        <w:t>2.19.1 There are no transfer taxes or other similar fees or charges under U.S. federal law or the laws of any U.S. state or any political subdivision thereof, or under the laws of any non- U.S. jurisdiction, required to be paid in connection with the execution and delivery of this Agreement or the issuance or sale by the Company of the Public Securities, the Public Shares, and the Rights.</w:t>
      </w:r>
    </w:p>
    <w:p>
      <w:pPr>
        <w:spacing w:after="0" w:line="151" w:lineRule="exact"/>
        <w:rPr>
          <w:sz w:val="20"/>
          <w:szCs w:val="20"/>
          <w:color w:val="auto"/>
        </w:rPr>
      </w:pPr>
    </w:p>
    <w:p>
      <w:pPr>
        <w:ind w:right="60" w:firstLine="865"/>
        <w:spacing w:after="0" w:line="259" w:lineRule="auto"/>
        <w:rPr>
          <w:sz w:val="20"/>
          <w:szCs w:val="20"/>
          <w:color w:val="auto"/>
        </w:rPr>
      </w:pPr>
      <w:r>
        <w:rPr>
          <w:rFonts w:ascii="Times New Roman" w:cs="Times New Roman" w:eastAsia="Times New Roman" w:hAnsi="Times New Roman"/>
          <w:sz w:val="15"/>
          <w:szCs w:val="15"/>
          <w:color w:val="auto"/>
        </w:rPr>
        <w:t>2.19.2 The Company has filed all U.S. federal, state, and local, and non -U.S., tax returns that are required to be filed or has requested extensions thereof, except in any case in which the failure to so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w:t>
      </w:r>
    </w:p>
    <w:p>
      <w:pPr>
        <w:spacing w:after="0" w:line="156" w:lineRule="exact"/>
        <w:rPr>
          <w:sz w:val="20"/>
          <w:szCs w:val="20"/>
          <w:color w:val="auto"/>
        </w:rPr>
      </w:pPr>
    </w:p>
    <w:p>
      <w:pPr>
        <w:ind w:right="80" w:firstLine="379"/>
        <w:spacing w:after="0" w:line="253" w:lineRule="auto"/>
        <w:rPr>
          <w:sz w:val="20"/>
          <w:szCs w:val="20"/>
          <w:color w:val="auto"/>
        </w:rPr>
      </w:pPr>
      <w:r>
        <w:rPr>
          <w:rFonts w:ascii="Times New Roman" w:cs="Times New Roman" w:eastAsia="Times New Roman" w:hAnsi="Times New Roman"/>
          <w:sz w:val="15"/>
          <w:szCs w:val="15"/>
          <w:color w:val="auto"/>
        </w:rPr>
        <w:t xml:space="preserve">Section 2.20 </w:t>
      </w:r>
      <w:r>
        <w:rPr>
          <w:rFonts w:ascii="Times New Roman" w:cs="Times New Roman" w:eastAsia="Times New Roman" w:hAnsi="Times New Roman"/>
          <w:sz w:val="15"/>
          <w:szCs w:val="15"/>
          <w:u w:val="single" w:color="auto"/>
          <w:color w:val="auto"/>
        </w:rPr>
        <w:t>Foreign Corrupt Practices Act</w:t>
      </w:r>
      <w:r>
        <w:rPr>
          <w:rFonts w:ascii="Times New Roman" w:cs="Times New Roman" w:eastAsia="Times New Roman" w:hAnsi="Times New Roman"/>
          <w:sz w:val="15"/>
          <w:szCs w:val="15"/>
          <w:color w:val="auto"/>
        </w:rPr>
        <w:t>. Neither the Company nor any of the Respondents or any other person acting on behalf of the Company is aware of or has taken any action, directly or indirectly, that: (i) would result in a violation by such persons of the Foreign Corrupt Practices Act of 1977, as amended, and the rules and regulations thereunder (the “</w:t>
      </w:r>
      <w:r>
        <w:rPr>
          <w:rFonts w:ascii="Times New Roman" w:cs="Times New Roman" w:eastAsia="Times New Roman" w:hAnsi="Times New Roman"/>
          <w:sz w:val="15"/>
          <w:szCs w:val="15"/>
          <w:u w:val="single" w:color="auto"/>
          <w:color w:val="auto"/>
        </w:rPr>
        <w:t>FCPA</w:t>
      </w:r>
      <w:r>
        <w:rPr>
          <w:rFonts w:ascii="Times New Roman" w:cs="Times New Roman" w:eastAsia="Times New Roman" w:hAnsi="Times New Roman"/>
          <w:sz w:val="15"/>
          <w:szCs w:val="15"/>
          <w:color w:val="auto"/>
        </w:rPr>
        <w:t>”) or otherwise subject the Company to any damage or penalty in any civil, criminal, or governmental litigation or proceeding; (ii) if not done in the past, might reasonably be expected to have had a Material Adverse Effect or (iii) if not continued in the future, might reasonably be expected to materially and adversely affect the assets, business, or operations of the Company. The foregoing includes, without limitation, giving or agreeing to give any money, gift, or similar benefit (other than legal price concessions to customers in the ordinary course of business) to any customer,</w:t>
      </w:r>
    </w:p>
    <w:p>
      <w:pPr>
        <w:sectPr>
          <w:pgSz w:w="11900" w:h="16840" w:orient="portrait"/>
          <w:cols w:equalWidth="0" w:num="1">
            <w:col w:w="9660"/>
          </w:cols>
          <w:pgMar w:left="1120" w:top="689" w:right="1120" w:bottom="1440" w:gutter="0" w:footer="0" w:header="0"/>
        </w:sectPr>
      </w:pPr>
    </w:p>
    <w:bookmarkStart w:id="283" w:name="page284"/>
    <w:bookmarkEnd w:id="283"/>
    <w:p>
      <w:pPr>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6749415" cy="35560"/>
                    </a:xfrm>
                    <a:prstGeom prst="rect">
                      <a:avLst/>
                    </a:prstGeom>
                    <a:noFill/>
                  </pic:spPr>
                </pic:pic>
              </a:graphicData>
            </a:graphic>
          </wp:anchor>
        </w:drawing>
        <w:t>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The Company’s internal accounting controls and procedures are sufficient to cause the Company to comply with the FCPA.</w:t>
      </w:r>
    </w:p>
    <w:p>
      <w:pPr>
        <w:spacing w:after="0" w:line="156" w:lineRule="exact"/>
        <w:rPr>
          <w:sz w:val="20"/>
          <w:szCs w:val="20"/>
          <w:color w:val="auto"/>
        </w:rPr>
      </w:pPr>
    </w:p>
    <w:p>
      <w:pPr>
        <w:ind w:right="140" w:firstLine="379"/>
        <w:spacing w:after="0" w:line="254" w:lineRule="auto"/>
        <w:rPr>
          <w:sz w:val="20"/>
          <w:szCs w:val="20"/>
          <w:color w:val="auto"/>
        </w:rPr>
      </w:pPr>
      <w:r>
        <w:rPr>
          <w:rFonts w:ascii="Times New Roman" w:cs="Times New Roman" w:eastAsia="Times New Roman" w:hAnsi="Times New Roman"/>
          <w:sz w:val="15"/>
          <w:szCs w:val="15"/>
          <w:color w:val="auto"/>
        </w:rPr>
        <w:t xml:space="preserve">Section 2.21 </w:t>
      </w:r>
      <w:r>
        <w:rPr>
          <w:rFonts w:ascii="Times New Roman" w:cs="Times New Roman" w:eastAsia="Times New Roman" w:hAnsi="Times New Roman"/>
          <w:sz w:val="15"/>
          <w:szCs w:val="15"/>
          <w:u w:val="single" w:color="auto"/>
          <w:color w:val="auto"/>
        </w:rPr>
        <w:t>Currency and Foreign Transactions Reporting Ac</w:t>
      </w:r>
      <w:r>
        <w:rPr>
          <w:rFonts w:ascii="Times New Roman" w:cs="Times New Roman" w:eastAsia="Times New Roman" w:hAnsi="Times New Roman"/>
          <w:sz w:val="15"/>
          <w:szCs w:val="15"/>
          <w:color w:val="auto"/>
        </w:rPr>
        <w:t xml:space="preserve"> t. The operations of the Company have been conducted at all times in compliance with applicable financial recordkeeping and reporting requirements of the Currency and Foreign Transaction Reporting Act of 1970, as amended, the money laundering statutes of all applicable jurisdictions, the rules and regulations thereunder, and any related or similar rules, regulations, or guidelines, issued, administered, or enforced by any governmental agency (collectively, the “ </w:t>
      </w:r>
      <w:r>
        <w:rPr>
          <w:rFonts w:ascii="Times New Roman" w:cs="Times New Roman" w:eastAsia="Times New Roman" w:hAnsi="Times New Roman"/>
          <w:sz w:val="15"/>
          <w:szCs w:val="15"/>
          <w:u w:val="single" w:color="auto"/>
          <w:color w:val="auto"/>
        </w:rPr>
        <w:t>Money Laundering Laws</w:t>
      </w:r>
      <w:r>
        <w:rPr>
          <w:rFonts w:ascii="Times New Roman" w:cs="Times New Roman" w:eastAsia="Times New Roman" w:hAnsi="Times New Roman"/>
          <w:sz w:val="15"/>
          <w:szCs w:val="15"/>
          <w:color w:val="auto"/>
        </w:rPr>
        <w:t>”) and no action, suit, or proceeding by or before any court or governmental agency, authority, body, or any arbitrator involving the Company with respect to the Money Laundering Laws is pending or, to the best knowledge of the Company, threatened.</w:t>
      </w:r>
    </w:p>
    <w:p>
      <w:pPr>
        <w:spacing w:after="0" w:line="160" w:lineRule="exact"/>
        <w:rPr>
          <w:sz w:val="20"/>
          <w:szCs w:val="20"/>
          <w:color w:val="auto"/>
        </w:rPr>
      </w:pPr>
    </w:p>
    <w:p>
      <w:pPr>
        <w:ind w:right="2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2.22 </w:t>
      </w:r>
      <w:r>
        <w:rPr>
          <w:rFonts w:ascii="Times New Roman" w:cs="Times New Roman" w:eastAsia="Times New Roman" w:hAnsi="Times New Roman"/>
          <w:sz w:val="15"/>
          <w:szCs w:val="15"/>
          <w:u w:val="single" w:color="auto"/>
          <w:color w:val="auto"/>
        </w:rPr>
        <w:t>Bank Secrecy Act Money Laundering; Patriot Act</w:t>
      </w:r>
      <w:r>
        <w:rPr>
          <w:rFonts w:ascii="Times New Roman" w:cs="Times New Roman" w:eastAsia="Times New Roman" w:hAnsi="Times New Roman"/>
          <w:sz w:val="15"/>
          <w:szCs w:val="15"/>
          <w:color w:val="auto"/>
        </w:rPr>
        <w:t>. Neither the Company nor, to the Company’s knowledge, any Respondent, has violated: (i) the Bank Secrecy Act, as amended, (ii) the Money Laundering Laws or (iii) the Uniting and Strengthening of America by Providing Appropriate Tools Required to Intercept and Obstruct Terrorism (USA PATRIOT ACT) Act of 2001, and/or the rules and regulations promulgated under any such law, or any successor law.</w:t>
      </w:r>
    </w:p>
    <w:p>
      <w:pPr>
        <w:spacing w:after="0" w:line="156" w:lineRule="exact"/>
        <w:rPr>
          <w:sz w:val="20"/>
          <w:szCs w:val="20"/>
          <w:color w:val="auto"/>
        </w:rPr>
      </w:pPr>
    </w:p>
    <w:p>
      <w:pPr>
        <w:ind w:right="18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2.23 </w:t>
      </w:r>
      <w:r>
        <w:rPr>
          <w:rFonts w:ascii="Times New Roman" w:cs="Times New Roman" w:eastAsia="Times New Roman" w:hAnsi="Times New Roman"/>
          <w:sz w:val="15"/>
          <w:szCs w:val="15"/>
          <w:u w:val="single" w:color="auto"/>
          <w:color w:val="auto"/>
        </w:rPr>
        <w:t>Officers’ Certificate</w:t>
      </w:r>
      <w:r>
        <w:rPr>
          <w:rFonts w:ascii="Times New Roman" w:cs="Times New Roman" w:eastAsia="Times New Roman" w:hAnsi="Times New Roman"/>
          <w:sz w:val="15"/>
          <w:szCs w:val="15"/>
          <w:color w:val="auto"/>
        </w:rPr>
        <w:t>. Any certificate signed by any duly authorized officer of the Company and delivered to the Representative or to its counsel shall be deemed a representation and warranty by the Company to the Underwriters as to the matters covered thereby.</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2.24 </w:t>
      </w:r>
      <w:r>
        <w:rPr>
          <w:rFonts w:ascii="Times New Roman" w:cs="Times New Roman" w:eastAsia="Times New Roman" w:hAnsi="Times New Roman"/>
          <w:sz w:val="15"/>
          <w:szCs w:val="15"/>
          <w:u w:val="single" w:color="auto"/>
          <w:color w:val="auto"/>
        </w:rPr>
        <w:t>Agreements with Company Affiliates and Others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20" w:firstLine="865"/>
        <w:spacing w:after="0" w:line="253" w:lineRule="auto"/>
        <w:rPr>
          <w:sz w:val="20"/>
          <w:szCs w:val="20"/>
          <w:color w:val="auto"/>
        </w:rPr>
      </w:pPr>
      <w:r>
        <w:rPr>
          <w:rFonts w:ascii="Times New Roman" w:cs="Times New Roman" w:eastAsia="Times New Roman" w:hAnsi="Times New Roman"/>
          <w:sz w:val="15"/>
          <w:szCs w:val="15"/>
          <w:color w:val="auto"/>
        </w:rPr>
        <w:t xml:space="preserve">2.24.1 </w:t>
      </w:r>
      <w:r>
        <w:rPr>
          <w:rFonts w:ascii="Times New Roman" w:cs="Times New Roman" w:eastAsia="Times New Roman" w:hAnsi="Times New Roman"/>
          <w:sz w:val="15"/>
          <w:szCs w:val="15"/>
          <w:u w:val="single" w:color="auto"/>
          <w:color w:val="auto"/>
        </w:rPr>
        <w:t>Insider Letter</w:t>
      </w:r>
      <w:r>
        <w:rPr>
          <w:rFonts w:ascii="Times New Roman" w:cs="Times New Roman" w:eastAsia="Times New Roman" w:hAnsi="Times New Roman"/>
          <w:sz w:val="15"/>
          <w:szCs w:val="15"/>
          <w:color w:val="auto"/>
        </w:rPr>
        <w:t>. The Company has caused to be duly executed legally binding and enforceable agreement (except (i) as such enforceability may be limited by bankruptcy, insolvency, reorganization, or similar laws affecting creditors’ rights generally, (ii) as enforceability of any indemnification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 in the form filed as an exhibit to the Registration Statement (the “</w:t>
      </w:r>
      <w:r>
        <w:rPr>
          <w:rFonts w:ascii="Times New Roman" w:cs="Times New Roman" w:eastAsia="Times New Roman" w:hAnsi="Times New Roman"/>
          <w:sz w:val="15"/>
          <w:szCs w:val="15"/>
          <w:u w:val="single" w:color="auto"/>
          <w:color w:val="auto"/>
        </w:rPr>
        <w:t>Insider Letter</w:t>
      </w:r>
      <w:r>
        <w:rPr>
          <w:rFonts w:ascii="Times New Roman" w:cs="Times New Roman" w:eastAsia="Times New Roman" w:hAnsi="Times New Roman"/>
          <w:sz w:val="15"/>
          <w:szCs w:val="15"/>
          <w:color w:val="auto"/>
        </w:rPr>
        <w:t>”), pursuant to which each of the Respondents agrees to certain matters, including but not limited to, the voting of the Ordinary Shares of the Company held by them and certain matters described as being agreed to by them under the “Proposed Business” section of the Registration Statement, the General Disclosure Package, and Prospectus.</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2.24.2 </w:t>
      </w:r>
      <w:r>
        <w:rPr>
          <w:rFonts w:ascii="Times New Roman" w:cs="Times New Roman" w:eastAsia="Times New Roman" w:hAnsi="Times New Roman"/>
          <w:sz w:val="15"/>
          <w:szCs w:val="15"/>
          <w:u w:val="single" w:color="auto"/>
          <w:color w:val="auto"/>
        </w:rPr>
        <w:t>Private Placement Agreements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80" w:firstLine="860"/>
        <w:spacing w:after="0" w:line="259" w:lineRule="auto"/>
        <w:tabs>
          <w:tab w:leader="none" w:pos="1074"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of the Sponsor, the Specified Independent Directors and Lynrock has executed and delivered a unit purchase agreement (the </w:t>
      </w:r>
      <w:r>
        <w:rPr>
          <w:rFonts w:ascii="Times New Roman" w:cs="Times New Roman" w:eastAsia="Times New Roman" w:hAnsi="Times New Roman"/>
          <w:sz w:val="15"/>
          <w:szCs w:val="15"/>
          <w:u w:val="single" w:color="auto"/>
          <w:color w:val="auto"/>
        </w:rPr>
        <w:t>Sponsor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Private Placement Securities Purchase Agreement</w:t>
      </w:r>
      <w:r>
        <w:rPr>
          <w:rFonts w:ascii="Times New Roman" w:cs="Times New Roman" w:eastAsia="Times New Roman" w:hAnsi="Times New Roman"/>
          <w:sz w:val="15"/>
          <w:szCs w:val="15"/>
          <w:color w:val="auto"/>
        </w:rPr>
        <w:t>”), the form of which is filed as an exhibit to the Registration Statement, pursuant to which the Sponsor, the Specified Independent Directors and Lynrock have agreed, among other things, to purchase an aggregate of 95,200 Private Placement Securities on the Closing Date.</w:t>
      </w:r>
    </w:p>
    <w:p>
      <w:pPr>
        <w:sectPr>
          <w:pgSz w:w="11900" w:h="16840" w:orient="portrait"/>
          <w:cols w:equalWidth="0" w:num="1">
            <w:col w:w="9680"/>
          </w:cols>
          <w:pgMar w:left="1120" w:top="689" w:right="1100" w:bottom="1440" w:gutter="0" w:footer="0" w:header="0"/>
        </w:sectPr>
      </w:pPr>
    </w:p>
    <w:bookmarkStart w:id="284" w:name="page285"/>
    <w:bookmarkEnd w:id="284"/>
    <w:p>
      <w:pPr>
        <w:ind w:right="40" w:firstLine="1250"/>
        <w:spacing w:after="0" w:line="265" w:lineRule="auto"/>
        <w:tabs>
          <w:tab w:leader="none" w:pos="1474"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6749415" cy="35560"/>
                    </a:xfrm>
                    <a:prstGeom prst="rect">
                      <a:avLst/>
                    </a:prstGeom>
                    <a:noFill/>
                  </pic:spPr>
                </pic:pic>
              </a:graphicData>
            </a:graphic>
          </wp:anchor>
        </w:drawing>
        <w:t>The Private Placement Investors have executed and delivered a private placement securities purchase agreement, the form of which is filed as an exhibit to the Registration Statement (the “</w:t>
      </w:r>
      <w:r>
        <w:rPr>
          <w:rFonts w:ascii="Times New Roman" w:cs="Times New Roman" w:eastAsia="Times New Roman" w:hAnsi="Times New Roman"/>
          <w:sz w:val="15"/>
          <w:szCs w:val="15"/>
          <w:u w:val="single" w:color="auto"/>
          <w:color w:val="auto"/>
        </w:rPr>
        <w:t>Investor Private Placement Securities Purchase Agreement</w:t>
      </w:r>
      <w:r>
        <w:rPr>
          <w:rFonts w:ascii="Times New Roman" w:cs="Times New Roman" w:eastAsia="Times New Roman" w:hAnsi="Times New Roman"/>
          <w:sz w:val="15"/>
          <w:szCs w:val="15"/>
          <w:color w:val="auto"/>
        </w:rPr>
        <w:t>”), pursuant to which the Private Placement Investor has agreed, among other things, to purchase 242,475 Private Placement Securities on the Closing Date.</w:t>
      </w:r>
    </w:p>
    <w:p>
      <w:pPr>
        <w:spacing w:after="0" w:line="151" w:lineRule="exact"/>
        <w:rPr>
          <w:sz w:val="20"/>
          <w:szCs w:val="20"/>
          <w:color w:val="auto"/>
        </w:rPr>
      </w:pPr>
    </w:p>
    <w:p>
      <w:pPr>
        <w:ind w:firstLine="865"/>
        <w:spacing w:after="0" w:line="284" w:lineRule="auto"/>
        <w:rPr>
          <w:sz w:val="20"/>
          <w:szCs w:val="20"/>
          <w:color w:val="auto"/>
        </w:rPr>
      </w:pPr>
      <w:r>
        <w:rPr>
          <w:rFonts w:ascii="Times New Roman" w:cs="Times New Roman" w:eastAsia="Times New Roman" w:hAnsi="Times New Roman"/>
          <w:sz w:val="15"/>
          <w:szCs w:val="15"/>
          <w:color w:val="auto"/>
        </w:rPr>
        <w:t xml:space="preserve">2.24.3 </w:t>
      </w:r>
      <w:r>
        <w:rPr>
          <w:rFonts w:ascii="Times New Roman" w:cs="Times New Roman" w:eastAsia="Times New Roman" w:hAnsi="Times New Roman"/>
          <w:sz w:val="15"/>
          <w:szCs w:val="15"/>
          <w:u w:val="single" w:color="auto"/>
          <w:color w:val="auto"/>
        </w:rPr>
        <w:t>Founder Share Subscription Agreement</w:t>
      </w:r>
      <w:r>
        <w:rPr>
          <w:rFonts w:ascii="Times New Roman" w:cs="Times New Roman" w:eastAsia="Times New Roman" w:hAnsi="Times New Roman"/>
          <w:sz w:val="15"/>
          <w:szCs w:val="15"/>
          <w:color w:val="auto"/>
        </w:rPr>
        <w:t>. The Sponsor has executed and delivered a subscription agreement, which is filed as an exhibit to the Registration Statement (the “</w:t>
      </w:r>
      <w:r>
        <w:rPr>
          <w:rFonts w:ascii="Times New Roman" w:cs="Times New Roman" w:eastAsia="Times New Roman" w:hAnsi="Times New Roman"/>
          <w:sz w:val="15"/>
          <w:szCs w:val="15"/>
          <w:u w:val="single" w:color="auto"/>
          <w:color w:val="auto"/>
        </w:rPr>
        <w:t>Founder Share Subscription Agreement</w:t>
      </w:r>
      <w:r>
        <w:rPr>
          <w:rFonts w:ascii="Times New Roman" w:cs="Times New Roman" w:eastAsia="Times New Roman" w:hAnsi="Times New Roman"/>
          <w:sz w:val="15"/>
          <w:szCs w:val="15"/>
          <w:color w:val="auto"/>
        </w:rPr>
        <w:t>”), pursuant to which the Sponsor purchased the Founder Shares.</w:t>
      </w:r>
    </w:p>
    <w:p>
      <w:pPr>
        <w:spacing w:after="0" w:line="137" w:lineRule="exact"/>
        <w:rPr>
          <w:sz w:val="20"/>
          <w:szCs w:val="20"/>
          <w:color w:val="auto"/>
        </w:rPr>
      </w:pPr>
    </w:p>
    <w:p>
      <w:pPr>
        <w:ind w:right="140" w:firstLine="865"/>
        <w:spacing w:after="0" w:line="265" w:lineRule="auto"/>
        <w:rPr>
          <w:sz w:val="20"/>
          <w:szCs w:val="20"/>
          <w:color w:val="auto"/>
        </w:rPr>
      </w:pPr>
      <w:r>
        <w:rPr>
          <w:rFonts w:ascii="Times New Roman" w:cs="Times New Roman" w:eastAsia="Times New Roman" w:hAnsi="Times New Roman"/>
          <w:sz w:val="15"/>
          <w:szCs w:val="15"/>
          <w:color w:val="auto"/>
        </w:rPr>
        <w:t xml:space="preserve">2. 24.4 </w:t>
      </w:r>
      <w:r>
        <w:rPr>
          <w:rFonts w:ascii="Times New Roman" w:cs="Times New Roman" w:eastAsia="Times New Roman" w:hAnsi="Times New Roman"/>
          <w:sz w:val="15"/>
          <w:szCs w:val="15"/>
          <w:u w:val="single" w:color="auto"/>
          <w:color w:val="auto"/>
        </w:rPr>
        <w:t>Non-Competition/Solicitation</w:t>
      </w:r>
      <w:r>
        <w:rPr>
          <w:rFonts w:ascii="Times New Roman" w:cs="Times New Roman" w:eastAsia="Times New Roman" w:hAnsi="Times New Roman"/>
          <w:sz w:val="15"/>
          <w:szCs w:val="15"/>
          <w:color w:val="auto"/>
        </w:rPr>
        <w:t>. To the Company’s knowledge, no Respondent is subject to any non-competition agreement or non-solicitation agreement with any employer or prior employer which could materially affect such Respondent’s ability to be and act in the capacity of a director or officer of the Company, as applicable.</w:t>
      </w:r>
    </w:p>
    <w:p>
      <w:pPr>
        <w:spacing w:after="0" w:line="151" w:lineRule="exact"/>
        <w:rPr>
          <w:sz w:val="20"/>
          <w:szCs w:val="20"/>
          <w:color w:val="auto"/>
        </w:rPr>
      </w:pPr>
    </w:p>
    <w:p>
      <w:pPr>
        <w:ind w:right="360" w:firstLine="865"/>
        <w:spacing w:after="0" w:line="265" w:lineRule="auto"/>
        <w:rPr>
          <w:sz w:val="20"/>
          <w:szCs w:val="20"/>
          <w:color w:val="auto"/>
        </w:rPr>
      </w:pPr>
      <w:r>
        <w:rPr>
          <w:rFonts w:ascii="Times New Roman" w:cs="Times New Roman" w:eastAsia="Times New Roman" w:hAnsi="Times New Roman"/>
          <w:sz w:val="15"/>
          <w:szCs w:val="15"/>
          <w:color w:val="auto"/>
        </w:rPr>
        <w:t xml:space="preserve">2.24.5 </w:t>
      </w:r>
      <w:r>
        <w:rPr>
          <w:rFonts w:ascii="Times New Roman" w:cs="Times New Roman" w:eastAsia="Times New Roman" w:hAnsi="Times New Roman"/>
          <w:sz w:val="15"/>
          <w:szCs w:val="15"/>
          <w:u w:val="single" w:color="auto"/>
          <w:color w:val="auto"/>
        </w:rPr>
        <w:t>Loans</w:t>
      </w:r>
      <w:r>
        <w:rPr>
          <w:rFonts w:ascii="Times New Roman" w:cs="Times New Roman" w:eastAsia="Times New Roman" w:hAnsi="Times New Roman"/>
          <w:sz w:val="15"/>
          <w:szCs w:val="15"/>
          <w:color w:val="auto"/>
        </w:rPr>
        <w:t xml:space="preserve">. The Sponsor has agreed to make loans to the Company in the aggregate amount of up to $100,000 (the </w:t>
      </w:r>
      <w:r>
        <w:rPr>
          <w:rFonts w:ascii="Times New Roman" w:cs="Times New Roman" w:eastAsia="Times New Roman" w:hAnsi="Times New Roman"/>
          <w:sz w:val="15"/>
          <w:szCs w:val="15"/>
          <w:u w:val="single" w:color="auto"/>
          <w:color w:val="auto"/>
        </w:rPr>
        <w:t>“Insider Loans</w:t>
      </w:r>
      <w:r>
        <w:rPr>
          <w:rFonts w:ascii="Times New Roman" w:cs="Times New Roman" w:eastAsia="Times New Roman" w:hAnsi="Times New Roman"/>
          <w:sz w:val="15"/>
          <w:szCs w:val="15"/>
          <w:color w:val="auto"/>
        </w:rPr>
        <w:t>”) pursuant to a promissory note annexed as an exhibit to the Registration Statement. The Insider Loans do not bear any interest and are repayable by the Company on the earlier of the consummation of the Offering and December 31, 2025.</w:t>
      </w:r>
    </w:p>
    <w:p>
      <w:pPr>
        <w:spacing w:after="0" w:line="151" w:lineRule="exact"/>
        <w:rPr>
          <w:sz w:val="20"/>
          <w:szCs w:val="20"/>
          <w:color w:val="auto"/>
        </w:rPr>
      </w:pPr>
    </w:p>
    <w:p>
      <w:pPr>
        <w:ind w:firstLine="865"/>
        <w:spacing w:after="0" w:line="259" w:lineRule="auto"/>
        <w:rPr>
          <w:sz w:val="20"/>
          <w:szCs w:val="20"/>
          <w:color w:val="auto"/>
        </w:rPr>
      </w:pPr>
      <w:r>
        <w:rPr>
          <w:rFonts w:ascii="Times New Roman" w:cs="Times New Roman" w:eastAsia="Times New Roman" w:hAnsi="Times New Roman"/>
          <w:sz w:val="15"/>
          <w:szCs w:val="15"/>
          <w:color w:val="auto"/>
        </w:rPr>
        <w:t xml:space="preserve">2. 24.6 </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 The Company and the holders of Founder Shares, Private Placement Units, Private Placement Shares, and the Class A Ordinary Shares underlying the Private Placement Rights have entered into a registration rights agreement (the “</w:t>
      </w:r>
      <w:r>
        <w:rPr>
          <w:rFonts w:ascii="Times New Roman" w:cs="Times New Roman" w:eastAsia="Times New Roman" w:hAnsi="Times New Roman"/>
          <w:sz w:val="15"/>
          <w:szCs w:val="15"/>
          <w:u w:val="single" w:color="auto"/>
          <w:color w:val="auto"/>
        </w:rPr>
        <w:t>Registration Rights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substantially in the form filed as an exhibit to the Registration Statement, whereby the holders of such securities will be entitled to certain registration rights with respect to such securities, as set forth in such Registration Rights Agreement and described more fully in the Registration Statement.</w:t>
      </w:r>
    </w:p>
    <w:p>
      <w:pPr>
        <w:spacing w:after="0" w:line="156" w:lineRule="exact"/>
        <w:rPr>
          <w:sz w:val="20"/>
          <w:szCs w:val="20"/>
          <w:color w:val="auto"/>
        </w:rPr>
      </w:pPr>
    </w:p>
    <w:p>
      <w:pPr>
        <w:ind w:right="60" w:firstLine="865"/>
        <w:spacing w:after="0" w:line="259" w:lineRule="auto"/>
        <w:rPr>
          <w:sz w:val="20"/>
          <w:szCs w:val="20"/>
          <w:color w:val="auto"/>
        </w:rPr>
      </w:pPr>
      <w:r>
        <w:rPr>
          <w:rFonts w:ascii="Times New Roman" w:cs="Times New Roman" w:eastAsia="Times New Roman" w:hAnsi="Times New Roman"/>
          <w:sz w:val="15"/>
          <w:szCs w:val="15"/>
          <w:color w:val="auto"/>
        </w:rPr>
        <w:t xml:space="preserve">2.24.7 </w:t>
      </w:r>
      <w:r>
        <w:rPr>
          <w:rFonts w:ascii="Times New Roman" w:cs="Times New Roman" w:eastAsia="Times New Roman" w:hAnsi="Times New Roman"/>
          <w:sz w:val="15"/>
          <w:szCs w:val="15"/>
          <w:u w:val="single" w:color="auto"/>
          <w:color w:val="auto"/>
        </w:rPr>
        <w:t>Administrative Services</w:t>
      </w:r>
      <w:r>
        <w:rPr>
          <w:rFonts w:ascii="Times New Roman" w:cs="Times New Roman" w:eastAsia="Times New Roman" w:hAnsi="Times New Roman"/>
          <w:sz w:val="15"/>
          <w:szCs w:val="15"/>
          <w:color w:val="auto"/>
        </w:rPr>
        <w:t>. The Company has entered into an agreement (</w:t>
      </w:r>
      <w:r>
        <w:rPr>
          <w:rFonts w:ascii="Times New Roman" w:cs="Times New Roman" w:eastAsia="Times New Roman" w:hAnsi="Times New Roman"/>
          <w:sz w:val="15"/>
          <w:szCs w:val="15"/>
          <w:u w:val="single" w:color="auto"/>
          <w:color w:val="auto"/>
        </w:rPr>
        <w:t>“Services Agreement</w:t>
      </w:r>
      <w:r>
        <w:rPr>
          <w:rFonts w:ascii="Times New Roman" w:cs="Times New Roman" w:eastAsia="Times New Roman" w:hAnsi="Times New Roman"/>
          <w:sz w:val="15"/>
          <w:szCs w:val="15"/>
          <w:color w:val="auto"/>
        </w:rPr>
        <w:t>”) with the GigManagement, LLC, an affiliate of the Sponsor, substantially in the form filed as an exhibit to the Registration Statement, pursuant to which the Sponsor will make available to the Company, on the terms and subject to the conditions set forth therein, office space and general and administrative services for the Company’s use for $30,000 per month payable until the earlier of the consummation by the Company of a Business Combination or the liquidation of the Trust Account.</w:t>
      </w:r>
    </w:p>
    <w:p>
      <w:pPr>
        <w:spacing w:after="0" w:line="156" w:lineRule="exact"/>
        <w:rPr>
          <w:sz w:val="20"/>
          <w:szCs w:val="20"/>
          <w:color w:val="auto"/>
        </w:rPr>
      </w:pPr>
    </w:p>
    <w:p>
      <w:pPr>
        <w:ind w:firstLine="865"/>
        <w:spacing w:after="0" w:line="259" w:lineRule="auto"/>
        <w:rPr>
          <w:sz w:val="20"/>
          <w:szCs w:val="20"/>
          <w:color w:val="auto"/>
        </w:rPr>
      </w:pPr>
      <w:r>
        <w:rPr>
          <w:rFonts w:ascii="Times New Roman" w:cs="Times New Roman" w:eastAsia="Times New Roman" w:hAnsi="Times New Roman"/>
          <w:sz w:val="15"/>
          <w:szCs w:val="15"/>
          <w:color w:val="auto"/>
        </w:rPr>
        <w:t xml:space="preserve">2.24.8 </w:t>
      </w:r>
      <w:r>
        <w:rPr>
          <w:rFonts w:ascii="Times New Roman" w:cs="Times New Roman" w:eastAsia="Times New Roman" w:hAnsi="Times New Roman"/>
          <w:sz w:val="15"/>
          <w:szCs w:val="15"/>
          <w:u w:val="single" w:color="auto"/>
          <w:color w:val="auto"/>
        </w:rPr>
        <w:t>Investment Management Trust Agreement</w:t>
      </w:r>
      <w:r>
        <w:rPr>
          <w:rFonts w:ascii="Times New Roman" w:cs="Times New Roman" w:eastAsia="Times New Roman" w:hAnsi="Times New Roman"/>
          <w:sz w:val="15"/>
          <w:szCs w:val="15"/>
          <w:color w:val="auto"/>
        </w:rPr>
        <w:t>. The Company has entered into the Trust Agreement with respect to certain proceeds of the Offering and the Private Placements, substantially in the form filed as an exhibit to the Registration Statement, pursuant to which the funds held in the Trust Account may be released under limited circumstances. The Trust Agreement shall not be amended, modified, or otherwise changed in any way that modifies the rights or obligations of the Company without the prior written consent of the Representative.</w:t>
      </w:r>
    </w:p>
    <w:p>
      <w:pPr>
        <w:spacing w:after="0" w:line="156" w:lineRule="exact"/>
        <w:rPr>
          <w:sz w:val="20"/>
          <w:szCs w:val="20"/>
          <w:color w:val="auto"/>
        </w:rPr>
      </w:pPr>
    </w:p>
    <w:p>
      <w:pPr>
        <w:ind w:right="400" w:firstLine="865"/>
        <w:spacing w:after="0" w:line="284" w:lineRule="auto"/>
        <w:rPr>
          <w:sz w:val="20"/>
          <w:szCs w:val="20"/>
          <w:color w:val="auto"/>
        </w:rPr>
      </w:pPr>
      <w:r>
        <w:rPr>
          <w:rFonts w:ascii="Times New Roman" w:cs="Times New Roman" w:eastAsia="Times New Roman" w:hAnsi="Times New Roman"/>
          <w:sz w:val="15"/>
          <w:szCs w:val="15"/>
          <w:color w:val="auto"/>
        </w:rPr>
        <w:t xml:space="preserve">2.24.9 </w:t>
      </w:r>
      <w:r>
        <w:rPr>
          <w:rFonts w:ascii="Times New Roman" w:cs="Times New Roman" w:eastAsia="Times New Roman" w:hAnsi="Times New Roman"/>
          <w:sz w:val="15"/>
          <w:szCs w:val="15"/>
          <w:u w:val="single" w:color="auto"/>
          <w:color w:val="auto"/>
        </w:rPr>
        <w:t>Rights Agreement</w:t>
      </w:r>
      <w:r>
        <w:rPr>
          <w:rFonts w:ascii="Times New Roman" w:cs="Times New Roman" w:eastAsia="Times New Roman" w:hAnsi="Times New Roman"/>
          <w:sz w:val="15"/>
          <w:szCs w:val="15"/>
          <w:color w:val="auto"/>
        </w:rPr>
        <w:t>. The Company has entered into a rights agreement with respect to the Rights to be issued as part of the Public Securities with CST, substantially in the form filed as an exhibit to the Registration Statement (the “</w:t>
      </w:r>
      <w:r>
        <w:rPr>
          <w:rFonts w:ascii="Times New Roman" w:cs="Times New Roman" w:eastAsia="Times New Roman" w:hAnsi="Times New Roman"/>
          <w:sz w:val="15"/>
          <w:szCs w:val="15"/>
          <w:u w:val="single" w:color="auto"/>
          <w:color w:val="auto"/>
        </w:rPr>
        <w:t>Rights Agreement</w:t>
      </w:r>
      <w:r>
        <w:rPr>
          <w:rFonts w:ascii="Times New Roman" w:cs="Times New Roman" w:eastAsia="Times New Roman" w:hAnsi="Times New Roman"/>
          <w:sz w:val="15"/>
          <w:szCs w:val="15"/>
          <w:color w:val="auto"/>
        </w:rPr>
        <w:t>”).</w:t>
      </w:r>
    </w:p>
    <w:p>
      <w:pPr>
        <w:sectPr>
          <w:pgSz w:w="11900" w:h="16840" w:orient="portrait"/>
          <w:cols w:equalWidth="0" w:num="1">
            <w:col w:w="9600"/>
          </w:cols>
          <w:pgMar w:left="1120" w:top="689" w:right="1180" w:bottom="1440" w:gutter="0" w:footer="0" w:header="0"/>
        </w:sectPr>
      </w:pPr>
    </w:p>
    <w:bookmarkStart w:id="285" w:name="page286"/>
    <w:bookmarkEnd w:id="285"/>
    <w:p>
      <w:pPr>
        <w:jc w:val="both"/>
        <w:ind w:right="340" w:firstLine="379"/>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2.25 </w:t>
      </w:r>
      <w:r>
        <w:rPr>
          <w:rFonts w:ascii="Times New Roman" w:cs="Times New Roman" w:eastAsia="Times New Roman" w:hAnsi="Times New Roman"/>
          <w:sz w:val="15"/>
          <w:szCs w:val="15"/>
          <w:u w:val="single" w:color="auto"/>
          <w:color w:val="auto"/>
        </w:rPr>
        <w:t>Investments</w:t>
      </w:r>
      <w:r>
        <w:rPr>
          <w:rFonts w:ascii="Times New Roman" w:cs="Times New Roman" w:eastAsia="Times New Roman" w:hAnsi="Times New Roman"/>
          <w:sz w:val="15"/>
          <w:szCs w:val="15"/>
          <w:color w:val="auto"/>
        </w:rPr>
        <w:t>. No more than 45% of the “value” (as defined in Section 2(a)(41) of the Investment Company Act of 1940 (“</w:t>
      </w:r>
      <w:r>
        <w:rPr>
          <w:rFonts w:ascii="Times New Roman" w:cs="Times New Roman" w:eastAsia="Times New Roman" w:hAnsi="Times New Roman"/>
          <w:sz w:val="15"/>
          <w:szCs w:val="15"/>
          <w:u w:val="single" w:color="auto"/>
          <w:color w:val="auto"/>
        </w:rPr>
        <w:t>Investment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Company Act</w:t>
      </w:r>
      <w:r>
        <w:rPr>
          <w:rFonts w:ascii="Times New Roman" w:cs="Times New Roman" w:eastAsia="Times New Roman" w:hAnsi="Times New Roman"/>
          <w:sz w:val="15"/>
          <w:szCs w:val="15"/>
          <w:color w:val="auto"/>
        </w:rPr>
        <w:t>”)) of the Company’s total assets (exclusive of cash items and “Government Securities,” as defined in Section 2(a)(16) of the Investment Company Act) consist of, and no more than 45% of the Company’s net income after taxes is derived from, securities other than Government Securities.</w:t>
      </w:r>
    </w:p>
    <w:p>
      <w:pPr>
        <w:spacing w:after="0" w:line="151" w:lineRule="exact"/>
        <w:rPr>
          <w:sz w:val="20"/>
          <w:szCs w:val="20"/>
          <w:color w:val="auto"/>
        </w:rPr>
      </w:pPr>
    </w:p>
    <w:p>
      <w:pPr>
        <w:ind w:right="12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2.26 </w:t>
      </w:r>
      <w:r>
        <w:rPr>
          <w:rFonts w:ascii="Times New Roman" w:cs="Times New Roman" w:eastAsia="Times New Roman" w:hAnsi="Times New Roman"/>
          <w:sz w:val="15"/>
          <w:szCs w:val="15"/>
          <w:u w:val="single" w:color="auto"/>
          <w:color w:val="auto"/>
        </w:rPr>
        <w:t>Investment Company Act</w:t>
      </w:r>
      <w:r>
        <w:rPr>
          <w:rFonts w:ascii="Times New Roman" w:cs="Times New Roman" w:eastAsia="Times New Roman" w:hAnsi="Times New Roman"/>
          <w:sz w:val="15"/>
          <w:szCs w:val="15"/>
          <w:color w:val="auto"/>
        </w:rPr>
        <w:t>. The Company is not required, and upon the issuance and sale of the Public Securities as herein contemplated and the application of the net proceeds therefrom as described in the Prospectus will not be required, to register as an “investment company” under the Investment Company Act.</w:t>
      </w:r>
    </w:p>
    <w:p>
      <w:pPr>
        <w:spacing w:after="0" w:line="151" w:lineRule="exact"/>
        <w:rPr>
          <w:sz w:val="20"/>
          <w:szCs w:val="20"/>
          <w:color w:val="auto"/>
        </w:rPr>
      </w:pPr>
    </w:p>
    <w:p>
      <w:pPr>
        <w:ind w:right="26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2.27 </w:t>
      </w:r>
      <w:r>
        <w:rPr>
          <w:rFonts w:ascii="Times New Roman" w:cs="Times New Roman" w:eastAsia="Times New Roman" w:hAnsi="Times New Roman"/>
          <w:sz w:val="15"/>
          <w:szCs w:val="15"/>
          <w:u w:val="single" w:color="auto"/>
          <w:color w:val="auto"/>
        </w:rPr>
        <w:t>Subsidiaries</w:t>
      </w:r>
      <w:r>
        <w:rPr>
          <w:rFonts w:ascii="Times New Roman" w:cs="Times New Roman" w:eastAsia="Times New Roman" w:hAnsi="Times New Roman"/>
          <w:sz w:val="15"/>
          <w:szCs w:val="15"/>
          <w:color w:val="auto"/>
        </w:rPr>
        <w:t>. The Company does not own an interest in any corporation, partnership, limited liability company, joint venture, trust, or other business entity.</w:t>
      </w:r>
    </w:p>
    <w:p>
      <w:pPr>
        <w:spacing w:after="0" w:line="137" w:lineRule="exact"/>
        <w:rPr>
          <w:sz w:val="20"/>
          <w:szCs w:val="20"/>
          <w:color w:val="auto"/>
        </w:rPr>
      </w:pPr>
    </w:p>
    <w:p>
      <w:pPr>
        <w:ind w:firstLine="379"/>
        <w:spacing w:after="0" w:line="253" w:lineRule="auto"/>
        <w:rPr>
          <w:sz w:val="20"/>
          <w:szCs w:val="20"/>
          <w:color w:val="auto"/>
        </w:rPr>
      </w:pPr>
      <w:r>
        <w:rPr>
          <w:rFonts w:ascii="Times New Roman" w:cs="Times New Roman" w:eastAsia="Times New Roman" w:hAnsi="Times New Roman"/>
          <w:sz w:val="15"/>
          <w:szCs w:val="15"/>
          <w:color w:val="auto"/>
        </w:rPr>
        <w:t xml:space="preserve">Section 2.28 </w:t>
      </w:r>
      <w:r>
        <w:rPr>
          <w:rFonts w:ascii="Times New Roman" w:cs="Times New Roman" w:eastAsia="Times New Roman" w:hAnsi="Times New Roman"/>
          <w:sz w:val="15"/>
          <w:szCs w:val="15"/>
          <w:u w:val="single" w:color="auto"/>
          <w:color w:val="auto"/>
        </w:rPr>
        <w:t>Related Party Transactions</w:t>
      </w:r>
      <w:r>
        <w:rPr>
          <w:rFonts w:ascii="Times New Roman" w:cs="Times New Roman" w:eastAsia="Times New Roman" w:hAnsi="Times New Roman"/>
          <w:sz w:val="15"/>
          <w:szCs w:val="15"/>
          <w:color w:val="auto"/>
        </w:rPr>
        <w:t>. No relationship, direct or indirect, exists between or among any of the Company or any Respondent, on the one hand, and any customer or supplier of the Company or any Respondent, on the other hand, which is required by the Act, the Exchange Act, or the Regulations to be described in the Registration Statement, the General Disclosure Package, and the Prospectus, which is not so described. There are no outstanding loans, advances, or guarantees of indebtedness by the Company to or for the benefit of any of the officers or directors of the Company or any of their respective family members, except as disclosed in the Registration Statement, the General Disclosure Package, and the Prospectus. The Company has not extended or maintained credit, arranged for the extension of credit, or renewed an extension of credit, in the form of a personal loan to or for any director or officer of the Company.</w:t>
      </w:r>
    </w:p>
    <w:p>
      <w:pPr>
        <w:spacing w:after="0" w:line="342" w:lineRule="exact"/>
        <w:rPr>
          <w:sz w:val="20"/>
          <w:szCs w:val="20"/>
          <w:color w:val="auto"/>
        </w:rPr>
      </w:pPr>
    </w:p>
    <w:p>
      <w:pPr>
        <w:ind w:right="12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2.29 </w:t>
      </w:r>
      <w:r>
        <w:rPr>
          <w:rFonts w:ascii="Times New Roman" w:cs="Times New Roman" w:eastAsia="Times New Roman" w:hAnsi="Times New Roman"/>
          <w:sz w:val="15"/>
          <w:szCs w:val="15"/>
          <w:u w:val="single" w:color="auto"/>
          <w:color w:val="auto"/>
        </w:rPr>
        <w:t>No Influence</w:t>
      </w:r>
      <w:r>
        <w:rPr>
          <w:rFonts w:ascii="Times New Roman" w:cs="Times New Roman" w:eastAsia="Times New Roman" w:hAnsi="Times New Roman"/>
          <w:sz w:val="15"/>
          <w:szCs w:val="15"/>
          <w:color w:val="auto"/>
        </w:rPr>
        <w:t>. The Company has not offered, or caused the Representative to offer, the Firm Units to any person or entity with the 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56" w:lineRule="exact"/>
        <w:rPr>
          <w:sz w:val="20"/>
          <w:szCs w:val="20"/>
          <w:color w:val="auto"/>
        </w:rPr>
      </w:pPr>
    </w:p>
    <w:p>
      <w:pPr>
        <w:ind w:right="6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2.30 </w:t>
      </w:r>
      <w:r>
        <w:rPr>
          <w:rFonts w:ascii="Times New Roman" w:cs="Times New Roman" w:eastAsia="Times New Roman" w:hAnsi="Times New Roman"/>
          <w:sz w:val="15"/>
          <w:szCs w:val="15"/>
          <w:u w:val="single" w:color="auto"/>
          <w:color w:val="auto"/>
        </w:rPr>
        <w:t>Sarbanes- Oxley</w:t>
      </w:r>
      <w:r>
        <w:rPr>
          <w:rFonts w:ascii="Times New Roman" w:cs="Times New Roman" w:eastAsia="Times New Roman" w:hAnsi="Times New Roman"/>
          <w:sz w:val="15"/>
          <w:szCs w:val="15"/>
          <w:color w:val="auto"/>
        </w:rPr>
        <w:t>. The Company is in material compliance with the provisions of the Sarbanes- Oxley Act of 2002, as amended (</w:t>
      </w:r>
      <w:r>
        <w:rPr>
          <w:rFonts w:ascii="Times New Roman" w:cs="Times New Roman" w:eastAsia="Times New Roman" w:hAnsi="Times New Roman"/>
          <w:sz w:val="15"/>
          <w:szCs w:val="15"/>
          <w:u w:val="single" w:color="auto"/>
          <w:color w:val="auto"/>
        </w:rPr>
        <w:t>“SOX</w:t>
      </w:r>
      <w:r>
        <w:rPr>
          <w:rFonts w:ascii="Times New Roman" w:cs="Times New Roman" w:eastAsia="Times New Roman" w:hAnsi="Times New Roman"/>
          <w:sz w:val="15"/>
          <w:szCs w:val="15"/>
          <w:color w:val="auto"/>
        </w:rPr>
        <w:t>”), and the rules and regulations promulgated thereunder and related or similar rules and regulations promulgated by any governmental or self-regulatory entity or agency, that are applicable to it as of the date hereof.</w:t>
      </w:r>
    </w:p>
    <w:p>
      <w:pPr>
        <w:spacing w:after="0" w:line="151" w:lineRule="exact"/>
        <w:rPr>
          <w:sz w:val="20"/>
          <w:szCs w:val="20"/>
          <w:color w:val="auto"/>
        </w:rPr>
      </w:pPr>
    </w:p>
    <w:p>
      <w:pPr>
        <w:ind w:right="2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2.31 </w:t>
      </w:r>
      <w:r>
        <w:rPr>
          <w:rFonts w:ascii="Times New Roman" w:cs="Times New Roman" w:eastAsia="Times New Roman" w:hAnsi="Times New Roman"/>
          <w:sz w:val="15"/>
          <w:szCs w:val="15"/>
          <w:u w:val="single" w:color="auto"/>
          <w:color w:val="auto"/>
        </w:rPr>
        <w:t>Nasdaq Eligibility</w:t>
      </w:r>
      <w:r>
        <w:rPr>
          <w:rFonts w:ascii="Times New Roman" w:cs="Times New Roman" w:eastAsia="Times New Roman" w:hAnsi="Times New Roman"/>
          <w:sz w:val="15"/>
          <w:szCs w:val="15"/>
          <w:color w:val="auto"/>
        </w:rPr>
        <w:t>. As of the Effective Date, the Public Securities, the Public Shares, and Rights have been approved for listing on the Nasdaq Global Market tier of The Nasdaq Stock Market LLC (“</w:t>
      </w:r>
      <w:r>
        <w:rPr>
          <w:rFonts w:ascii="Times New Roman" w:cs="Times New Roman" w:eastAsia="Times New Roman" w:hAnsi="Times New Roman"/>
          <w:sz w:val="15"/>
          <w:szCs w:val="15"/>
          <w:u w:val="single" w:color="auto"/>
          <w:color w:val="auto"/>
        </w:rPr>
        <w:t>Nasdaq</w:t>
      </w:r>
      <w:r>
        <w:rPr>
          <w:rFonts w:ascii="Times New Roman" w:cs="Times New Roman" w:eastAsia="Times New Roman" w:hAnsi="Times New Roman"/>
          <w:sz w:val="15"/>
          <w:szCs w:val="15"/>
          <w:color w:val="auto"/>
        </w:rPr>
        <w:t>”), subject to official notice of issuance and evidence of satisfactory distribution. There is and has been no failure on the part of the Company or any of the Company’s directors or officers, in their capacities as such, to comply with (as and when applicable), and immediately following the Effective Date the Company will be in compliance with, Nasdaq rules.</w:t>
      </w:r>
    </w:p>
    <w:p>
      <w:pPr>
        <w:spacing w:after="0" w:line="156" w:lineRule="exact"/>
        <w:rPr>
          <w:sz w:val="20"/>
          <w:szCs w:val="20"/>
          <w:color w:val="auto"/>
        </w:rPr>
      </w:pPr>
    </w:p>
    <w:p>
      <w:pPr>
        <w:ind w:right="100" w:firstLine="379"/>
        <w:spacing w:after="0" w:line="256" w:lineRule="auto"/>
        <w:rPr>
          <w:sz w:val="20"/>
          <w:szCs w:val="20"/>
          <w:color w:val="auto"/>
        </w:rPr>
      </w:pPr>
      <w:r>
        <w:rPr>
          <w:rFonts w:ascii="Times New Roman" w:cs="Times New Roman" w:eastAsia="Times New Roman" w:hAnsi="Times New Roman"/>
          <w:sz w:val="15"/>
          <w:szCs w:val="15"/>
          <w:color w:val="auto"/>
        </w:rPr>
        <w:t xml:space="preserve">Section 2.32 </w:t>
      </w:r>
      <w:r>
        <w:rPr>
          <w:rFonts w:ascii="Times New Roman" w:cs="Times New Roman" w:eastAsia="Times New Roman" w:hAnsi="Times New Roman"/>
          <w:sz w:val="15"/>
          <w:szCs w:val="15"/>
          <w:u w:val="single" w:color="auto"/>
          <w:color w:val="auto"/>
        </w:rPr>
        <w:t>Board of Directors</w:t>
      </w:r>
      <w:r>
        <w:rPr>
          <w:rFonts w:ascii="Times New Roman" w:cs="Times New Roman" w:eastAsia="Times New Roman" w:hAnsi="Times New Roman"/>
          <w:sz w:val="15"/>
          <w:szCs w:val="15"/>
          <w:color w:val="auto"/>
        </w:rPr>
        <w:t>. As of the Effective Date, the board of directors of the Company will be comprised of the persons set forth as “Directors” or “Director nominees” under the heading of the Statutory Prospectus and the Prospectus captioned “Management.” As of the Effective Date, the qualifications of the persons serving as board members and the overall composition of the board will comply with SOX and the rules promulgated thereunder and the rules of Nasdaq that are, in each case, applicable to the Company. As of the Effective Date, the Company will have an Audit Committee that satisfies the applicable requirements under SOX and the rules promulgated thereunder and the rules of Nasdaq.</w:t>
      </w:r>
    </w:p>
    <w:p>
      <w:pPr>
        <w:sectPr>
          <w:pgSz w:w="11900" w:h="16840" w:orient="portrait"/>
          <w:cols w:equalWidth="0" w:num="1">
            <w:col w:w="9660"/>
          </w:cols>
          <w:pgMar w:left="1120" w:top="689" w:right="1120" w:bottom="1440" w:gutter="0" w:footer="0" w:header="0"/>
        </w:sectPr>
      </w:pPr>
    </w:p>
    <w:bookmarkStart w:id="286" w:name="page287"/>
    <w:bookmarkEnd w:id="286"/>
    <w:p>
      <w:pPr>
        <w:ind w:firstLine="379"/>
        <w:spacing w:after="0" w:line="28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2.33 </w:t>
      </w:r>
      <w:r>
        <w:rPr>
          <w:rFonts w:ascii="Times New Roman" w:cs="Times New Roman" w:eastAsia="Times New Roman" w:hAnsi="Times New Roman"/>
          <w:sz w:val="15"/>
          <w:szCs w:val="15"/>
          <w:u w:val="single" w:color="auto"/>
          <w:color w:val="auto"/>
        </w:rPr>
        <w:t>Emerging Growth Status</w:t>
      </w:r>
      <w:r>
        <w:rPr>
          <w:rFonts w:ascii="Times New Roman" w:cs="Times New Roman" w:eastAsia="Times New Roman" w:hAnsi="Times New Roman"/>
          <w:sz w:val="15"/>
          <w:szCs w:val="15"/>
          <w:color w:val="auto"/>
        </w:rPr>
        <w:t>. From the date of the Company’s formation through the date hereof, the Company has been and is an “emerging growth company,” as defined in Section 2(a) of the Act (an “</w:t>
      </w:r>
      <w:r>
        <w:rPr>
          <w:rFonts w:ascii="Times New Roman" w:cs="Times New Roman" w:eastAsia="Times New Roman" w:hAnsi="Times New Roman"/>
          <w:sz w:val="15"/>
          <w:szCs w:val="15"/>
          <w:u w:val="single" w:color="auto"/>
          <w:color w:val="auto"/>
        </w:rPr>
        <w:t>Emerging Growth Company</w:t>
      </w:r>
      <w:r>
        <w:rPr>
          <w:rFonts w:ascii="Times New Roman" w:cs="Times New Roman" w:eastAsia="Times New Roman" w:hAnsi="Times New Roman"/>
          <w:sz w:val="15"/>
          <w:szCs w:val="15"/>
          <w:color w:val="auto"/>
        </w:rPr>
        <w:t>”).</w:t>
      </w:r>
    </w:p>
    <w:p>
      <w:pPr>
        <w:spacing w:after="0" w:line="137" w:lineRule="exact"/>
        <w:rPr>
          <w:sz w:val="20"/>
          <w:szCs w:val="20"/>
          <w:color w:val="auto"/>
        </w:rPr>
      </w:pPr>
    </w:p>
    <w:p>
      <w:pPr>
        <w:ind w:right="20" w:firstLine="379"/>
        <w:spacing w:after="0" w:line="251" w:lineRule="auto"/>
        <w:rPr>
          <w:sz w:val="20"/>
          <w:szCs w:val="20"/>
          <w:color w:val="auto"/>
        </w:rPr>
      </w:pPr>
      <w:r>
        <w:rPr>
          <w:rFonts w:ascii="Times New Roman" w:cs="Times New Roman" w:eastAsia="Times New Roman" w:hAnsi="Times New Roman"/>
          <w:sz w:val="15"/>
          <w:szCs w:val="15"/>
          <w:color w:val="auto"/>
        </w:rPr>
        <w:t xml:space="preserve">Section 2.34 </w:t>
      </w:r>
      <w:r>
        <w:rPr>
          <w:rFonts w:ascii="Times New Roman" w:cs="Times New Roman" w:eastAsia="Times New Roman" w:hAnsi="Times New Roman"/>
          <w:sz w:val="15"/>
          <w:szCs w:val="15"/>
          <w:u w:val="single" w:color="auto"/>
          <w:color w:val="auto"/>
        </w:rPr>
        <w:t>Free -Writing Prospectus and Testing-the-Waters</w:t>
      </w:r>
      <w:r>
        <w:rPr>
          <w:rFonts w:ascii="Times New Roman" w:cs="Times New Roman" w:eastAsia="Times New Roman" w:hAnsi="Times New Roman"/>
          <w:sz w:val="15"/>
          <w:szCs w:val="15"/>
          <w:color w:val="auto"/>
        </w:rPr>
        <w:t>. The Company has not made any offer relating to the Public Securities that would constitute an issuer free writing prospectus, as defined in Rule 433 under the Act, or that would otherwise constitute a “free writing prospectus” as defined in Rule 405. The Company (a) has not engaged in any Testing- the-Waters Communication other than Testing-the-Waters Communications with the consent of the Representative with entities that are qualified institutional buyers within the meaning of Rule 144A under the Act or institutions that are accredited investors within the meaning of Rule 501 under the Act and (b) has not authorized anyone to engage in Testing-the-Waters Communications other than its officers and the Representative and individuals engaged by the Representative. The Company has not distributed any written Testing- the -Waters Communications other than those listed on Schedule C hereto. As used herein, “</w:t>
      </w:r>
      <w:r>
        <w:rPr>
          <w:rFonts w:ascii="Times New Roman" w:cs="Times New Roman" w:eastAsia="Times New Roman" w:hAnsi="Times New Roman"/>
          <w:sz w:val="15"/>
          <w:szCs w:val="15"/>
          <w:u w:val="single" w:color="auto"/>
          <w:color w:val="auto"/>
        </w:rPr>
        <w:t>Testing-the- Waters Communication</w:t>
      </w:r>
      <w:r>
        <w:rPr>
          <w:rFonts w:ascii="Times New Roman" w:cs="Times New Roman" w:eastAsia="Times New Roman" w:hAnsi="Times New Roman"/>
          <w:sz w:val="15"/>
          <w:szCs w:val="15"/>
          <w:color w:val="auto"/>
        </w:rPr>
        <w:t>” means any oral or written communication with potential investors within the meaning of Section 5(d) of the Act, and “</w:t>
      </w:r>
      <w:r>
        <w:rPr>
          <w:rFonts w:ascii="Times New Roman" w:cs="Times New Roman" w:eastAsia="Times New Roman" w:hAnsi="Times New Roman"/>
          <w:sz w:val="15"/>
          <w:szCs w:val="15"/>
          <w:u w:val="single" w:color="auto"/>
          <w:color w:val="auto"/>
        </w:rPr>
        <w:t>Written Testing-the-Waters Communication</w:t>
      </w:r>
      <w:r>
        <w:rPr>
          <w:rFonts w:ascii="Times New Roman" w:cs="Times New Roman" w:eastAsia="Times New Roman" w:hAnsi="Times New Roman"/>
          <w:sz w:val="15"/>
          <w:szCs w:val="15"/>
          <w:color w:val="auto"/>
        </w:rPr>
        <w:t>” means any Testing-the-Waters Communication that is a written communication within the meaning of Rule 405.</w:t>
      </w:r>
    </w:p>
    <w:p>
      <w:pPr>
        <w:spacing w:after="0" w:line="165" w:lineRule="exact"/>
        <w:rPr>
          <w:sz w:val="20"/>
          <w:szCs w:val="20"/>
          <w:color w:val="auto"/>
        </w:rPr>
      </w:pPr>
    </w:p>
    <w:p>
      <w:pPr>
        <w:ind w:right="34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2.35 </w:t>
      </w:r>
      <w:r>
        <w:rPr>
          <w:rFonts w:ascii="Times New Roman" w:cs="Times New Roman" w:eastAsia="Times New Roman" w:hAnsi="Times New Roman"/>
          <w:sz w:val="15"/>
          <w:szCs w:val="15"/>
          <w:u w:val="single" w:color="auto"/>
          <w:color w:val="auto"/>
        </w:rPr>
        <w:t>Disclosure Controls and Procedures</w:t>
      </w:r>
      <w:r>
        <w:rPr>
          <w:rFonts w:ascii="Times New Roman" w:cs="Times New Roman" w:eastAsia="Times New Roman" w:hAnsi="Times New Roman"/>
          <w:sz w:val="15"/>
          <w:szCs w:val="15"/>
          <w:color w:val="auto"/>
        </w:rPr>
        <w:t>. The Company maintains effective “disclosure controls and procedures” (as defined under Rule 13a-15(e) under the Exchange Act to the extent required by such rule).</w:t>
      </w:r>
    </w:p>
    <w:p>
      <w:pPr>
        <w:spacing w:after="0" w:line="137" w:lineRule="exact"/>
        <w:rPr>
          <w:sz w:val="20"/>
          <w:szCs w:val="20"/>
          <w:color w:val="auto"/>
        </w:rPr>
      </w:pPr>
    </w:p>
    <w:p>
      <w:pPr>
        <w:jc w:val="both"/>
        <w:ind w:right="4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2.36 </w:t>
      </w:r>
      <w:r>
        <w:rPr>
          <w:rFonts w:ascii="Times New Roman" w:cs="Times New Roman" w:eastAsia="Times New Roman" w:hAnsi="Times New Roman"/>
          <w:sz w:val="15"/>
          <w:szCs w:val="15"/>
          <w:u w:val="single" w:color="auto"/>
          <w:color w:val="auto"/>
        </w:rPr>
        <w:t>Definition of</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auto"/>
        </w:rPr>
        <w:t>Knowledge</w:t>
      </w:r>
      <w:r>
        <w:rPr>
          <w:rFonts w:ascii="Times New Roman" w:cs="Times New Roman" w:eastAsia="Times New Roman" w:hAnsi="Times New Roman"/>
          <w:sz w:val="15"/>
          <w:szCs w:val="15"/>
          <w:color w:val="auto"/>
        </w:rPr>
        <w:t>”. As used in herein, the term “</w:t>
      </w:r>
      <w:r>
        <w:rPr>
          <w:rFonts w:ascii="Times New Roman" w:cs="Times New Roman" w:eastAsia="Times New Roman" w:hAnsi="Times New Roman"/>
          <w:sz w:val="15"/>
          <w:szCs w:val="15"/>
          <w:u w:val="single" w:color="auto"/>
          <w:color w:val="auto"/>
        </w:rPr>
        <w:t>knowledge of the Company</w:t>
      </w:r>
      <w:r>
        <w:rPr>
          <w:rFonts w:ascii="Times New Roman" w:cs="Times New Roman" w:eastAsia="Times New Roman" w:hAnsi="Times New Roman"/>
          <w:sz w:val="15"/>
          <w:szCs w:val="15"/>
          <w:color w:val="auto"/>
        </w:rPr>
        <w:t>” (or similar language) shall mean the knowledge of the Company’s executive officers and directors, with the assumption that such officers and directors shall have made reasonable and diligent inquiry of the matters presented.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COVENANTS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covenants and agrees as follows:</w:t>
      </w:r>
    </w:p>
    <w:p>
      <w:pPr>
        <w:spacing w:after="0" w:line="195" w:lineRule="exact"/>
        <w:rPr>
          <w:sz w:val="20"/>
          <w:szCs w:val="20"/>
          <w:color w:val="auto"/>
        </w:rPr>
      </w:pPr>
    </w:p>
    <w:p>
      <w:pPr>
        <w:ind w:right="6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3.1 </w:t>
      </w:r>
      <w:r>
        <w:rPr>
          <w:rFonts w:ascii="Times New Roman" w:cs="Times New Roman" w:eastAsia="Times New Roman" w:hAnsi="Times New Roman"/>
          <w:sz w:val="15"/>
          <w:szCs w:val="15"/>
          <w:u w:val="single" w:color="auto"/>
          <w:color w:val="auto"/>
        </w:rPr>
        <w:t>Amendments to Registration Statement</w:t>
      </w:r>
      <w:r>
        <w:rPr>
          <w:rFonts w:ascii="Times New Roman" w:cs="Times New Roman" w:eastAsia="Times New Roman" w:hAnsi="Times New Roman"/>
          <w:sz w:val="15"/>
          <w:szCs w:val="15"/>
          <w:color w:val="auto"/>
        </w:rPr>
        <w:t>. The Company will deliver to the Representative, prior to filing, any amendment or supplement to the Registration Statement or Prospectus proposed to be filed after the Effective Date and shall not file any such amendment or supplement to which the Representative shall reasonably object in writing.</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3.2 </w:t>
      </w:r>
      <w:r>
        <w:rPr>
          <w:rFonts w:ascii="Times New Roman" w:cs="Times New Roman" w:eastAsia="Times New Roman" w:hAnsi="Times New Roman"/>
          <w:sz w:val="15"/>
          <w:szCs w:val="15"/>
          <w:u w:val="single" w:color="auto"/>
          <w:color w:val="auto"/>
        </w:rPr>
        <w:t>Federal Securities Laws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firstLine="865"/>
        <w:spacing w:after="0" w:line="256" w:lineRule="auto"/>
        <w:rPr>
          <w:sz w:val="20"/>
          <w:szCs w:val="20"/>
          <w:color w:val="auto"/>
        </w:rPr>
      </w:pPr>
      <w:r>
        <w:rPr>
          <w:rFonts w:ascii="Times New Roman" w:cs="Times New Roman" w:eastAsia="Times New Roman" w:hAnsi="Times New Roman"/>
          <w:sz w:val="15"/>
          <w:szCs w:val="15"/>
          <w:color w:val="auto"/>
        </w:rPr>
        <w:t xml:space="preserve">3. 2.1 </w:t>
      </w:r>
      <w:r>
        <w:rPr>
          <w:rFonts w:ascii="Times New Roman" w:cs="Times New Roman" w:eastAsia="Times New Roman" w:hAnsi="Times New Roman"/>
          <w:sz w:val="15"/>
          <w:szCs w:val="15"/>
          <w:u w:val="single" w:color="auto"/>
          <w:color w:val="auto"/>
        </w:rPr>
        <w:t>Compliance</w:t>
      </w:r>
      <w:r>
        <w:rPr>
          <w:rFonts w:ascii="Times New Roman" w:cs="Times New Roman" w:eastAsia="Times New Roman" w:hAnsi="Times New Roman"/>
          <w:sz w:val="15"/>
          <w:szCs w:val="15"/>
          <w:color w:val="auto"/>
        </w:rPr>
        <w:t>.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General Disclosure Package and/or</w:t>
      </w:r>
    </w:p>
    <w:p>
      <w:pPr>
        <w:sectPr>
          <w:pgSz w:w="11900" w:h="16840" w:orient="portrait"/>
          <w:cols w:equalWidth="0" w:num="1">
            <w:col w:w="9640"/>
          </w:cols>
          <w:pgMar w:left="1120" w:top="689" w:right="1140" w:bottom="1440" w:gutter="0" w:footer="0" w:header="0"/>
        </w:sectPr>
      </w:pPr>
    </w:p>
    <w:bookmarkStart w:id="287" w:name="page288"/>
    <w:bookmarkEnd w:id="287"/>
    <w:p>
      <w:pPr>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the Prospectus, as then amended or supplemented, includes an untrue statement of a material fact or omits to state any material fact required to be stated therein or necessary to make the statements therein, in the light of the circumstances under which they were made, not misleading, or if it is necessary during such period to amend the Registration Statement or amend or supplement the General Disclosure Package and Prospectus to comply with the Act, the Company will notify the Representative promptly and prepare and file with the Commission, subject to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hereof, an appropriate amendment to the Registration Statement or amendment or supplement to the General Disclosure Package and Prospectus (at the expense of the Company) so as to correct such statement or omission or effect such compliance.</w:t>
      </w:r>
    </w:p>
    <w:p>
      <w:pPr>
        <w:spacing w:after="0" w:line="160" w:lineRule="exact"/>
        <w:rPr>
          <w:sz w:val="20"/>
          <w:szCs w:val="20"/>
          <w:color w:val="auto"/>
        </w:rPr>
      </w:pPr>
    </w:p>
    <w:p>
      <w:pPr>
        <w:ind w:right="580" w:firstLine="865"/>
        <w:spacing w:after="0" w:line="284" w:lineRule="auto"/>
        <w:rPr>
          <w:sz w:val="20"/>
          <w:szCs w:val="20"/>
          <w:color w:val="auto"/>
        </w:rPr>
      </w:pPr>
      <w:r>
        <w:rPr>
          <w:rFonts w:ascii="Times New Roman" w:cs="Times New Roman" w:eastAsia="Times New Roman" w:hAnsi="Times New Roman"/>
          <w:sz w:val="15"/>
          <w:szCs w:val="15"/>
          <w:color w:val="auto"/>
        </w:rPr>
        <w:t xml:space="preserve">3. 2.2 </w:t>
      </w:r>
      <w:r>
        <w:rPr>
          <w:rFonts w:ascii="Times New Roman" w:cs="Times New Roman" w:eastAsia="Times New Roman" w:hAnsi="Times New Roman"/>
          <w:sz w:val="15"/>
          <w:szCs w:val="15"/>
          <w:u w:val="single" w:color="auto"/>
          <w:color w:val="auto"/>
        </w:rPr>
        <w:t>Filing of Final Prospectus</w:t>
      </w:r>
      <w:r>
        <w:rPr>
          <w:rFonts w:ascii="Times New Roman" w:cs="Times New Roman" w:eastAsia="Times New Roman" w:hAnsi="Times New Roman"/>
          <w:sz w:val="15"/>
          <w:szCs w:val="15"/>
          <w:color w:val="auto"/>
        </w:rPr>
        <w:t>. The Company will promptly file the Prospectus (in form and substance reasonably satisfactory to the Representative) with the Commission pursuant to the requirements of Rule 424 of the Regulations.</w:t>
      </w:r>
    </w:p>
    <w:p>
      <w:pPr>
        <w:spacing w:after="0" w:line="137" w:lineRule="exact"/>
        <w:rPr>
          <w:sz w:val="20"/>
          <w:szCs w:val="20"/>
          <w:color w:val="auto"/>
        </w:rPr>
      </w:pPr>
    </w:p>
    <w:p>
      <w:pPr>
        <w:ind w:right="40" w:firstLine="865"/>
        <w:spacing w:after="0" w:line="259" w:lineRule="auto"/>
        <w:rPr>
          <w:sz w:val="20"/>
          <w:szCs w:val="20"/>
          <w:color w:val="auto"/>
        </w:rPr>
      </w:pPr>
      <w:r>
        <w:rPr>
          <w:rFonts w:ascii="Times New Roman" w:cs="Times New Roman" w:eastAsia="Times New Roman" w:hAnsi="Times New Roman"/>
          <w:sz w:val="15"/>
          <w:szCs w:val="15"/>
          <w:color w:val="auto"/>
        </w:rPr>
        <w:t xml:space="preserve">3.2.3 </w:t>
      </w:r>
      <w:r>
        <w:rPr>
          <w:rFonts w:ascii="Times New Roman" w:cs="Times New Roman" w:eastAsia="Times New Roman" w:hAnsi="Times New Roman"/>
          <w:sz w:val="15"/>
          <w:szCs w:val="15"/>
          <w:u w:val="single" w:color="auto"/>
          <w:color w:val="auto"/>
        </w:rPr>
        <w:t>Exchange Act Registration</w:t>
      </w:r>
      <w:r>
        <w:rPr>
          <w:rFonts w:ascii="Times New Roman" w:cs="Times New Roman" w:eastAsia="Times New Roman" w:hAnsi="Times New Roman"/>
          <w:sz w:val="15"/>
          <w:szCs w:val="15"/>
          <w:color w:val="auto"/>
        </w:rPr>
        <w:t>. For a period of five years from the Effective Date (except in connection with a going private transaction), or until such earlier time upon which the Trust Account is to be liquidated if a Business Combination has not been consummated as required by its Charter Documents (the “</w:t>
      </w:r>
      <w:r>
        <w:rPr>
          <w:rFonts w:ascii="Times New Roman" w:cs="Times New Roman" w:eastAsia="Times New Roman" w:hAnsi="Times New Roman"/>
          <w:sz w:val="15"/>
          <w:szCs w:val="15"/>
          <w:u w:val="single" w:color="auto"/>
          <w:color w:val="auto"/>
        </w:rPr>
        <w:t>Termination Date</w:t>
      </w:r>
      <w:r>
        <w:rPr>
          <w:rFonts w:ascii="Times New Roman" w:cs="Times New Roman" w:eastAsia="Times New Roman" w:hAnsi="Times New Roman"/>
          <w:sz w:val="15"/>
          <w:szCs w:val="15"/>
          <w:color w:val="auto"/>
        </w:rPr>
        <w:t>”), the Company (i) will use its best efforts to maintain the registration of the Public Securities and (ii) will not deregister the Public Securities under the Exchange Act without the prior written consent of the Representative.</w:t>
      </w:r>
    </w:p>
    <w:p>
      <w:pPr>
        <w:spacing w:after="0" w:line="156" w:lineRule="exact"/>
        <w:rPr>
          <w:sz w:val="20"/>
          <w:szCs w:val="20"/>
          <w:color w:val="auto"/>
        </w:rPr>
      </w:pPr>
    </w:p>
    <w:p>
      <w:pPr>
        <w:ind w:right="100" w:firstLine="865"/>
        <w:spacing w:after="0" w:line="284" w:lineRule="auto"/>
        <w:rPr>
          <w:sz w:val="20"/>
          <w:szCs w:val="20"/>
          <w:color w:val="auto"/>
        </w:rPr>
      </w:pPr>
      <w:r>
        <w:rPr>
          <w:rFonts w:ascii="Times New Roman" w:cs="Times New Roman" w:eastAsia="Times New Roman" w:hAnsi="Times New Roman"/>
          <w:sz w:val="15"/>
          <w:szCs w:val="15"/>
          <w:color w:val="auto"/>
        </w:rPr>
        <w:t xml:space="preserve">3.2.4 </w:t>
      </w:r>
      <w:r>
        <w:rPr>
          <w:rFonts w:ascii="Times New Roman" w:cs="Times New Roman" w:eastAsia="Times New Roman" w:hAnsi="Times New Roman"/>
          <w:sz w:val="15"/>
          <w:szCs w:val="15"/>
          <w:u w:val="single" w:color="auto"/>
          <w:color w:val="auto"/>
        </w:rPr>
        <w:t>Free Writing Prospectuses</w:t>
      </w:r>
      <w:r>
        <w:rPr>
          <w:rFonts w:ascii="Times New Roman" w:cs="Times New Roman" w:eastAsia="Times New Roman" w:hAnsi="Times New Roman"/>
          <w:sz w:val="15"/>
          <w:szCs w:val="15"/>
          <w:color w:val="auto"/>
        </w:rPr>
        <w:t>. The Company agrees that it will not make any offer relating to the Public Securities that would constitute an issuer free writing prospectus, as defined in Rule 433 under the Act.</w:t>
      </w:r>
    </w:p>
    <w:p>
      <w:pPr>
        <w:spacing w:after="0" w:line="137" w:lineRule="exact"/>
        <w:rPr>
          <w:sz w:val="20"/>
          <w:szCs w:val="20"/>
          <w:color w:val="auto"/>
        </w:rPr>
      </w:pPr>
    </w:p>
    <w:p>
      <w:pPr>
        <w:ind w:right="100" w:firstLine="865"/>
        <w:spacing w:after="0" w:line="265" w:lineRule="auto"/>
        <w:rPr>
          <w:sz w:val="20"/>
          <w:szCs w:val="20"/>
          <w:color w:val="auto"/>
        </w:rPr>
      </w:pPr>
      <w:r>
        <w:rPr>
          <w:rFonts w:ascii="Times New Roman" w:cs="Times New Roman" w:eastAsia="Times New Roman" w:hAnsi="Times New Roman"/>
          <w:sz w:val="15"/>
          <w:szCs w:val="15"/>
          <w:color w:val="auto"/>
        </w:rPr>
        <w:t xml:space="preserve">3.2.5 </w:t>
      </w:r>
      <w:r>
        <w:rPr>
          <w:rFonts w:ascii="Times New Roman" w:cs="Times New Roman" w:eastAsia="Times New Roman" w:hAnsi="Times New Roman"/>
          <w:sz w:val="15"/>
          <w:szCs w:val="15"/>
          <w:u w:val="single" w:color="auto"/>
          <w:color w:val="auto"/>
        </w:rPr>
        <w:t>Sarbanes-Oxley Compliance</w:t>
      </w:r>
      <w:r>
        <w:rPr>
          <w:rFonts w:ascii="Times New Roman" w:cs="Times New Roman" w:eastAsia="Times New Roman" w:hAnsi="Times New Roman"/>
          <w:sz w:val="15"/>
          <w:szCs w:val="15"/>
          <w:color w:val="auto"/>
        </w:rPr>
        <w:t>. As soon as it is legally required to do so, the Company shall take all actions necessary to obtain and thereafter maintain material compliance with each applicable provision of SOX and the rules and regulations promulgated thereunder and related or similar rules and regulations promulgated by any other governmental or self-regulatory entity or agency with jurisdiction over the Company.</w:t>
      </w:r>
    </w:p>
    <w:p>
      <w:pPr>
        <w:spacing w:after="0" w:line="151" w:lineRule="exact"/>
        <w:rPr>
          <w:sz w:val="20"/>
          <w:szCs w:val="20"/>
          <w:color w:val="auto"/>
        </w:rPr>
      </w:pPr>
    </w:p>
    <w:p>
      <w:pPr>
        <w:ind w:right="12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3.3 </w:t>
      </w:r>
      <w:r>
        <w:rPr>
          <w:rFonts w:ascii="Times New Roman" w:cs="Times New Roman" w:eastAsia="Times New Roman" w:hAnsi="Times New Roman"/>
          <w:sz w:val="15"/>
          <w:szCs w:val="15"/>
          <w:u w:val="single" w:color="auto"/>
          <w:color w:val="auto"/>
        </w:rPr>
        <w:t>Emerging Growth Company Status</w:t>
      </w:r>
      <w:r>
        <w:rPr>
          <w:rFonts w:ascii="Times New Roman" w:cs="Times New Roman" w:eastAsia="Times New Roman" w:hAnsi="Times New Roman"/>
          <w:sz w:val="15"/>
          <w:szCs w:val="15"/>
          <w:color w:val="auto"/>
        </w:rPr>
        <w:t>. The Company will promptly notify the Representative if the Company ceases to be an Emerging Growth Company at any time prior to the earlier of five years after the consummation of the Company’s initial Business Combination, or the liquidation of the Trust Account if a Business Combination is not consummated by the Termination Date.</w:t>
      </w:r>
    </w:p>
    <w:p>
      <w:pPr>
        <w:spacing w:after="0" w:line="151" w:lineRule="exact"/>
        <w:rPr>
          <w:sz w:val="20"/>
          <w:szCs w:val="20"/>
          <w:color w:val="auto"/>
        </w:rPr>
      </w:pPr>
    </w:p>
    <w:p>
      <w:pPr>
        <w:ind w:right="8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3.4 </w:t>
      </w:r>
      <w:r>
        <w:rPr>
          <w:rFonts w:ascii="Times New Roman" w:cs="Times New Roman" w:eastAsia="Times New Roman" w:hAnsi="Times New Roman"/>
          <w:sz w:val="15"/>
          <w:szCs w:val="15"/>
          <w:u w:val="single" w:color="auto"/>
          <w:color w:val="auto"/>
        </w:rPr>
        <w:t>Delivery of Materials to Underwriters</w:t>
      </w:r>
      <w:r>
        <w:rPr>
          <w:rFonts w:ascii="Times New Roman" w:cs="Times New Roman" w:eastAsia="Times New Roman" w:hAnsi="Times New Roman"/>
          <w:sz w:val="15"/>
          <w:szCs w:val="15"/>
          <w:color w:val="auto"/>
        </w:rPr>
        <w:t>. The Company will deliver to the each of the Underwriters, without charge and from time to time during the period when a prospectus is required to be delivered under the Act or the Exchange Act, such number of copies of each Statutory Prospectus, the Prospectus, and all amendments and supplements to such documents as such Underwriters may reasonably request.</w:t>
      </w:r>
    </w:p>
    <w:p>
      <w:pPr>
        <w:spacing w:after="0" w:line="151" w:lineRule="exact"/>
        <w:rPr>
          <w:sz w:val="20"/>
          <w:szCs w:val="20"/>
          <w:color w:val="auto"/>
        </w:rPr>
      </w:pPr>
    </w:p>
    <w:p>
      <w:pPr>
        <w:ind w:firstLine="379"/>
        <w:spacing w:after="0" w:line="256" w:lineRule="auto"/>
        <w:rPr>
          <w:sz w:val="20"/>
          <w:szCs w:val="20"/>
          <w:color w:val="auto"/>
        </w:rPr>
      </w:pPr>
      <w:r>
        <w:rPr>
          <w:rFonts w:ascii="Times New Roman" w:cs="Times New Roman" w:eastAsia="Times New Roman" w:hAnsi="Times New Roman"/>
          <w:sz w:val="15"/>
          <w:szCs w:val="15"/>
          <w:color w:val="auto"/>
        </w:rPr>
        <w:t xml:space="preserve">Section 3.5 </w:t>
      </w:r>
      <w:r>
        <w:rPr>
          <w:rFonts w:ascii="Times New Roman" w:cs="Times New Roman" w:eastAsia="Times New Roman" w:hAnsi="Times New Roman"/>
          <w:sz w:val="15"/>
          <w:szCs w:val="15"/>
          <w:u w:val="single" w:color="auto"/>
          <w:color w:val="auto"/>
        </w:rPr>
        <w:t>Effectiveness and Events Requiring Notice to the Representative</w:t>
      </w:r>
      <w:r>
        <w:rPr>
          <w:rFonts w:ascii="Times New Roman" w:cs="Times New Roman" w:eastAsia="Times New Roman" w:hAnsi="Times New Roman"/>
          <w:sz w:val="15"/>
          <w:szCs w:val="15"/>
          <w:color w:val="auto"/>
        </w:rPr>
        <w:t>. The Company will use its best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 effective amendment thereto or preventing or suspending the use of any Preliminary Prospectus or the Prospectus or of the initiation, or the threatening, of any proceeding for that purpose; (iii) of the</w:t>
      </w:r>
    </w:p>
    <w:p>
      <w:pPr>
        <w:sectPr>
          <w:pgSz w:w="11900" w:h="16840" w:orient="portrait"/>
          <w:cols w:equalWidth="0" w:num="1">
            <w:col w:w="9660"/>
          </w:cols>
          <w:pgMar w:left="1120" w:top="689" w:right="1120" w:bottom="1440" w:gutter="0" w:footer="0" w:header="0"/>
        </w:sectPr>
      </w:pPr>
    </w:p>
    <w:bookmarkStart w:id="288" w:name="page289"/>
    <w:bookmarkEnd w:id="288"/>
    <w:p>
      <w:pPr>
        <w:ind w:right="60"/>
        <w:spacing w:after="0" w:line="25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issuance by any foreign or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that, in the judgment of the Company or its counsel, makes any statement of a material fact made in the Registration Statement, the General Disclosure Package, or the Prospectus untrue or that requires the making of any changes in the Registration Statement, the General Disclosure Package, and Prospectus in order to make the statements therein, (with respect to the Prospectus and the General Disclosure Package and in the light of the circumstances under which they were made), not misleading. If the Commission or any foreign or state securities commission shall enter a stop order or suspend such qualification at any time, the Company will make every reasonable effort to obtain promptly the lifting of such order.</w:t>
      </w:r>
    </w:p>
    <w:p>
      <w:pPr>
        <w:spacing w:after="0" w:line="165" w:lineRule="exact"/>
        <w:rPr>
          <w:sz w:val="20"/>
          <w:szCs w:val="20"/>
          <w:color w:val="auto"/>
        </w:rPr>
      </w:pPr>
    </w:p>
    <w:p>
      <w:pPr>
        <w:ind w:right="24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3.6 </w:t>
      </w:r>
      <w:r>
        <w:rPr>
          <w:rFonts w:ascii="Times New Roman" w:cs="Times New Roman" w:eastAsia="Times New Roman" w:hAnsi="Times New Roman"/>
          <w:sz w:val="15"/>
          <w:szCs w:val="15"/>
          <w:u w:val="single" w:color="auto"/>
          <w:color w:val="auto"/>
        </w:rPr>
        <w:t>Review of Financial Statements</w:t>
      </w:r>
      <w:r>
        <w:rPr>
          <w:rFonts w:ascii="Times New Roman" w:cs="Times New Roman" w:eastAsia="Times New Roman" w:hAnsi="Times New Roman"/>
          <w:sz w:val="15"/>
          <w:szCs w:val="15"/>
          <w:color w:val="auto"/>
        </w:rPr>
        <w:t>. Until the earlier of five years from the Effective Date or until the liquidation of the Trust Account if a Business Combination is not consummated by the Termination Date, the Company, at its expense, shall cause its regularly engaged independent certified public accountants to review (but not audit) the Company’s financial statements for each of the first three fiscal quarters prior to the announcement of quarterly financial information and the filing of the Company’s Form 10-Q quarterly report.</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3.7 </w:t>
      </w:r>
      <w:r>
        <w:rPr>
          <w:rFonts w:ascii="Times New Roman" w:cs="Times New Roman" w:eastAsia="Times New Roman" w:hAnsi="Times New Roman"/>
          <w:sz w:val="15"/>
          <w:szCs w:val="15"/>
          <w:u w:val="single" w:color="auto"/>
          <w:color w:val="auto"/>
        </w:rPr>
        <w:t>Affiliated Transactions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100" w:firstLine="865"/>
        <w:spacing w:after="0" w:line="259" w:lineRule="auto"/>
        <w:rPr>
          <w:sz w:val="20"/>
          <w:szCs w:val="20"/>
          <w:color w:val="auto"/>
        </w:rPr>
      </w:pPr>
      <w:r>
        <w:rPr>
          <w:rFonts w:ascii="Times New Roman" w:cs="Times New Roman" w:eastAsia="Times New Roman" w:hAnsi="Times New Roman"/>
          <w:sz w:val="15"/>
          <w:szCs w:val="15"/>
          <w:color w:val="auto"/>
        </w:rPr>
        <w:t xml:space="preserve">3.7.1 </w:t>
      </w:r>
      <w:r>
        <w:rPr>
          <w:rFonts w:ascii="Times New Roman" w:cs="Times New Roman" w:eastAsia="Times New Roman" w:hAnsi="Times New Roman"/>
          <w:sz w:val="15"/>
          <w:szCs w:val="15"/>
          <w:u w:val="single" w:color="auto"/>
          <w:color w:val="auto"/>
        </w:rPr>
        <w:t>Business Combinations</w:t>
      </w:r>
      <w:r>
        <w:rPr>
          <w:rFonts w:ascii="Times New Roman" w:cs="Times New Roman" w:eastAsia="Times New Roman" w:hAnsi="Times New Roman"/>
          <w:sz w:val="15"/>
          <w:szCs w:val="15"/>
          <w:color w:val="auto"/>
        </w:rPr>
        <w:t>. The Company will not consummate a Business Combination with an entity that is affiliated with any Respondent unless, in each case, (i) the Company obtains an opinion from an independent investment banking firm or another independent firm that commonly renders fairness opinions on the type of target business the Company is seeking to acquire that the Business Combination is fair to the Company from a financial point of view and (ii) a majority of the Company’s disinterested and independent directors (if there are any) approve such transaction.</w:t>
      </w:r>
    </w:p>
    <w:p>
      <w:pPr>
        <w:spacing w:after="0" w:line="156" w:lineRule="exact"/>
        <w:rPr>
          <w:sz w:val="20"/>
          <w:szCs w:val="20"/>
          <w:color w:val="auto"/>
        </w:rPr>
      </w:pPr>
    </w:p>
    <w:p>
      <w:pPr>
        <w:ind w:right="180" w:firstLine="865"/>
        <w:spacing w:after="0" w:line="265" w:lineRule="auto"/>
        <w:rPr>
          <w:sz w:val="20"/>
          <w:szCs w:val="20"/>
          <w:color w:val="auto"/>
        </w:rPr>
      </w:pPr>
      <w:r>
        <w:rPr>
          <w:rFonts w:ascii="Times New Roman" w:cs="Times New Roman" w:eastAsia="Times New Roman" w:hAnsi="Times New Roman"/>
          <w:sz w:val="15"/>
          <w:szCs w:val="15"/>
          <w:color w:val="auto"/>
        </w:rPr>
        <w:t xml:space="preserve">3.7.2 </w:t>
      </w:r>
      <w:r>
        <w:rPr>
          <w:rFonts w:ascii="Times New Roman" w:cs="Times New Roman" w:eastAsia="Times New Roman" w:hAnsi="Times New Roman"/>
          <w:sz w:val="15"/>
          <w:szCs w:val="15"/>
          <w:u w:val="single" w:color="auto"/>
          <w:color w:val="auto"/>
        </w:rPr>
        <w:t>Compensation</w:t>
      </w:r>
      <w:r>
        <w:rPr>
          <w:rFonts w:ascii="Times New Roman" w:cs="Times New Roman" w:eastAsia="Times New Roman" w:hAnsi="Times New Roman"/>
          <w:sz w:val="15"/>
          <w:szCs w:val="15"/>
          <w:color w:val="auto"/>
        </w:rPr>
        <w:t>. Except as disclosed in the Registration Statement, the General Disclosure Package, and the Prospectus and as provided for otherwise herein and in the Insider Letter, the Company shall not pay any Respondent or any of their affiliates any fees or compensation for services rendered to the Company prior to, or in connection with, either this Offering or the Business Combination.</w:t>
      </w:r>
    </w:p>
    <w:p>
      <w:pPr>
        <w:spacing w:after="0" w:line="151" w:lineRule="exact"/>
        <w:rPr>
          <w:sz w:val="20"/>
          <w:szCs w:val="20"/>
          <w:color w:val="auto"/>
        </w:rPr>
      </w:pPr>
    </w:p>
    <w:p>
      <w:pPr>
        <w:ind w:firstLine="379"/>
        <w:spacing w:after="0" w:line="252" w:lineRule="auto"/>
        <w:rPr>
          <w:sz w:val="20"/>
          <w:szCs w:val="20"/>
          <w:color w:val="auto"/>
        </w:rPr>
      </w:pPr>
      <w:r>
        <w:rPr>
          <w:rFonts w:ascii="Times New Roman" w:cs="Times New Roman" w:eastAsia="Times New Roman" w:hAnsi="Times New Roman"/>
          <w:sz w:val="15"/>
          <w:szCs w:val="15"/>
          <w:color w:val="auto"/>
        </w:rPr>
        <w:t xml:space="preserve">Section 3.8 </w:t>
      </w:r>
      <w:r>
        <w:rPr>
          <w:rFonts w:ascii="Times New Roman" w:cs="Times New Roman" w:eastAsia="Times New Roman" w:hAnsi="Times New Roman"/>
          <w:sz w:val="15"/>
          <w:szCs w:val="15"/>
          <w:u w:val="single" w:color="auto"/>
          <w:color w:val="auto"/>
        </w:rPr>
        <w:t>Lock-Up</w:t>
      </w:r>
      <w:r>
        <w:rPr>
          <w:rFonts w:ascii="Times New Roman" w:cs="Times New Roman" w:eastAsia="Times New Roman" w:hAnsi="Times New Roman"/>
          <w:sz w:val="15"/>
          <w:szCs w:val="15"/>
          <w:color w:val="auto"/>
        </w:rPr>
        <w:t xml:space="preserve">. The Company will not, without the prior written consent of the Representative, offer, sell, contract to sell, pledge, charge or grant any option to purchase or otherwise dispose of, directly or indirectly (or enter into any transaction that is designed to, or might reasonably be expected to, result in the disposition (whether by actual disposition or effective economic disposition due to cash settlement or otherwise)),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Units, Rights or Ordinary Shares or any securities convertible into, or exercisable, or exchangeable for, Ordinary Shares or publicly announce an intention to effect any such transaction during the period commencing on the date hereof and ending 180 days after the date of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Company may (1) issue and sell the Private Placement Units, (2) issue and sell</w:t>
      </w:r>
    </w:p>
    <w:p>
      <w:pPr>
        <w:sectPr>
          <w:pgSz w:w="11900" w:h="16840" w:orient="portrait"/>
          <w:cols w:equalWidth="0" w:num="1">
            <w:col w:w="9660"/>
          </w:cols>
          <w:pgMar w:left="1120" w:top="689" w:right="1120" w:bottom="1440" w:gutter="0" w:footer="0" w:header="0"/>
        </w:sectPr>
      </w:pPr>
    </w:p>
    <w:bookmarkStart w:id="289" w:name="page290"/>
    <w:bookmarkEnd w:id="289"/>
    <w:p>
      <w:pPr>
        <w:ind w:right="80"/>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6749415" cy="35560"/>
                    </a:xfrm>
                    <a:prstGeom prst="rect">
                      <a:avLst/>
                    </a:prstGeom>
                    <a:noFill/>
                  </pic:spPr>
                </pic:pic>
              </a:graphicData>
            </a:graphic>
          </wp:anchor>
        </w:drawing>
        <w:t>the Option Securities on exercise of the option provided for in Section 1.2.1 hereof, (3) register with the Commission pursuant to the Registration Rights Agreement, in accordance with the terms of the Registration Rights Agreement, the resale of the Class A Ordinary Shares underlying the Private Placement Units, Private Placement Rights and the Founder Shares and (4) issue securities in connection with the Company’s Initial Business Combination.</w:t>
      </w:r>
    </w:p>
    <w:p>
      <w:pPr>
        <w:spacing w:after="0" w:line="151" w:lineRule="exact"/>
        <w:rPr>
          <w:sz w:val="20"/>
          <w:szCs w:val="20"/>
          <w:color w:val="auto"/>
        </w:rPr>
      </w:pPr>
    </w:p>
    <w:p>
      <w:pPr>
        <w:ind w:right="14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3.9 </w:t>
      </w:r>
      <w:r>
        <w:rPr>
          <w:rFonts w:ascii="Times New Roman" w:cs="Times New Roman" w:eastAsia="Times New Roman" w:hAnsi="Times New Roman"/>
          <w:sz w:val="15"/>
          <w:szCs w:val="15"/>
          <w:u w:val="single" w:color="auto"/>
          <w:color w:val="auto"/>
        </w:rPr>
        <w:t>Investor Relations Firm</w:t>
      </w:r>
      <w:r>
        <w:rPr>
          <w:rFonts w:ascii="Times New Roman" w:cs="Times New Roman" w:eastAsia="Times New Roman" w:hAnsi="Times New Roman"/>
          <w:sz w:val="15"/>
          <w:szCs w:val="15"/>
          <w:color w:val="auto"/>
        </w:rPr>
        <w:t>. Promptly after the execution of a definitive agreement for a Business Combination, the Company shall retain an investor relations firm with the expertise necessary to assist the Company both before and after the consummation of the Business Combination.</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3.10 </w:t>
      </w:r>
      <w:r>
        <w:rPr>
          <w:rFonts w:ascii="Times New Roman" w:cs="Times New Roman" w:eastAsia="Times New Roman" w:hAnsi="Times New Roman"/>
          <w:sz w:val="15"/>
          <w:szCs w:val="15"/>
          <w:u w:val="single" w:color="auto"/>
          <w:color w:val="auto"/>
        </w:rPr>
        <w:t>Reports to the Representative</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40" w:firstLine="865"/>
        <w:spacing w:after="0" w:line="250" w:lineRule="auto"/>
        <w:rPr>
          <w:sz w:val="20"/>
          <w:szCs w:val="20"/>
          <w:color w:val="auto"/>
        </w:rPr>
      </w:pPr>
      <w:r>
        <w:rPr>
          <w:rFonts w:ascii="Times New Roman" w:cs="Times New Roman" w:eastAsia="Times New Roman" w:hAnsi="Times New Roman"/>
          <w:sz w:val="15"/>
          <w:szCs w:val="15"/>
          <w:color w:val="auto"/>
        </w:rPr>
        <w:t xml:space="preserve">3. 10.1 </w:t>
      </w:r>
      <w:r>
        <w:rPr>
          <w:rFonts w:ascii="Times New Roman" w:cs="Times New Roman" w:eastAsia="Times New Roman" w:hAnsi="Times New Roman"/>
          <w:sz w:val="15"/>
          <w:szCs w:val="15"/>
          <w:u w:val="single" w:color="auto"/>
          <w:color w:val="auto"/>
        </w:rPr>
        <w:t>Periodic Reports, etc</w:t>
      </w:r>
      <w:r>
        <w:rPr>
          <w:rFonts w:ascii="Times New Roman" w:cs="Times New Roman" w:eastAsia="Times New Roman" w:hAnsi="Times New Roman"/>
          <w:sz w:val="15"/>
          <w:szCs w:val="15"/>
          <w:color w:val="auto"/>
        </w:rPr>
        <w:t>. For a period of five years from the Effective Date or until the Termination Date or such earlier time upon which the Company is required to be liquidated and dissolved, the Company will furnish to the Representative and its counsel copies of such financial statements and other periodic and special reports as the Company from time to time furnishes generally to holders of any class of its securities, and shall promptly furnish to the Representative: (i) a copy of each periodic report the Company is required to file with the Commission; (ii) a copy of every press release and every news item and article with respect to the Company or its affairs which was released by the Company; (iii) a copy of each Current Report on Form 8-K and any Schedules 13D, 13G, 14D-1, or 13E-4 received or prepared by the Company; (iv) five copies of each registration statement filed by the Company with the Commission under the Act; and (v) such additional documents and information with respect to the Company and the affairs of any future subsidiaries of the Company as the Representative may from time to time reasonably request; provided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Electronic Data Gathering, Analysis and Retrieval System (“</w:t>
      </w:r>
      <w:r>
        <w:rPr>
          <w:rFonts w:ascii="Times New Roman" w:cs="Times New Roman" w:eastAsia="Times New Roman" w:hAnsi="Times New Roman"/>
          <w:sz w:val="15"/>
          <w:szCs w:val="15"/>
          <w:u w:val="single" w:color="auto"/>
          <w:color w:val="auto"/>
        </w:rPr>
        <w:t>EDGAR</w:t>
      </w:r>
      <w:r>
        <w:rPr>
          <w:rFonts w:ascii="Times New Roman" w:cs="Times New Roman" w:eastAsia="Times New Roman" w:hAnsi="Times New Roman"/>
          <w:sz w:val="15"/>
          <w:szCs w:val="15"/>
          <w:color w:val="auto"/>
        </w:rPr>
        <w:t xml:space="preserve">”) shall be deemed to have been delivered to the Representative pursuant to this </w:t>
      </w:r>
      <w:r>
        <w:rPr>
          <w:rFonts w:ascii="Times New Roman" w:cs="Times New Roman" w:eastAsia="Times New Roman" w:hAnsi="Times New Roman"/>
          <w:sz w:val="15"/>
          <w:szCs w:val="15"/>
          <w:u w:val="single" w:color="auto"/>
          <w:color w:val="auto"/>
        </w:rPr>
        <w:t>Section 3.10.1</w:t>
      </w:r>
      <w:r>
        <w:rPr>
          <w:rFonts w:ascii="Times New Roman" w:cs="Times New Roman" w:eastAsia="Times New Roman" w:hAnsi="Times New Roman"/>
          <w:sz w:val="15"/>
          <w:szCs w:val="15"/>
          <w:color w:val="auto"/>
        </w:rPr>
        <w:t>.</w:t>
      </w:r>
    </w:p>
    <w:p>
      <w:pPr>
        <w:spacing w:after="0" w:line="167" w:lineRule="exact"/>
        <w:rPr>
          <w:sz w:val="20"/>
          <w:szCs w:val="20"/>
          <w:color w:val="auto"/>
        </w:rPr>
      </w:pPr>
    </w:p>
    <w:p>
      <w:pPr>
        <w:ind w:right="200" w:firstLine="865"/>
        <w:spacing w:after="0" w:line="265" w:lineRule="auto"/>
        <w:rPr>
          <w:sz w:val="20"/>
          <w:szCs w:val="20"/>
          <w:color w:val="auto"/>
        </w:rPr>
      </w:pPr>
      <w:r>
        <w:rPr>
          <w:rFonts w:ascii="Times New Roman" w:cs="Times New Roman" w:eastAsia="Times New Roman" w:hAnsi="Times New Roman"/>
          <w:sz w:val="15"/>
          <w:szCs w:val="15"/>
          <w:color w:val="auto"/>
        </w:rPr>
        <w:t xml:space="preserve">3.10.2 </w:t>
      </w:r>
      <w:r>
        <w:rPr>
          <w:rFonts w:ascii="Times New Roman" w:cs="Times New Roman" w:eastAsia="Times New Roman" w:hAnsi="Times New Roman"/>
          <w:sz w:val="15"/>
          <w:szCs w:val="15"/>
          <w:u w:val="single" w:color="auto"/>
          <w:color w:val="auto"/>
        </w:rPr>
        <w:t>Transfer Agent and Right Agent</w:t>
      </w:r>
      <w:r>
        <w:rPr>
          <w:rFonts w:ascii="Times New Roman" w:cs="Times New Roman" w:eastAsia="Times New Roman" w:hAnsi="Times New Roman"/>
          <w:sz w:val="15"/>
          <w:szCs w:val="15"/>
          <w:color w:val="auto"/>
        </w:rPr>
        <w:t>. For a period of five years following the Effective Date or until the Termination Date or such earlier time upon which the Company is required to be liquidated, the Company shall retain a transfer agent and right agent reasonably acceptable to the Representative. CST is acceptable to the Representative and the Underwriters.</w:t>
      </w:r>
    </w:p>
    <w:p>
      <w:pPr>
        <w:spacing w:after="0" w:line="151" w:lineRule="exact"/>
        <w:rPr>
          <w:sz w:val="20"/>
          <w:szCs w:val="20"/>
          <w:color w:val="auto"/>
        </w:rPr>
      </w:pPr>
    </w:p>
    <w:p>
      <w:pPr>
        <w:ind w:firstLine="379"/>
        <w:spacing w:after="0" w:line="253" w:lineRule="auto"/>
        <w:rPr>
          <w:sz w:val="20"/>
          <w:szCs w:val="20"/>
          <w:color w:val="auto"/>
        </w:rPr>
      </w:pPr>
      <w:r>
        <w:rPr>
          <w:rFonts w:ascii="Times New Roman" w:cs="Times New Roman" w:eastAsia="Times New Roman" w:hAnsi="Times New Roman"/>
          <w:sz w:val="15"/>
          <w:szCs w:val="15"/>
          <w:color w:val="auto"/>
        </w:rPr>
        <w:t xml:space="preserve">Section 3.11 </w:t>
      </w:r>
      <w:r>
        <w:rPr>
          <w:rFonts w:ascii="Times New Roman" w:cs="Times New Roman" w:eastAsia="Times New Roman" w:hAnsi="Times New Roman"/>
          <w:sz w:val="15"/>
          <w:szCs w:val="15"/>
          <w:u w:val="single" w:color="auto"/>
          <w:color w:val="auto"/>
        </w:rPr>
        <w:t>Payment of Expenses</w:t>
      </w:r>
      <w:r>
        <w:rPr>
          <w:rFonts w:ascii="Times New Roman" w:cs="Times New Roman" w:eastAsia="Times New Roman" w:hAnsi="Times New Roman"/>
          <w:sz w:val="15"/>
          <w:szCs w:val="15"/>
          <w:color w:val="auto"/>
        </w:rPr>
        <w:t>. The Company agrees to pay on each of the Closing Date and the Option Closing Date, if any, to the extent not paid at Closing Date, or such later date as may be agreed to by the Representative in its sole discretion, all fees and expenses incident to the performance of the obligations of the Company under this Agreement, including, but not limited to: (i) the preparation, printing, filing, and mailing (including the payment of postage with respect to such mailing) of the Registration Statement, the Statutory Prospectus, and the final Prospectus and mailing of this Agreement and related documents, including the cost of all copies thereof and any amendments thereof or supplements thereto supplied to the Underwriters in quantities as may be required by the Underwriters; (ii) the printing, engraving, issuance, and delivery of the Firm Units and Option Units, including any transfer or other taxes</w:t>
      </w:r>
    </w:p>
    <w:p>
      <w:pPr>
        <w:sectPr>
          <w:pgSz w:w="11900" w:h="16840" w:orient="portrait"/>
          <w:cols w:equalWidth="0" w:num="1">
            <w:col w:w="9660"/>
          </w:cols>
          <w:pgMar w:left="1120" w:top="689" w:right="1120" w:bottom="1440" w:gutter="0" w:footer="0" w:header="0"/>
        </w:sectPr>
      </w:pPr>
    </w:p>
    <w:bookmarkStart w:id="290" w:name="page291"/>
    <w:bookmarkEnd w:id="290"/>
    <w:p>
      <w:pPr>
        <w:spacing w:after="0" w:line="25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payable thereon; (iii) Nasdaq filing fees or, if necessary, the qualification of the Public Securities under state or foreign securities or Blue Sky laws; (iv) fees incurred in registering the Offering with FINRA; (v) fees and disbursements of the transfer agent and right agent; (vi) all costs and expenses of the Company associated with “road show” marketing and “due diligence” trips for the Company’s management to meet with prospective investors, including, without limitation, all travel, food and lodging expenses associated with such trips incurred by the Company or such management; (vii) the costs of conduct background checks on the Company’s senior management and board of directors and (viii) all other reasonable out of pocket costs and expenses agreed to in writing in advance incident to the performance of the its obligations hereunder which are not otherwise specifically provided for in this </w:t>
      </w:r>
      <w:r>
        <w:rPr>
          <w:rFonts w:ascii="Times New Roman" w:cs="Times New Roman" w:eastAsia="Times New Roman" w:hAnsi="Times New Roman"/>
          <w:sz w:val="15"/>
          <w:szCs w:val="15"/>
          <w:u w:val="single" w:color="auto"/>
          <w:color w:val="auto"/>
        </w:rPr>
        <w:t>Section 3.11</w:t>
      </w:r>
      <w:r>
        <w:rPr>
          <w:rFonts w:ascii="Times New Roman" w:cs="Times New Roman" w:eastAsia="Times New Roman" w:hAnsi="Times New Roman"/>
          <w:sz w:val="15"/>
          <w:szCs w:val="15"/>
          <w:color w:val="auto"/>
        </w:rPr>
        <w:t>. If the Offering is consummated, the Representative may deduct from the net proceeds of the Offering payable to the Company on the Closing Date the expenses set forth above (which shall be mutually agreed upon between the Company and the Representative prior to the Closing Date) to be paid by the Company to the Representative and others. If the Offering is not consummated for any reason (other than a breach by the Representative of any of its obligations hereunder), then the Company shall reimburse the Representative for its out-of-pocket accountable expenses actually incurred through such date.</w:t>
      </w:r>
    </w:p>
    <w:p>
      <w:pPr>
        <w:spacing w:after="0" w:line="162" w:lineRule="exact"/>
        <w:rPr>
          <w:sz w:val="20"/>
          <w:szCs w:val="20"/>
          <w:color w:val="auto"/>
        </w:rPr>
      </w:pPr>
    </w:p>
    <w:p>
      <w:pPr>
        <w:ind w:right="46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3.12 </w:t>
      </w:r>
      <w:r>
        <w:rPr>
          <w:rFonts w:ascii="Times New Roman" w:cs="Times New Roman" w:eastAsia="Times New Roman" w:hAnsi="Times New Roman"/>
          <w:sz w:val="15"/>
          <w:szCs w:val="15"/>
          <w:u w:val="single" w:color="auto"/>
          <w:color w:val="auto"/>
        </w:rPr>
        <w:t>Application of Net Proceeds</w:t>
      </w:r>
      <w:r>
        <w:rPr>
          <w:rFonts w:ascii="Times New Roman" w:cs="Times New Roman" w:eastAsia="Times New Roman" w:hAnsi="Times New Roman"/>
          <w:sz w:val="15"/>
          <w:szCs w:val="15"/>
          <w:color w:val="auto"/>
        </w:rPr>
        <w:t>. The Company will apply the net proceeds from this Offering received by it in a manner substantially consistent with the application described under the caption “Use of Proceeds” in the Prospectus.</w:t>
      </w:r>
    </w:p>
    <w:p>
      <w:pPr>
        <w:spacing w:after="0" w:line="137" w:lineRule="exact"/>
        <w:rPr>
          <w:sz w:val="20"/>
          <w:szCs w:val="20"/>
          <w:color w:val="auto"/>
        </w:rPr>
      </w:pPr>
    </w:p>
    <w:p>
      <w:pPr>
        <w:ind w:right="44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3.13 </w:t>
      </w:r>
      <w:r>
        <w:rPr>
          <w:rFonts w:ascii="Times New Roman" w:cs="Times New Roman" w:eastAsia="Times New Roman" w:hAnsi="Times New Roman"/>
          <w:sz w:val="15"/>
          <w:szCs w:val="15"/>
          <w:u w:val="single" w:color="auto"/>
          <w:color w:val="auto"/>
        </w:rPr>
        <w:t>Delivery of Earnings Statements to Security Holders</w:t>
      </w:r>
      <w:r>
        <w:rPr>
          <w:rFonts w:ascii="Times New Roman" w:cs="Times New Roman" w:eastAsia="Times New Roman" w:hAnsi="Times New Roman"/>
          <w:sz w:val="15"/>
          <w:szCs w:val="15"/>
          <w:color w:val="auto"/>
        </w:rPr>
        <w:t>. The Company will make generally available to its security holders as soon as practicable, but not later than the first day of the sixteenth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consecutive months beginning after the Effective Date.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3.14 </w:t>
      </w:r>
      <w:r>
        <w:rPr>
          <w:rFonts w:ascii="Times New Roman" w:cs="Times New Roman" w:eastAsia="Times New Roman" w:hAnsi="Times New Roman"/>
          <w:sz w:val="15"/>
          <w:szCs w:val="15"/>
          <w:u w:val="single" w:color="auto"/>
          <w:color w:val="auto"/>
        </w:rPr>
        <w:t>Notice to FINRA</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firstLine="865"/>
        <w:spacing w:after="0" w:line="252" w:lineRule="auto"/>
        <w:rPr>
          <w:sz w:val="20"/>
          <w:szCs w:val="20"/>
          <w:color w:val="auto"/>
        </w:rPr>
      </w:pPr>
      <w:r>
        <w:rPr>
          <w:rFonts w:ascii="Times New Roman" w:cs="Times New Roman" w:eastAsia="Times New Roman" w:hAnsi="Times New Roman"/>
          <w:sz w:val="15"/>
          <w:szCs w:val="15"/>
          <w:color w:val="auto"/>
        </w:rPr>
        <w:t xml:space="preserve">3.14.1 </w:t>
      </w:r>
      <w:r>
        <w:rPr>
          <w:rFonts w:ascii="Times New Roman" w:cs="Times New Roman" w:eastAsia="Times New Roman" w:hAnsi="Times New Roman"/>
          <w:sz w:val="15"/>
          <w:szCs w:val="15"/>
          <w:u w:val="single" w:color="auto"/>
          <w:color w:val="auto"/>
        </w:rPr>
        <w:t>Assistance with Business Combination</w:t>
      </w:r>
      <w:r>
        <w:rPr>
          <w:rFonts w:ascii="Times New Roman" w:cs="Times New Roman" w:eastAsia="Times New Roman" w:hAnsi="Times New Roman"/>
          <w:sz w:val="15"/>
          <w:szCs w:val="15"/>
          <w:color w:val="auto"/>
        </w:rPr>
        <w:t>. For a period of sixty (60) days following the date hereof, in the event any person or entity (regardless of any FINRA affiliation or association) is engaged to assist the Company in its search for a Business Combination candidate or to provide any similar Business Combination-related services, the Company will provide the following information (the “</w:t>
      </w:r>
      <w:r>
        <w:rPr>
          <w:rFonts w:ascii="Times New Roman" w:cs="Times New Roman" w:eastAsia="Times New Roman" w:hAnsi="Times New Roman"/>
          <w:sz w:val="15"/>
          <w:szCs w:val="15"/>
          <w:u w:val="single" w:color="auto"/>
          <w:color w:val="auto"/>
        </w:rPr>
        <w:t>Business Combination Information</w:t>
      </w:r>
      <w:r>
        <w:rPr>
          <w:rFonts w:ascii="Times New Roman" w:cs="Times New Roman" w:eastAsia="Times New Roman" w:hAnsi="Times New Roman"/>
          <w:sz w:val="15"/>
          <w:szCs w:val="15"/>
          <w:color w:val="auto"/>
        </w:rPr>
        <w:t>”) to the Representative: (i) complete details of all services and copies of agreements governing such services (which details or agreements may be appropriately redacted to account for privilege or confidentiality concerns); and (ii) justification as to why the person or entity providing the Business Combination-related services should not be considered an “underwriter and related person” with respect to the Company’s initial public offering, as such term is defined in FINRA Rule 5110. The Company also agrees that proper disclosure of such arrangement or potential arrangement will be made in the proxy statement which the Company will file for purposes of</w:t>
      </w:r>
    </w:p>
    <w:p>
      <w:pPr>
        <w:sectPr>
          <w:pgSz w:w="11900" w:h="16840" w:orient="portrait"/>
          <w:cols w:equalWidth="0" w:num="1">
            <w:col w:w="9660"/>
          </w:cols>
          <w:pgMar w:left="1120" w:top="689" w:right="1120" w:bottom="1440" w:gutter="0" w:footer="0" w:header="0"/>
        </w:sectPr>
      </w:pPr>
    </w:p>
    <w:bookmarkStart w:id="291" w:name="page292"/>
    <w:bookmarkEnd w:id="291"/>
    <w:p>
      <w:pPr>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6749415" cy="35560"/>
                    </a:xfrm>
                    <a:prstGeom prst="rect">
                      <a:avLst/>
                    </a:prstGeom>
                    <a:noFill/>
                  </pic:spPr>
                </pic:pic>
              </a:graphicData>
            </a:graphic>
          </wp:anchor>
        </w:drawing>
        <w:t>soliciting shareholder approval for the Business Combination. Upon the Company’s delivery of the Business Combination Information to the Representative, the Company hereby expressly authorizes the Representative to provide such information directly to FINRA, if required, as a result of representations the Representative has made to FINRA in connection with the Offering.</w:t>
      </w:r>
    </w:p>
    <w:p>
      <w:pPr>
        <w:spacing w:after="0" w:line="151" w:lineRule="exact"/>
        <w:rPr>
          <w:sz w:val="20"/>
          <w:szCs w:val="20"/>
          <w:color w:val="auto"/>
        </w:rPr>
      </w:pPr>
    </w:p>
    <w:p>
      <w:pPr>
        <w:ind w:right="320" w:firstLine="865"/>
        <w:spacing w:after="0" w:line="284" w:lineRule="auto"/>
        <w:rPr>
          <w:sz w:val="20"/>
          <w:szCs w:val="20"/>
          <w:color w:val="auto"/>
        </w:rPr>
      </w:pPr>
      <w:r>
        <w:rPr>
          <w:rFonts w:ascii="Times New Roman" w:cs="Times New Roman" w:eastAsia="Times New Roman" w:hAnsi="Times New Roman"/>
          <w:sz w:val="15"/>
          <w:szCs w:val="15"/>
          <w:color w:val="auto"/>
        </w:rPr>
        <w:t xml:space="preserve">3.14.2 </w:t>
      </w:r>
      <w:r>
        <w:rPr>
          <w:rFonts w:ascii="Times New Roman" w:cs="Times New Roman" w:eastAsia="Times New Roman" w:hAnsi="Times New Roman"/>
          <w:sz w:val="15"/>
          <w:szCs w:val="15"/>
          <w:u w:val="single" w:color="auto"/>
          <w:color w:val="auto"/>
        </w:rPr>
        <w:t>Broker/Dealer</w:t>
      </w:r>
      <w:r>
        <w:rPr>
          <w:rFonts w:ascii="Times New Roman" w:cs="Times New Roman" w:eastAsia="Times New Roman" w:hAnsi="Times New Roman"/>
          <w:sz w:val="15"/>
          <w:szCs w:val="15"/>
          <w:color w:val="auto"/>
        </w:rPr>
        <w:t>. In the event the Company intends to register as a broker/dealer, merge with or acquire a registered broker/dealer, or otherwise become a member of FINRA, it shall promptly notify the Representative.</w:t>
      </w:r>
    </w:p>
    <w:p>
      <w:pPr>
        <w:spacing w:after="0" w:line="137" w:lineRule="exact"/>
        <w:rPr>
          <w:sz w:val="20"/>
          <w:szCs w:val="20"/>
          <w:color w:val="auto"/>
        </w:rPr>
      </w:pPr>
    </w:p>
    <w:p>
      <w:pPr>
        <w:ind w:right="2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3.15 </w:t>
      </w:r>
      <w:r>
        <w:rPr>
          <w:rFonts w:ascii="Times New Roman" w:cs="Times New Roman" w:eastAsia="Times New Roman" w:hAnsi="Times New Roman"/>
          <w:sz w:val="15"/>
          <w:szCs w:val="15"/>
          <w:u w:val="single" w:color="auto"/>
          <w:color w:val="auto"/>
        </w:rPr>
        <w:t>Stabilization</w:t>
      </w:r>
      <w:r>
        <w:rPr>
          <w:rFonts w:ascii="Times New Roman" w:cs="Times New Roman" w:eastAsia="Times New Roman" w:hAnsi="Times New Roman"/>
          <w:sz w:val="15"/>
          <w:szCs w:val="15"/>
          <w:color w:val="auto"/>
        </w:rPr>
        <w:t>. Neither the Company, nor, to its knowledge, any of its employees, officers, directors, or shareholders has taken or will take, directly or indirectly, (without the consent of the Representative) any action designed to or that has constituted or that might reasonably be expected to cause or result in, under the Exchange Act or otherwise, stabilization or manipulation of the price of any security of the Company to facilitate the sale or resale of the Public Securities.</w:t>
      </w:r>
    </w:p>
    <w:p>
      <w:pPr>
        <w:spacing w:after="0" w:line="156" w:lineRule="exact"/>
        <w:rPr>
          <w:sz w:val="20"/>
          <w:szCs w:val="20"/>
          <w:color w:val="auto"/>
        </w:rPr>
      </w:pPr>
    </w:p>
    <w:p>
      <w:pPr>
        <w:ind w:right="140" w:firstLine="379"/>
        <w:spacing w:after="0" w:line="256" w:lineRule="auto"/>
        <w:rPr>
          <w:sz w:val="20"/>
          <w:szCs w:val="20"/>
          <w:color w:val="auto"/>
        </w:rPr>
      </w:pPr>
      <w:r>
        <w:rPr>
          <w:rFonts w:ascii="Times New Roman" w:cs="Times New Roman" w:eastAsia="Times New Roman" w:hAnsi="Times New Roman"/>
          <w:sz w:val="15"/>
          <w:szCs w:val="15"/>
          <w:color w:val="auto"/>
        </w:rPr>
        <w:t xml:space="preserve">Section 3.16 </w:t>
      </w:r>
      <w:r>
        <w:rPr>
          <w:rFonts w:ascii="Times New Roman" w:cs="Times New Roman" w:eastAsia="Times New Roman" w:hAnsi="Times New Roman"/>
          <w:sz w:val="15"/>
          <w:szCs w:val="15"/>
          <w:u w:val="single" w:color="auto"/>
          <w:color w:val="auto"/>
        </w:rPr>
        <w:t>Internal Controls</w:t>
      </w:r>
      <w:r>
        <w:rPr>
          <w:rFonts w:ascii="Times New Roman" w:cs="Times New Roman" w:eastAsia="Times New Roman" w:hAnsi="Times New Roman"/>
          <w:sz w:val="15"/>
          <w:szCs w:val="15"/>
          <w:color w:val="auto"/>
        </w:rPr>
        <w:t>. From and after the Closing Date,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58" w:lineRule="exact"/>
        <w:rPr>
          <w:sz w:val="20"/>
          <w:szCs w:val="20"/>
          <w:color w:val="auto"/>
        </w:rPr>
      </w:pPr>
    </w:p>
    <w:p>
      <w:pPr>
        <w:jc w:val="both"/>
        <w:ind w:right="18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3.17 </w:t>
      </w:r>
      <w:r>
        <w:rPr>
          <w:rFonts w:ascii="Times New Roman" w:cs="Times New Roman" w:eastAsia="Times New Roman" w:hAnsi="Times New Roman"/>
          <w:sz w:val="15"/>
          <w:szCs w:val="15"/>
          <w:u w:val="single" w:color="auto"/>
          <w:color w:val="auto"/>
        </w:rPr>
        <w:t>Accountants</w:t>
      </w:r>
      <w:r>
        <w:rPr>
          <w:rFonts w:ascii="Times New Roman" w:cs="Times New Roman" w:eastAsia="Times New Roman" w:hAnsi="Times New Roman"/>
          <w:sz w:val="15"/>
          <w:szCs w:val="15"/>
          <w:color w:val="auto"/>
        </w:rPr>
        <w:t>. For a period of five years from the Effective Date or until the Termination Date or such earlier time upon which the Trust Account is required to be liquidated, the Company shall retain BPM or other independent public accountants reasonably acceptable to the Representative.</w:t>
      </w:r>
    </w:p>
    <w:p>
      <w:pPr>
        <w:spacing w:after="0" w:line="137" w:lineRule="exact"/>
        <w:rPr>
          <w:sz w:val="20"/>
          <w:szCs w:val="20"/>
          <w:color w:val="auto"/>
        </w:rPr>
      </w:pPr>
    </w:p>
    <w:p>
      <w:pPr>
        <w:ind w:right="80" w:firstLine="379"/>
        <w:spacing w:after="0" w:line="254" w:lineRule="auto"/>
        <w:rPr>
          <w:sz w:val="20"/>
          <w:szCs w:val="20"/>
          <w:color w:val="auto"/>
        </w:rPr>
      </w:pPr>
      <w:r>
        <w:rPr>
          <w:rFonts w:ascii="Times New Roman" w:cs="Times New Roman" w:eastAsia="Times New Roman" w:hAnsi="Times New Roman"/>
          <w:sz w:val="15"/>
          <w:szCs w:val="15"/>
          <w:color w:val="auto"/>
        </w:rPr>
        <w:t xml:space="preserve">Section 3.18 </w:t>
      </w:r>
      <w:r>
        <w:rPr>
          <w:rFonts w:ascii="Times New Roman" w:cs="Times New Roman" w:eastAsia="Times New Roman" w:hAnsi="Times New Roman"/>
          <w:sz w:val="15"/>
          <w:szCs w:val="15"/>
          <w:u w:val="single" w:color="auto"/>
          <w:color w:val="auto"/>
        </w:rPr>
        <w:t>Form 8-Ks</w:t>
      </w:r>
      <w:r>
        <w:rPr>
          <w:rFonts w:ascii="Times New Roman" w:cs="Times New Roman" w:eastAsia="Times New Roman" w:hAnsi="Times New Roman"/>
          <w:sz w:val="15"/>
          <w:szCs w:val="15"/>
          <w:color w:val="auto"/>
        </w:rPr>
        <w:t xml:space="preserve">. The Company has retained BPM to audit the balance sheet of the Company as of the Closing Date (the </w:t>
      </w:r>
      <w:r>
        <w:rPr>
          <w:rFonts w:ascii="Times New Roman" w:cs="Times New Roman" w:eastAsia="Times New Roman" w:hAnsi="Times New Roman"/>
          <w:sz w:val="15"/>
          <w:szCs w:val="15"/>
          <w:u w:val="single" w:color="auto"/>
          <w:color w:val="auto"/>
        </w:rPr>
        <w:t>“Audited Balance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Sheet</w:t>
      </w:r>
      <w:r>
        <w:rPr>
          <w:rFonts w:ascii="Times New Roman" w:cs="Times New Roman" w:eastAsia="Times New Roman" w:hAnsi="Times New Roman"/>
          <w:sz w:val="15"/>
          <w:szCs w:val="15"/>
          <w:color w:val="auto"/>
        </w:rPr>
        <w:t xml:space="preserve"> ”) reflecting the receipt by the Company of the proceeds of the Offering and the Private Placements. Within four (4) Business Days of the Closing Date, the Company shall file a Current Report on Form 8-K with the Commission, which Report shall contain the Company’s Audited Balance Sheet. If the Over-Allotment Option has not been exercised on the Effective Date (and is exercised subsequent to the Effective Date), the Company will also file an amendment to the Form 8-K, or a new Form 8- K, to provide updated financial information of the Company to reflect the exercise and consummation of the Over-Allotment Option.</w:t>
      </w:r>
    </w:p>
    <w:p>
      <w:pPr>
        <w:spacing w:after="0" w:line="160" w:lineRule="exact"/>
        <w:rPr>
          <w:sz w:val="20"/>
          <w:szCs w:val="20"/>
          <w:color w:val="auto"/>
        </w:rPr>
      </w:pPr>
    </w:p>
    <w:p>
      <w:pPr>
        <w:ind w:right="54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3.19 </w:t>
      </w:r>
      <w:r>
        <w:rPr>
          <w:rFonts w:ascii="Times New Roman" w:cs="Times New Roman" w:eastAsia="Times New Roman" w:hAnsi="Times New Roman"/>
          <w:sz w:val="15"/>
          <w:szCs w:val="15"/>
          <w:u w:val="single" w:color="auto"/>
          <w:color w:val="auto"/>
        </w:rPr>
        <w:t>FINRA</w:t>
      </w:r>
      <w:r>
        <w:rPr>
          <w:rFonts w:ascii="Times New Roman" w:cs="Times New Roman" w:eastAsia="Times New Roman" w:hAnsi="Times New Roman"/>
          <w:sz w:val="15"/>
          <w:szCs w:val="15"/>
          <w:color w:val="auto"/>
        </w:rPr>
        <w:t>. Until the Option Closing Date, if any, the Company shall advise the Representative if it is aware that any 10% or greater shareholder of the Company becomes an affiliate or associated person of a Participating Member.</w:t>
      </w:r>
    </w:p>
    <w:p>
      <w:pPr>
        <w:spacing w:after="0" w:line="137" w:lineRule="exact"/>
        <w:rPr>
          <w:sz w:val="20"/>
          <w:szCs w:val="20"/>
          <w:color w:val="auto"/>
        </w:rPr>
      </w:pPr>
    </w:p>
    <w:p>
      <w:pPr>
        <w:ind w:right="4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3.20 </w:t>
      </w:r>
      <w:r>
        <w:rPr>
          <w:rFonts w:ascii="Times New Roman" w:cs="Times New Roman" w:eastAsia="Times New Roman" w:hAnsi="Times New Roman"/>
          <w:sz w:val="15"/>
          <w:szCs w:val="15"/>
          <w:u w:val="single" w:color="auto"/>
          <w:color w:val="auto"/>
        </w:rPr>
        <w:t>Corporate Proceedings</w:t>
      </w:r>
      <w:r>
        <w:rPr>
          <w:rFonts w:ascii="Times New Roman" w:cs="Times New Roman" w:eastAsia="Times New Roman" w:hAnsi="Times New Roman"/>
          <w:sz w:val="15"/>
          <w:szCs w:val="15"/>
          <w:color w:val="auto"/>
        </w:rPr>
        <w:t>. All corporate proceedings and other legal matters necessary to carry out the provisions of this Agreement and the transactions contemplated hereby shall have been done to the reasonable satisfaction to counsel for the Underwriters.</w:t>
      </w:r>
    </w:p>
    <w:p>
      <w:pPr>
        <w:sectPr>
          <w:pgSz w:w="11900" w:h="16840" w:orient="portrait"/>
          <w:cols w:equalWidth="0" w:num="1">
            <w:col w:w="9680"/>
          </w:cols>
          <w:pgMar w:left="1120" w:top="689" w:right="1100" w:bottom="1440" w:gutter="0" w:footer="0" w:header="0"/>
        </w:sectPr>
      </w:pPr>
    </w:p>
    <w:bookmarkStart w:id="292" w:name="page293"/>
    <w:bookmarkEnd w:id="292"/>
    <w:p>
      <w:pPr>
        <w:ind w:firstLine="379"/>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3.21 </w:t>
      </w:r>
      <w:r>
        <w:rPr>
          <w:rFonts w:ascii="Times New Roman" w:cs="Times New Roman" w:eastAsia="Times New Roman" w:hAnsi="Times New Roman"/>
          <w:sz w:val="15"/>
          <w:szCs w:val="15"/>
          <w:u w:val="single" w:color="auto"/>
          <w:color w:val="auto"/>
        </w:rPr>
        <w:t>Investment Company</w:t>
      </w:r>
      <w:r>
        <w:rPr>
          <w:rFonts w:ascii="Times New Roman" w:cs="Times New Roman" w:eastAsia="Times New Roman" w:hAnsi="Times New Roman"/>
          <w:sz w:val="15"/>
          <w:szCs w:val="15"/>
          <w:color w:val="auto"/>
        </w:rPr>
        <w:t xml:space="preserve"> . The Company shall cause the proceeds of the Offering to be held in the Trust Account to be invested only as set forth in the Trust Agreement as in effect on the date hereof and disclosed in the Prospectus. The Company will otherwise conduct its business in a manner so that it will not be required to register as an “investment company” under the Investment Company Act. Furthermore, once the Company consummates a Business Combination, it will be engaged in a business other than that of investing, reinvesting, owning, holding, or trading securities.</w:t>
      </w:r>
    </w:p>
    <w:p>
      <w:pPr>
        <w:spacing w:after="0" w:line="156" w:lineRule="exact"/>
        <w:rPr>
          <w:sz w:val="20"/>
          <w:szCs w:val="20"/>
          <w:color w:val="auto"/>
        </w:rPr>
      </w:pPr>
    </w:p>
    <w:p>
      <w:pPr>
        <w:ind w:right="24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3.22 </w:t>
      </w:r>
      <w:r>
        <w:rPr>
          <w:rFonts w:ascii="Times New Roman" w:cs="Times New Roman" w:eastAsia="Times New Roman" w:hAnsi="Times New Roman"/>
          <w:sz w:val="15"/>
          <w:szCs w:val="15"/>
          <w:u w:val="single" w:color="auto"/>
          <w:color w:val="auto"/>
        </w:rPr>
        <w:t>Press Releases</w:t>
      </w:r>
      <w:r>
        <w:rPr>
          <w:rFonts w:ascii="Times New Roman" w:cs="Times New Roman" w:eastAsia="Times New Roman" w:hAnsi="Times New Roman"/>
          <w:sz w:val="15"/>
          <w:szCs w:val="15"/>
          <w:color w:val="auto"/>
        </w:rPr>
        <w:t>. The Company agrees that it will not issue press releases or engage in any other publicity, without the Representative’s prior written consent (not to be unreasonably withheld), for a period of twenty-five (25) days after the Closing Date; provided that in no event shall the Company be prohibited from issuing any press release or engaging in any other publicity required by law</w:t>
      </w:r>
    </w:p>
    <w:p>
      <w:pPr>
        <w:spacing w:after="0" w:line="151" w:lineRule="exact"/>
        <w:rPr>
          <w:sz w:val="20"/>
          <w:szCs w:val="20"/>
          <w:color w:val="auto"/>
        </w:rPr>
      </w:pPr>
    </w:p>
    <w:p>
      <w:pPr>
        <w:ind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3.23 </w:t>
      </w: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The Company will maintain directors’ and officers’ insurance (including, without limitation, insurance covering the Company, its directors and officers for liabilities or losses arising in connection with this Offering, including, without limitation, liabilities or losses arising under the Act, the Exchange Act, the Regulations and any applicable foreign securities laws).</w:t>
      </w:r>
    </w:p>
    <w:p>
      <w:pPr>
        <w:spacing w:after="0" w:line="151" w:lineRule="exact"/>
        <w:rPr>
          <w:sz w:val="20"/>
          <w:szCs w:val="20"/>
          <w:color w:val="auto"/>
        </w:rPr>
      </w:pPr>
    </w:p>
    <w:p>
      <w:pPr>
        <w:ind w:right="20" w:firstLine="379"/>
        <w:spacing w:after="0" w:line="250" w:lineRule="auto"/>
        <w:rPr>
          <w:sz w:val="20"/>
          <w:szCs w:val="20"/>
          <w:color w:val="auto"/>
        </w:rPr>
      </w:pPr>
      <w:r>
        <w:rPr>
          <w:rFonts w:ascii="Times New Roman" w:cs="Times New Roman" w:eastAsia="Times New Roman" w:hAnsi="Times New Roman"/>
          <w:sz w:val="15"/>
          <w:szCs w:val="15"/>
          <w:color w:val="auto"/>
        </w:rPr>
        <w:t xml:space="preserve">Section 3.24 </w:t>
      </w:r>
      <w:r>
        <w:rPr>
          <w:rFonts w:ascii="Times New Roman" w:cs="Times New Roman" w:eastAsia="Times New Roman" w:hAnsi="Times New Roman"/>
          <w:sz w:val="15"/>
          <w:szCs w:val="15"/>
          <w:u w:val="single" w:color="auto"/>
          <w:color w:val="auto"/>
        </w:rPr>
        <w:t>Electronic Prospectus</w:t>
      </w:r>
      <w:r>
        <w:rPr>
          <w:rFonts w:ascii="Times New Roman" w:cs="Times New Roman" w:eastAsia="Times New Roman" w:hAnsi="Times New Roman"/>
          <w:sz w:val="15"/>
          <w:szCs w:val="15"/>
          <w:color w:val="auto"/>
        </w:rPr>
        <w:t>. The Company shall cause to be prepared and delivered to the Representative, at the Company’s expense, promptly, but in no event later than two (2) Business Days from the effective date of this Agreement, an Electronic Prospectus to be used by the Representative in connection with the Offering. As used herein, the term “</w:t>
      </w:r>
      <w:r>
        <w:rPr>
          <w:rFonts w:ascii="Times New Roman" w:cs="Times New Roman" w:eastAsia="Times New Roman" w:hAnsi="Times New Roman"/>
          <w:sz w:val="15"/>
          <w:szCs w:val="15"/>
          <w:u w:val="single" w:color="auto"/>
          <w:color w:val="auto"/>
        </w:rPr>
        <w:t>Electronic Prospectus</w:t>
      </w:r>
      <w:r>
        <w:rPr>
          <w:rFonts w:ascii="Times New Roman" w:cs="Times New Roman" w:eastAsia="Times New Roman" w:hAnsi="Times New Roman"/>
          <w:sz w:val="15"/>
          <w:szCs w:val="15"/>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Public Securities for at least the period during which a Prospectus relating to the Public Securities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Effective Date an undertaking that, upon receipt of a request by an investor or his or her representative within the period when a prospectus relating to the Public Securities is required to be delivered under the Act, the Company shall transmit or cause to be transmitted promptly, without charge, a paper copy of the Prospectus.</w:t>
      </w:r>
    </w:p>
    <w:p>
      <w:pPr>
        <w:spacing w:after="0" w:line="161" w:lineRule="exact"/>
        <w:rPr>
          <w:sz w:val="20"/>
          <w:szCs w:val="20"/>
          <w:color w:val="auto"/>
        </w:rPr>
      </w:pPr>
    </w:p>
    <w:p>
      <w:pPr>
        <w:jc w:val="both"/>
        <w:ind w:right="4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3.25 </w:t>
      </w:r>
      <w:r>
        <w:rPr>
          <w:rFonts w:ascii="Times New Roman" w:cs="Times New Roman" w:eastAsia="Times New Roman" w:hAnsi="Times New Roman"/>
          <w:sz w:val="15"/>
          <w:szCs w:val="15"/>
          <w:u w:val="single" w:color="auto"/>
          <w:color w:val="auto"/>
        </w:rPr>
        <w:t>Future Financings</w:t>
      </w:r>
      <w:r>
        <w:rPr>
          <w:rFonts w:ascii="Times New Roman" w:cs="Times New Roman" w:eastAsia="Times New Roman" w:hAnsi="Times New Roman"/>
          <w:sz w:val="15"/>
          <w:szCs w:val="15"/>
          <w:color w:val="auto"/>
        </w:rPr>
        <w:t>. The Company agrees that neither it, nor any successor or subsidiary of the Company, will consummate any public or private equity or debt financing prior to or in connection with the consummation of a Business Combination, unless all investors in such financing expressly waive, in writing, any rights in or claims against the Trust Account.</w:t>
      </w:r>
    </w:p>
    <w:p>
      <w:pPr>
        <w:sectPr>
          <w:pgSz w:w="11900" w:h="16840" w:orient="portrait"/>
          <w:cols w:equalWidth="0" w:num="1">
            <w:col w:w="9660"/>
          </w:cols>
          <w:pgMar w:left="1120" w:top="689" w:right="1120" w:bottom="1440" w:gutter="0" w:footer="0" w:header="0"/>
        </w:sectPr>
      </w:pPr>
    </w:p>
    <w:bookmarkStart w:id="293" w:name="page294"/>
    <w:bookmarkEnd w:id="293"/>
    <w:p>
      <w:pPr>
        <w:ind w:right="120" w:firstLine="379"/>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3.26 </w:t>
      </w:r>
      <w:r>
        <w:rPr>
          <w:rFonts w:ascii="Times New Roman" w:cs="Times New Roman" w:eastAsia="Times New Roman" w:hAnsi="Times New Roman"/>
          <w:sz w:val="15"/>
          <w:szCs w:val="15"/>
          <w:u w:val="single" w:color="auto"/>
          <w:color w:val="auto"/>
        </w:rPr>
        <w:t>Amendment to Agreements</w:t>
      </w:r>
      <w:r>
        <w:rPr>
          <w:rFonts w:ascii="Times New Roman" w:cs="Times New Roman" w:eastAsia="Times New Roman" w:hAnsi="Times New Roman"/>
          <w:sz w:val="15"/>
          <w:szCs w:val="15"/>
          <w:color w:val="auto"/>
        </w:rPr>
        <w:t>. The Company shall not materially amend, modify or otherwise change the Rights Agreement, the Trust Agreement, the Registration Rights Agreement, the Sponsor Private Placement Securities Purchase Agreement, the Investor Private Placement Securities Purchase Agreement, the Services Agreement or the Insider Letter without the prior written consent of the Representative, which consent will not be unreasonably withheld.</w:t>
      </w:r>
    </w:p>
    <w:p>
      <w:pPr>
        <w:spacing w:after="0" w:line="156" w:lineRule="exact"/>
        <w:rPr>
          <w:sz w:val="20"/>
          <w:szCs w:val="20"/>
          <w:color w:val="auto"/>
        </w:rPr>
      </w:pPr>
    </w:p>
    <w:p>
      <w:pPr>
        <w:ind w:right="20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3.27 </w:t>
      </w:r>
      <w:r>
        <w:rPr>
          <w:rFonts w:ascii="Times New Roman" w:cs="Times New Roman" w:eastAsia="Times New Roman" w:hAnsi="Times New Roman"/>
          <w:sz w:val="15"/>
          <w:szCs w:val="15"/>
          <w:u w:val="single" w:color="auto"/>
          <w:color w:val="auto"/>
        </w:rPr>
        <w:t>Nasdaq Maintenance</w:t>
      </w:r>
      <w:r>
        <w:rPr>
          <w:rFonts w:ascii="Times New Roman" w:cs="Times New Roman" w:eastAsia="Times New Roman" w:hAnsi="Times New Roman"/>
          <w:sz w:val="15"/>
          <w:szCs w:val="15"/>
          <w:color w:val="auto"/>
        </w:rPr>
        <w:t>. Until the consummation of a Business Combination, the Company will use commercially reasonable efforts to maintain the listing of the Public Securities, Public Shares, and Rights by Nasdaq or any other national stock exchange.</w:t>
      </w:r>
    </w:p>
    <w:p>
      <w:pPr>
        <w:spacing w:after="0" w:line="137" w:lineRule="exact"/>
        <w:rPr>
          <w:sz w:val="20"/>
          <w:szCs w:val="20"/>
          <w:color w:val="auto"/>
        </w:rPr>
      </w:pPr>
    </w:p>
    <w:p>
      <w:pPr>
        <w:jc w:val="both"/>
        <w:ind w:right="6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3.28 </w:t>
      </w:r>
      <w:r>
        <w:rPr>
          <w:rFonts w:ascii="Times New Roman" w:cs="Times New Roman" w:eastAsia="Times New Roman" w:hAnsi="Times New Roman"/>
          <w:sz w:val="15"/>
          <w:szCs w:val="15"/>
          <w:u w:val="single" w:color="auto"/>
          <w:color w:val="auto"/>
        </w:rPr>
        <w:t>Proceeds of Private Placements</w:t>
      </w:r>
      <w:r>
        <w:rPr>
          <w:rFonts w:ascii="Times New Roman" w:cs="Times New Roman" w:eastAsia="Times New Roman" w:hAnsi="Times New Roman"/>
          <w:sz w:val="15"/>
          <w:szCs w:val="15"/>
          <w:color w:val="auto"/>
        </w:rPr>
        <w:t>. On the Closing Date, the Company shall cause to be deposited $1,000,000 (or $1,025,000 if the Over-Allotment Option is exercised) of proceeds from the Private Placements into the Trust Account, or such other amount such that the amount of the funds in the Trust Account shall be $10.00 per Public Share sold in the Offering.</w:t>
      </w:r>
    </w:p>
    <w:p>
      <w:pPr>
        <w:spacing w:after="0" w:line="151" w:lineRule="exact"/>
        <w:rPr>
          <w:sz w:val="20"/>
          <w:szCs w:val="20"/>
          <w:color w:val="auto"/>
        </w:rPr>
      </w:pPr>
    </w:p>
    <w:p>
      <w:pPr>
        <w:ind w:right="30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3.29 </w:t>
      </w:r>
      <w:r>
        <w:rPr>
          <w:rFonts w:ascii="Times New Roman" w:cs="Times New Roman" w:eastAsia="Times New Roman" w:hAnsi="Times New Roman"/>
          <w:sz w:val="15"/>
          <w:szCs w:val="15"/>
          <w:u w:val="single" w:color="auto"/>
          <w:color w:val="auto"/>
        </w:rPr>
        <w:t>Reservation of Shares</w:t>
      </w:r>
      <w:r>
        <w:rPr>
          <w:rFonts w:ascii="Times New Roman" w:cs="Times New Roman" w:eastAsia="Times New Roman" w:hAnsi="Times New Roman"/>
          <w:sz w:val="15"/>
          <w:szCs w:val="15"/>
          <w:color w:val="auto"/>
        </w:rPr>
        <w:t>. The Company will reserve and keep available that maximum number of its authorized but unissued Class A Ordinary Shares which are issuable pursuant to the Rights and the Private Placement Rights outstanding from time to time.</w:t>
      </w:r>
    </w:p>
    <w:p>
      <w:pPr>
        <w:spacing w:after="0" w:line="137" w:lineRule="exact"/>
        <w:rPr>
          <w:sz w:val="20"/>
          <w:szCs w:val="20"/>
          <w:color w:val="auto"/>
        </w:rPr>
      </w:pPr>
    </w:p>
    <w:p>
      <w:pPr>
        <w:ind w:right="60" w:firstLine="379"/>
        <w:spacing w:after="0" w:line="253" w:lineRule="auto"/>
        <w:rPr>
          <w:sz w:val="20"/>
          <w:szCs w:val="20"/>
          <w:color w:val="auto"/>
        </w:rPr>
      </w:pPr>
      <w:r>
        <w:rPr>
          <w:rFonts w:ascii="Times New Roman" w:cs="Times New Roman" w:eastAsia="Times New Roman" w:hAnsi="Times New Roman"/>
          <w:sz w:val="15"/>
          <w:szCs w:val="15"/>
          <w:color w:val="auto"/>
        </w:rPr>
        <w:t xml:space="preserve">Section 3.30 </w:t>
      </w:r>
      <w:r>
        <w:rPr>
          <w:rFonts w:ascii="Times New Roman" w:cs="Times New Roman" w:eastAsia="Times New Roman" w:hAnsi="Times New Roman"/>
          <w:sz w:val="15"/>
          <w:szCs w:val="15"/>
          <w:u w:val="single" w:color="auto"/>
          <w:color w:val="auto"/>
        </w:rPr>
        <w:t>Testing-the -Waters Communications</w:t>
      </w:r>
      <w:r>
        <w:rPr>
          <w:rFonts w:ascii="Times New Roman" w:cs="Times New Roman" w:eastAsia="Times New Roman" w:hAnsi="Times New Roman"/>
          <w:sz w:val="15"/>
          <w:szCs w:val="15"/>
          <w:color w:val="auto"/>
        </w:rPr>
        <w:t>. If at any time following the distribution of any written Testing-the -Waters Communication, there occurred or occurs an event or development as a result of which such written Testing-the -Waters Communication included or would include any untrue statement of a material fact or omitted or would omit to state any material fact necessary to make the statements therein in the light of the circumstances existing at that subsequent time, not misleading, the Company shall promptly (i) notify the Representative so that use of the written Testing-the-Waters Communication may cease until it is amended or supplemented; (ii) amend or supplement, at its own expense, such written Testing- the-Waters Communication to eliminate or correct such untrue statement or omission; and (iii) supply any amendment or supplement to the Representative in such quantities as may be reasonably requested.</w:t>
      </w:r>
    </w:p>
    <w:p>
      <w:pPr>
        <w:spacing w:after="0" w:line="160" w:lineRule="exact"/>
        <w:rPr>
          <w:sz w:val="20"/>
          <w:szCs w:val="20"/>
          <w:color w:val="auto"/>
        </w:rPr>
      </w:pPr>
    </w:p>
    <w:p>
      <w:pPr>
        <w:ind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3.31 </w:t>
      </w:r>
      <w:r>
        <w:rPr>
          <w:rFonts w:ascii="Times New Roman" w:cs="Times New Roman" w:eastAsia="Times New Roman" w:hAnsi="Times New Roman"/>
          <w:sz w:val="15"/>
          <w:szCs w:val="15"/>
          <w:u w:val="single" w:color="auto"/>
          <w:color w:val="auto"/>
        </w:rPr>
        <w:t>Distributions from Trust Account</w:t>
      </w:r>
      <w:r>
        <w:rPr>
          <w:rFonts w:ascii="Times New Roman" w:cs="Times New Roman" w:eastAsia="Times New Roman" w:hAnsi="Times New Roman"/>
          <w:sz w:val="15"/>
          <w:szCs w:val="15"/>
          <w:color w:val="auto"/>
        </w:rPr>
        <w:t>. The Company agrees that the Trust Agreement shall provide that CST is required to obtain a joint written instruction signed by each of the Company and the Representative with respect to the transfer of the funds held in the Trust Account from the Trust Account, prior to commencing any liquidation of the assets of the Trust Account in connection with the consummation of any Business Combination, and such provision of the Trust Agreement shall not be permitted to be amended without the prior written consent of the Representative.</w:t>
      </w: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CONDITIONS OF UNDERWRITERS’ OBLIGATIONS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right="60" w:firstLine="379"/>
        <w:spacing w:after="0" w:line="259" w:lineRule="auto"/>
        <w:rPr>
          <w:sz w:val="20"/>
          <w:szCs w:val="20"/>
          <w:color w:val="auto"/>
        </w:rPr>
      </w:pPr>
      <w:r>
        <w:rPr>
          <w:rFonts w:ascii="Times New Roman" w:cs="Times New Roman" w:eastAsia="Times New Roman" w:hAnsi="Times New Roman"/>
          <w:sz w:val="15"/>
          <w:szCs w:val="15"/>
          <w:color w:val="auto"/>
        </w:rPr>
        <w:t>The obligations of the several Underwriters to purchase and pay for the Public Securities, as provided herein, shall be subject to the continuing accuracy of the representations and warranties of the Company as of the date hereof and as of the Closing Date and the Option Closing Date, if any, to the accuracy of the statements of officers of the Company made pursuant to the provisions hereof and to the performance by the Company of its obligations hereunder and to the following conditions:</w:t>
      </w:r>
    </w:p>
    <w:p>
      <w:pPr>
        <w:sectPr>
          <w:pgSz w:w="11900" w:h="16840" w:orient="portrait"/>
          <w:cols w:equalWidth="0" w:num="1">
            <w:col w:w="9540"/>
          </w:cols>
          <w:pgMar w:left="1120" w:top="689" w:right="1240" w:bottom="1440" w:gutter="0" w:footer="0" w:header="0"/>
        </w:sectPr>
      </w:pPr>
    </w:p>
    <w:bookmarkStart w:id="294" w:name="page295"/>
    <w:bookmarkEnd w:id="294"/>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4.1 </w:t>
      </w:r>
      <w:r>
        <w:rPr>
          <w:rFonts w:ascii="Times New Roman" w:cs="Times New Roman" w:eastAsia="Times New Roman" w:hAnsi="Times New Roman"/>
          <w:sz w:val="15"/>
          <w:szCs w:val="15"/>
          <w:u w:val="single" w:color="auto"/>
          <w:color w:val="auto"/>
        </w:rPr>
        <w:t>Regulatory Matters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60" w:firstLine="865"/>
        <w:spacing w:after="0" w:line="257" w:lineRule="auto"/>
        <w:rPr>
          <w:sz w:val="20"/>
          <w:szCs w:val="20"/>
          <w:color w:val="auto"/>
        </w:rPr>
      </w:pPr>
      <w:r>
        <w:rPr>
          <w:rFonts w:ascii="Times New Roman" w:cs="Times New Roman" w:eastAsia="Times New Roman" w:hAnsi="Times New Roman"/>
          <w:sz w:val="15"/>
          <w:szCs w:val="15"/>
          <w:color w:val="auto"/>
        </w:rPr>
        <w:t xml:space="preserve">4.1.1 </w:t>
      </w:r>
      <w:r>
        <w:rPr>
          <w:rFonts w:ascii="Times New Roman" w:cs="Times New Roman" w:eastAsia="Times New Roman" w:hAnsi="Times New Roman"/>
          <w:sz w:val="15"/>
          <w:szCs w:val="15"/>
          <w:u w:val="single" w:color="auto"/>
          <w:color w:val="auto"/>
        </w:rPr>
        <w:t>Effectiveness of Registration Statement</w:t>
      </w:r>
      <w:r>
        <w:rPr>
          <w:rFonts w:ascii="Times New Roman" w:cs="Times New Roman" w:eastAsia="Times New Roman" w:hAnsi="Times New Roman"/>
          <w:sz w:val="15"/>
          <w:szCs w:val="15"/>
          <w:color w:val="auto"/>
        </w:rPr>
        <w:t>. The Effective Date shall be not later than 5:00 p.m., New York time, on the date of this Agreement or such later date and time as shall be consented to in writing by the Representative, and, at the Closing Date and at each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w:t>
      </w:r>
    </w:p>
    <w:p>
      <w:pPr>
        <w:spacing w:after="0" w:line="339" w:lineRule="exact"/>
        <w:rPr>
          <w:sz w:val="20"/>
          <w:szCs w:val="20"/>
          <w:color w:val="auto"/>
        </w:rPr>
      </w:pPr>
    </w:p>
    <w:p>
      <w:pPr>
        <w:ind w:right="220" w:firstLine="865"/>
        <w:spacing w:after="0" w:line="284" w:lineRule="auto"/>
        <w:rPr>
          <w:sz w:val="20"/>
          <w:szCs w:val="20"/>
          <w:color w:val="auto"/>
        </w:rPr>
      </w:pPr>
      <w:r>
        <w:rPr>
          <w:rFonts w:ascii="Times New Roman" w:cs="Times New Roman" w:eastAsia="Times New Roman" w:hAnsi="Times New Roman"/>
          <w:sz w:val="15"/>
          <w:szCs w:val="15"/>
          <w:color w:val="auto"/>
        </w:rPr>
        <w:t xml:space="preserve">4.1.2 </w:t>
      </w:r>
      <w:r>
        <w:rPr>
          <w:rFonts w:ascii="Times New Roman" w:cs="Times New Roman" w:eastAsia="Times New Roman" w:hAnsi="Times New Roman"/>
          <w:sz w:val="15"/>
          <w:szCs w:val="15"/>
          <w:u w:val="single" w:color="auto"/>
          <w:color w:val="auto"/>
        </w:rPr>
        <w:t>FINRA Clearance</w:t>
      </w:r>
      <w:r>
        <w:rPr>
          <w:rFonts w:ascii="Times New Roman" w:cs="Times New Roman" w:eastAsia="Times New Roman" w:hAnsi="Times New Roman"/>
          <w:sz w:val="15"/>
          <w:szCs w:val="15"/>
          <w:color w:val="auto"/>
        </w:rPr>
        <w:t>. By the Effective Date, the Representative shall have received a letter of no objections from FINRA as to the terms and arrangements and amount of compensation allowable or payable to the Underwriters as described in the Registration Statement.</w:t>
      </w:r>
    </w:p>
    <w:p>
      <w:pPr>
        <w:spacing w:after="0" w:line="137" w:lineRule="exact"/>
        <w:rPr>
          <w:sz w:val="20"/>
          <w:szCs w:val="20"/>
          <w:color w:val="auto"/>
        </w:rPr>
      </w:pPr>
    </w:p>
    <w:p>
      <w:pPr>
        <w:ind w:right="140" w:firstLine="865"/>
        <w:spacing w:after="0" w:line="265" w:lineRule="auto"/>
        <w:rPr>
          <w:sz w:val="20"/>
          <w:szCs w:val="20"/>
          <w:color w:val="auto"/>
        </w:rPr>
      </w:pPr>
      <w:r>
        <w:rPr>
          <w:rFonts w:ascii="Times New Roman" w:cs="Times New Roman" w:eastAsia="Times New Roman" w:hAnsi="Times New Roman"/>
          <w:sz w:val="15"/>
          <w:szCs w:val="15"/>
          <w:color w:val="auto"/>
        </w:rPr>
        <w:t xml:space="preserve">4.1.3 </w:t>
      </w:r>
      <w:r>
        <w:rPr>
          <w:rFonts w:ascii="Times New Roman" w:cs="Times New Roman" w:eastAsia="Times New Roman" w:hAnsi="Times New Roman"/>
          <w:sz w:val="15"/>
          <w:szCs w:val="15"/>
          <w:u w:val="single" w:color="auto"/>
          <w:color w:val="auto"/>
        </w:rPr>
        <w:t>No Commission Stop Order</w:t>
      </w:r>
      <w:r>
        <w:rPr>
          <w:rFonts w:ascii="Times New Roman" w:cs="Times New Roman" w:eastAsia="Times New Roman" w:hAnsi="Times New Roman"/>
          <w:sz w:val="15"/>
          <w:szCs w:val="15"/>
          <w:color w:val="auto"/>
        </w:rPr>
        <w:t>. At the Closing Date and at the Option Closing Date, if any, the Commission has not issued any order or threatened to issue any order preventing or suspending the use of any Preliminary Prospectus, the Prospectus, or any part thereof, and has not instituted or, to the Company’s knowledge, threatened to institute any proceedings with respect to such an order.</w:t>
      </w:r>
    </w:p>
    <w:p>
      <w:pPr>
        <w:spacing w:after="0" w:line="151" w:lineRule="exact"/>
        <w:rPr>
          <w:sz w:val="20"/>
          <w:szCs w:val="20"/>
          <w:color w:val="auto"/>
        </w:rPr>
      </w:pPr>
    </w:p>
    <w:p>
      <w:pPr>
        <w:ind w:right="360" w:firstLine="865"/>
        <w:spacing w:after="0" w:line="284" w:lineRule="auto"/>
        <w:rPr>
          <w:sz w:val="20"/>
          <w:szCs w:val="20"/>
          <w:color w:val="auto"/>
        </w:rPr>
      </w:pPr>
      <w:r>
        <w:rPr>
          <w:rFonts w:ascii="Times New Roman" w:cs="Times New Roman" w:eastAsia="Times New Roman" w:hAnsi="Times New Roman"/>
          <w:sz w:val="15"/>
          <w:szCs w:val="15"/>
          <w:color w:val="auto"/>
        </w:rPr>
        <w:t xml:space="preserve">4.1.4 </w:t>
      </w:r>
      <w:r>
        <w:rPr>
          <w:rFonts w:ascii="Times New Roman" w:cs="Times New Roman" w:eastAsia="Times New Roman" w:hAnsi="Times New Roman"/>
          <w:sz w:val="15"/>
          <w:szCs w:val="15"/>
          <w:u w:val="single" w:color="auto"/>
          <w:color w:val="auto"/>
        </w:rPr>
        <w:t>Nasdaq Listing</w:t>
      </w:r>
      <w:r>
        <w:rPr>
          <w:rFonts w:ascii="Times New Roman" w:cs="Times New Roman" w:eastAsia="Times New Roman" w:hAnsi="Times New Roman"/>
          <w:sz w:val="15"/>
          <w:szCs w:val="15"/>
          <w:color w:val="auto"/>
        </w:rPr>
        <w:t xml:space="preserve"> . The Public Securities, Public Shares, and Rights shall have been approved for listing on Nasdaq, subject to official notice of issuance and evidence of satisfactory distribution.</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Company Counsel Matters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80" w:firstLine="865"/>
        <w:spacing w:after="0" w:line="256" w:lineRule="auto"/>
        <w:rPr>
          <w:sz w:val="20"/>
          <w:szCs w:val="20"/>
          <w:color w:val="auto"/>
        </w:rPr>
      </w:pPr>
      <w:r>
        <w:rPr>
          <w:rFonts w:ascii="Times New Roman" w:cs="Times New Roman" w:eastAsia="Times New Roman" w:hAnsi="Times New Roman"/>
          <w:sz w:val="15"/>
          <w:szCs w:val="15"/>
          <w:color w:val="auto"/>
        </w:rPr>
        <w:t xml:space="preserve">4.2.1 </w:t>
      </w:r>
      <w:r>
        <w:rPr>
          <w:rFonts w:ascii="Times New Roman" w:cs="Times New Roman" w:eastAsia="Times New Roman" w:hAnsi="Times New Roman"/>
          <w:sz w:val="15"/>
          <w:szCs w:val="15"/>
          <w:u w:val="single" w:color="auto"/>
          <w:color w:val="auto"/>
        </w:rPr>
        <w:t>Opinion of Company Counsel</w:t>
      </w:r>
      <w:r>
        <w:rPr>
          <w:rFonts w:ascii="Times New Roman" w:cs="Times New Roman" w:eastAsia="Times New Roman" w:hAnsi="Times New Roman"/>
          <w:sz w:val="15"/>
          <w:szCs w:val="15"/>
          <w:color w:val="auto"/>
        </w:rPr>
        <w:t>. On each of the Closing Date and the Option Closing Date, if any, the Representative shall have received the favorable opinion (along with a negative assurance letter) of DLA Piper LLP (US), counsel to the Company, addressed to the Representative as the representative for the several Underwriters and in form mutually agreed to by the Company and the Representative; provided that the Representative shall have received the favorable opinion (along with a negative assurance letter) of Ellenoff Grossman &amp; Schole LLP, New York, counsel to the Underwriters, addressed to the Representative as the representative for the several Underwriters and in form mutually agreed to by the Company and the Representative.</w:t>
      </w:r>
    </w:p>
    <w:p>
      <w:pPr>
        <w:spacing w:after="0" w:line="158" w:lineRule="exact"/>
        <w:rPr>
          <w:sz w:val="20"/>
          <w:szCs w:val="20"/>
          <w:color w:val="auto"/>
        </w:rPr>
      </w:pPr>
    </w:p>
    <w:p>
      <w:pPr>
        <w:ind w:firstLine="865"/>
        <w:spacing w:after="0" w:line="256" w:lineRule="auto"/>
        <w:rPr>
          <w:sz w:val="20"/>
          <w:szCs w:val="20"/>
          <w:color w:val="auto"/>
        </w:rPr>
      </w:pPr>
      <w:r>
        <w:rPr>
          <w:rFonts w:ascii="Times New Roman" w:cs="Times New Roman" w:eastAsia="Times New Roman" w:hAnsi="Times New Roman"/>
          <w:sz w:val="15"/>
          <w:szCs w:val="15"/>
          <w:color w:val="auto"/>
        </w:rPr>
        <w:t xml:space="preserve">4.2.2 </w:t>
      </w:r>
      <w:r>
        <w:rPr>
          <w:rFonts w:ascii="Times New Roman" w:cs="Times New Roman" w:eastAsia="Times New Roman" w:hAnsi="Times New Roman"/>
          <w:sz w:val="15"/>
          <w:szCs w:val="15"/>
          <w:u w:val="single" w:color="auto"/>
          <w:color w:val="auto"/>
        </w:rPr>
        <w:t>Reliance</w:t>
      </w:r>
      <w:r>
        <w:rPr>
          <w:rFonts w:ascii="Times New Roman" w:cs="Times New Roman" w:eastAsia="Times New Roman" w:hAnsi="Times New Roman"/>
          <w:sz w:val="15"/>
          <w:szCs w:val="15"/>
          <w:color w:val="auto"/>
        </w:rPr>
        <w:t>.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w:t>
      </w:r>
    </w:p>
    <w:p>
      <w:pPr>
        <w:sectPr>
          <w:pgSz w:w="11900" w:h="16840" w:orient="portrait"/>
          <w:cols w:equalWidth="0" w:num="1">
            <w:col w:w="9640"/>
          </w:cols>
          <w:pgMar w:left="1120" w:top="689" w:right="1140" w:bottom="1440" w:gutter="0" w:footer="0" w:header="0"/>
        </w:sectPr>
      </w:pPr>
    </w:p>
    <w:bookmarkStart w:id="295" w:name="page296"/>
    <w:bookmarkEnd w:id="295"/>
    <w:p>
      <w:pPr>
        <w:ind w:right="100"/>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6749415" cy="35560"/>
                    </a:xfrm>
                    <a:prstGeom prst="rect">
                      <a:avLst/>
                    </a:prstGeom>
                    <a:noFill/>
                  </pic:spPr>
                </pic:pic>
              </a:graphicData>
            </a:graphic>
          </wp:anchor>
        </w:drawing>
        <w:t>of departments of various jurisdiction having custody of documents respecting the corporate existence or good standing of the Company, provided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56" w:lineRule="exact"/>
        <w:rPr>
          <w:sz w:val="20"/>
          <w:szCs w:val="20"/>
          <w:color w:val="auto"/>
        </w:rPr>
      </w:pPr>
    </w:p>
    <w:p>
      <w:pPr>
        <w:ind w:right="180" w:firstLine="865"/>
        <w:spacing w:after="0" w:line="265" w:lineRule="auto"/>
        <w:rPr>
          <w:sz w:val="20"/>
          <w:szCs w:val="20"/>
          <w:color w:val="auto"/>
        </w:rPr>
      </w:pPr>
      <w:r>
        <w:rPr>
          <w:rFonts w:ascii="Times New Roman" w:cs="Times New Roman" w:eastAsia="Times New Roman" w:hAnsi="Times New Roman"/>
          <w:sz w:val="15"/>
          <w:szCs w:val="15"/>
          <w:color w:val="auto"/>
        </w:rPr>
        <w:t xml:space="preserve">4.2.3 </w:t>
      </w:r>
      <w:r>
        <w:rPr>
          <w:rFonts w:ascii="Times New Roman" w:cs="Times New Roman" w:eastAsia="Times New Roman" w:hAnsi="Times New Roman"/>
          <w:sz w:val="15"/>
          <w:szCs w:val="15"/>
          <w:u w:val="single" w:color="auto"/>
          <w:color w:val="auto"/>
        </w:rPr>
        <w:t>Opinion of Cayman Islands Counsel</w:t>
      </w:r>
      <w:r>
        <w:rPr>
          <w:rFonts w:ascii="Times New Roman" w:cs="Times New Roman" w:eastAsia="Times New Roman" w:hAnsi="Times New Roman"/>
          <w:sz w:val="15"/>
          <w:szCs w:val="15"/>
          <w:color w:val="auto"/>
        </w:rPr>
        <w:t>. On each of the Closing Date and the Option Closing Date, if any, the Underwriters shall have received the favorable opinion of Harney Westwood &amp; Riegels (Cayman) LLP, counsel to the Company as to the law of the Cayman Islands, addressed to the Representative as the representative for the several Underwriters and in form mutually agreed to by the Company and the Representative.</w:t>
      </w:r>
    </w:p>
    <w:p>
      <w:pPr>
        <w:spacing w:after="0" w:line="151" w:lineRule="exact"/>
        <w:rPr>
          <w:sz w:val="20"/>
          <w:szCs w:val="20"/>
          <w:color w:val="auto"/>
        </w:rPr>
      </w:pPr>
    </w:p>
    <w:p>
      <w:pPr>
        <w:ind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u w:val="single" w:color="auto"/>
          <w:color w:val="auto"/>
        </w:rPr>
        <w:t>Comfort Letter</w:t>
      </w:r>
      <w:r>
        <w:rPr>
          <w:rFonts w:ascii="Times New Roman" w:cs="Times New Roman" w:eastAsia="Times New Roman" w:hAnsi="Times New Roman"/>
          <w:sz w:val="15"/>
          <w:szCs w:val="15"/>
          <w:color w:val="auto"/>
        </w:rPr>
        <w:t xml:space="preserve">. At the time this Agreement is executed, and at the Closing Date and Option Closing Date, if any, the Representative shall have received a letter, addressed to the Representative as the representative for the several Underwriters and in form and substance satisfactory in all respects (including the non -material nature of the changes or decreases, if any, referred to in </w:t>
      </w:r>
      <w:r>
        <w:rPr>
          <w:rFonts w:ascii="Times New Roman" w:cs="Times New Roman" w:eastAsia="Times New Roman" w:hAnsi="Times New Roman"/>
          <w:sz w:val="15"/>
          <w:szCs w:val="15"/>
          <w:u w:val="single" w:color="auto"/>
          <w:color w:val="auto"/>
        </w:rPr>
        <w:t>Section 4.3.3</w:t>
      </w:r>
      <w:r>
        <w:rPr>
          <w:rFonts w:ascii="Times New Roman" w:cs="Times New Roman" w:eastAsia="Times New Roman" w:hAnsi="Times New Roman"/>
          <w:sz w:val="15"/>
          <w:szCs w:val="15"/>
          <w:color w:val="auto"/>
        </w:rPr>
        <w:t xml:space="preserve"> below) to the Representative from BPM dated, respectively, as of the date of this Agreement and as of the Closing Date and Option Closing Date, if any:</w:t>
      </w:r>
    </w:p>
    <w:p>
      <w:pPr>
        <w:spacing w:after="0" w:line="156" w:lineRule="exact"/>
        <w:rPr>
          <w:sz w:val="20"/>
          <w:szCs w:val="20"/>
          <w:color w:val="auto"/>
        </w:rPr>
      </w:pPr>
    </w:p>
    <w:p>
      <w:pPr>
        <w:jc w:val="both"/>
        <w:ind w:right="520" w:firstLine="865"/>
        <w:spacing w:after="0" w:line="265" w:lineRule="auto"/>
        <w:rPr>
          <w:sz w:val="20"/>
          <w:szCs w:val="20"/>
          <w:color w:val="auto"/>
        </w:rPr>
      </w:pPr>
      <w:r>
        <w:rPr>
          <w:rFonts w:ascii="Times New Roman" w:cs="Times New Roman" w:eastAsia="Times New Roman" w:hAnsi="Times New Roman"/>
          <w:sz w:val="15"/>
          <w:szCs w:val="15"/>
          <w:color w:val="auto"/>
        </w:rPr>
        <w:t>4.3.1 Confirming that they are independent accountants with respect to the Company within the meaning of the Act and the applicable Regulations and that they have not, during the periods covered by the financial statements included in the Registration Statement and the Prospectus, provided to the Company any non-audit services, as such term is used in Section 10A(g) of the Exchange Act;</w:t>
      </w:r>
    </w:p>
    <w:p>
      <w:pPr>
        <w:spacing w:after="0" w:line="151" w:lineRule="exact"/>
        <w:rPr>
          <w:sz w:val="20"/>
          <w:szCs w:val="20"/>
          <w:color w:val="auto"/>
        </w:rPr>
      </w:pPr>
    </w:p>
    <w:p>
      <w:pPr>
        <w:ind w:right="160" w:firstLine="865"/>
        <w:spacing w:after="0" w:line="284" w:lineRule="auto"/>
        <w:rPr>
          <w:sz w:val="20"/>
          <w:szCs w:val="20"/>
          <w:color w:val="auto"/>
        </w:rPr>
      </w:pPr>
      <w:r>
        <w:rPr>
          <w:rFonts w:ascii="Times New Roman" w:cs="Times New Roman" w:eastAsia="Times New Roman" w:hAnsi="Times New Roman"/>
          <w:sz w:val="15"/>
          <w:szCs w:val="15"/>
          <w:color w:val="auto"/>
        </w:rPr>
        <w:t>4. 3.2 Stating that in their opinion the financial statements of the Company included in the Registration Statement and the Prospectus comply as to form in all material respects with the applicable accounting requirements of the Act and the published Regulations thereunder;</w:t>
      </w:r>
    </w:p>
    <w:p>
      <w:pPr>
        <w:spacing w:after="0" w:line="137" w:lineRule="exact"/>
        <w:rPr>
          <w:sz w:val="20"/>
          <w:szCs w:val="20"/>
          <w:color w:val="auto"/>
        </w:rPr>
      </w:pPr>
    </w:p>
    <w:p>
      <w:pPr>
        <w:ind w:right="40" w:firstLine="865"/>
        <w:spacing w:after="0" w:line="251" w:lineRule="auto"/>
        <w:rPr>
          <w:sz w:val="20"/>
          <w:szCs w:val="20"/>
          <w:color w:val="auto"/>
        </w:rPr>
      </w:pPr>
      <w:r>
        <w:rPr>
          <w:rFonts w:ascii="Times New Roman" w:cs="Times New Roman" w:eastAsia="Times New Roman" w:hAnsi="Times New Roman"/>
          <w:sz w:val="15"/>
          <w:szCs w:val="15"/>
          <w:color w:val="auto"/>
        </w:rPr>
        <w:t>4. 3.3 Stating that, on the basis of a limited review which included a reading of the latest available unaudited interim financial statements of the Company (with an indication of the date of the latest available unaudited interim financial statements), a reading of the latest available minutes of the shareholders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 (a) the unaudited financial statements of the Company included in the Registration Statement, the Statutory Prospectus and the Prospectus do not comply as to form in all material respects with the applicable accounting requirements of the Act and the Regulations or are not fairly presented in conformity with GAAP applied on a basis substantially consistent with that of the audited financial statements of the Company included in the Registration Statement, the Statutory Prospectus and the Prospectus; or (b) at a date immediately prior to the Effective Date, Closing Date or Option Closing Date, if any, as the case may be, there was any change in the capital stock or long-term debt of the Company, or any decrease in the shareholders’ equity of the Company as compared with</w:t>
      </w:r>
    </w:p>
    <w:p>
      <w:pPr>
        <w:sectPr>
          <w:pgSz w:w="11900" w:h="16840" w:orient="portrait"/>
          <w:cols w:equalWidth="0" w:num="1">
            <w:col w:w="9680"/>
          </w:cols>
          <w:pgMar w:left="1120" w:top="689" w:right="1100" w:bottom="1440" w:gutter="0" w:footer="0" w:header="0"/>
        </w:sectPr>
      </w:pPr>
    </w:p>
    <w:bookmarkStart w:id="296" w:name="page297"/>
    <w:bookmarkEnd w:id="296"/>
    <w:p>
      <w:pPr>
        <w:ind w:right="20"/>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6749415" cy="35560"/>
                    </a:xfrm>
                    <a:prstGeom prst="rect">
                      <a:avLst/>
                    </a:prstGeom>
                    <a:noFill/>
                  </pic:spPr>
                </pic:pic>
              </a:graphicData>
            </a:graphic>
          </wp:anchor>
        </w:drawing>
        <w:t>amounts shown in the July 21, 2025 balance sheet included in the Registration Statement, the Statutory Prospectus and the Prospectus, other than as set forth in or contemplated by the Registration Statement, the Statutory Prospectus and the Prospectus, or, if there was any decrease, setting forth the amount of such decrease, and (c) during the period from July 21, 2025 to a specified date immediately prior to the Effective Date Closing Date or Option Closing Date, if any, as the case may be, there were any changes in revenues, net earnings (losses), or net earnings (losses) per Ordinary Share, in each case as compared with the Statement of Operations for the period from June 30, 2025 (inception) to July 21, 2025 included in the Registration Statement, or, if there was any such change, setting forth the amount of such change;</w:t>
      </w:r>
    </w:p>
    <w:p>
      <w:pPr>
        <w:spacing w:after="0" w:line="160" w:lineRule="exact"/>
        <w:rPr>
          <w:sz w:val="20"/>
          <w:szCs w:val="20"/>
          <w:color w:val="auto"/>
        </w:rPr>
      </w:pPr>
    </w:p>
    <w:p>
      <w:pPr>
        <w:ind w:right="40" w:firstLine="865"/>
        <w:spacing w:after="0" w:line="254" w:lineRule="auto"/>
        <w:rPr>
          <w:sz w:val="20"/>
          <w:szCs w:val="20"/>
          <w:color w:val="auto"/>
        </w:rPr>
      </w:pPr>
      <w:r>
        <w:rPr>
          <w:rFonts w:ascii="Times New Roman" w:cs="Times New Roman" w:eastAsia="Times New Roman" w:hAnsi="Times New Roman"/>
          <w:sz w:val="15"/>
          <w:szCs w:val="15"/>
          <w:color w:val="auto"/>
        </w:rPr>
        <w:t>4.3.4 Stating that they have compared specific dollar amounts, numbers of shares, percentages of revenues and earnings, statements and other financial information pertaining to the Company set forth in the Registration Statement, the Statutory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generally accepted auditing standards) set forth in the letter and found them to be in agreement; and</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4.3.5 Statements as to such other matters incident to the transaction contemplated hereby as the Representative may reasonably request.</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4.4 </w:t>
      </w:r>
      <w:r>
        <w:rPr>
          <w:rFonts w:ascii="Times New Roman" w:cs="Times New Roman" w:eastAsia="Times New Roman" w:hAnsi="Times New Roman"/>
          <w:sz w:val="15"/>
          <w:szCs w:val="15"/>
          <w:u w:val="single" w:color="auto"/>
          <w:color w:val="auto"/>
        </w:rPr>
        <w:t>Officers’ Certificates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firstLine="865"/>
        <w:spacing w:after="0" w:line="253" w:lineRule="auto"/>
        <w:rPr>
          <w:sz w:val="20"/>
          <w:szCs w:val="20"/>
          <w:color w:val="auto"/>
        </w:rPr>
      </w:pPr>
      <w:r>
        <w:rPr>
          <w:rFonts w:ascii="Times New Roman" w:cs="Times New Roman" w:eastAsia="Times New Roman" w:hAnsi="Times New Roman"/>
          <w:sz w:val="15"/>
          <w:szCs w:val="15"/>
          <w:color w:val="auto"/>
        </w:rPr>
        <w:t xml:space="preserve">4.4.1 </w:t>
      </w:r>
      <w:r>
        <w:rPr>
          <w:rFonts w:ascii="Times New Roman" w:cs="Times New Roman" w:eastAsia="Times New Roman" w:hAnsi="Times New Roman"/>
          <w:sz w:val="15"/>
          <w:szCs w:val="15"/>
          <w:u w:val="single" w:color="auto"/>
          <w:color w:val="auto"/>
        </w:rPr>
        <w:t>Officers’ Certificate</w:t>
      </w:r>
      <w:r>
        <w:rPr>
          <w:rFonts w:ascii="Times New Roman" w:cs="Times New Roman" w:eastAsia="Times New Roman" w:hAnsi="Times New Roman"/>
          <w:sz w:val="15"/>
          <w:szCs w:val="15"/>
          <w:color w:val="auto"/>
        </w:rPr>
        <w:t xml:space="preserve">. As of each of the Closing Date and the Option Closing Date, if any, the Representative shall have received a certificate of the Company signed by the Chairman of the Board, Chief Executive Officer, or Chief Financial Officer (in their capacities as such),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have been satisfied as of such date and that, as of Closing Date or the Option Closing Date, as the case may be, the representations and warranties of the Company set forth in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hereof are true and correct. In addition, the Representative will have received such other and further certificates of officers of the Company as the Representative may reasonably request.</w:t>
      </w:r>
    </w:p>
    <w:p>
      <w:pPr>
        <w:spacing w:after="0" w:line="160" w:lineRule="exact"/>
        <w:rPr>
          <w:sz w:val="20"/>
          <w:szCs w:val="20"/>
          <w:color w:val="auto"/>
        </w:rPr>
      </w:pPr>
    </w:p>
    <w:p>
      <w:pPr>
        <w:ind w:right="60" w:firstLine="865"/>
        <w:spacing w:after="0" w:line="255" w:lineRule="auto"/>
        <w:rPr>
          <w:sz w:val="20"/>
          <w:szCs w:val="20"/>
          <w:color w:val="auto"/>
        </w:rPr>
      </w:pPr>
      <w:r>
        <w:rPr>
          <w:rFonts w:ascii="Times New Roman" w:cs="Times New Roman" w:eastAsia="Times New Roman" w:hAnsi="Times New Roman"/>
          <w:sz w:val="15"/>
          <w:szCs w:val="15"/>
          <w:color w:val="auto"/>
        </w:rPr>
        <w:t xml:space="preserve">4.4.2 </w:t>
      </w:r>
      <w:r>
        <w:rPr>
          <w:rFonts w:ascii="Times New Roman" w:cs="Times New Roman" w:eastAsia="Times New Roman" w:hAnsi="Times New Roman"/>
          <w:sz w:val="15"/>
          <w:szCs w:val="15"/>
          <w:u w:val="single" w:color="auto"/>
          <w:color w:val="auto"/>
        </w:rPr>
        <w:t>Secretary’s Certificate</w:t>
      </w:r>
      <w:r>
        <w:rPr>
          <w:rFonts w:ascii="Times New Roman" w:cs="Times New Roman" w:eastAsia="Times New Roman" w:hAnsi="Times New Roman"/>
          <w:sz w:val="15"/>
          <w:szCs w:val="15"/>
          <w:color w:val="auto"/>
        </w:rPr>
        <w:t>. As of each of the Closing Date and the Option Closing Date, if any, the Representative shall have received a certificate of the Company signed by the Chief Executive Officer or Chief Financial Officer of the Company, certifying: (i) that the Charter Documents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Nasdaq; and (v) as to the incumbency of the officers of the Company. The documents referred to in such certificate shall be attached to such certificate.</w:t>
      </w:r>
    </w:p>
    <w:p>
      <w:pPr>
        <w:sectPr>
          <w:pgSz w:w="11900" w:h="16840" w:orient="portrait"/>
          <w:cols w:equalWidth="0" w:num="1">
            <w:col w:w="9680"/>
          </w:cols>
          <w:pgMar w:left="1120" w:top="689" w:right="1100" w:bottom="1440" w:gutter="0" w:footer="0" w:header="0"/>
        </w:sectPr>
      </w:pPr>
    </w:p>
    <w:bookmarkStart w:id="297" w:name="page298"/>
    <w:bookmarkEnd w:id="297"/>
    <w:p>
      <w:pPr>
        <w:ind w:firstLine="379"/>
        <w:spacing w:after="0" w:line="25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4.5 </w:t>
      </w:r>
      <w:r>
        <w:rPr>
          <w:rFonts w:ascii="Times New Roman" w:cs="Times New Roman" w:eastAsia="Times New Roman" w:hAnsi="Times New Roman"/>
          <w:sz w:val="15"/>
          <w:szCs w:val="15"/>
          <w:u w:val="single" w:color="auto"/>
          <w:color w:val="auto"/>
        </w:rPr>
        <w:t>No Material Changes</w:t>
      </w:r>
      <w:r>
        <w:rPr>
          <w:rFonts w:ascii="Times New Roman" w:cs="Times New Roman" w:eastAsia="Times New Roman" w:hAnsi="Times New Roman"/>
          <w:sz w:val="15"/>
          <w:szCs w:val="15"/>
          <w:color w:val="auto"/>
        </w:rPr>
        <w:t>. Prior to each of the Closing Date and the Option Closing Date, if any: (i) there shall have been no material adverse change or development involving a material adverse change in the condition or prospects or the business activities, financial or otherwise, of the Company from the latest dates as of which such condition is set forth in the Registration Statement, the General Disclosure Package, and Prospectus; (ii) no action, suit, or proceeding, at law or in equity, shall have been pending or threatened against the Company or any Respondent before or by any court or foreign, federal, or state commission, board, or other administrative agency wherein an unfavorable decision, ruling, or finding may have a Material Adverse Effect on the business, operations, prospects, or financial condition or income of the Company, except as set forth in the Registration Statement, the General Disclosure Package, and Prospectus; (iii) no stop order shall have been issued under the Act against the Company and no proceedings therefor shall have been initiated or threatened by the Commission; and (iv) the Registration Statement, the General Disclosure Package,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none of the Registration Statement, the General Disclosure Package, or the Prospectus, or any amendment or supplement thereto shall contain any untrue statement of a material fact or omit to state any material fact required to be stated therein or necessary to make the statements therein (in the case of the General Disclosure Package and Prospectus, in the light of the circumstances under which they were made), not misleading.</w:t>
      </w:r>
    </w:p>
    <w:p>
      <w:pPr>
        <w:spacing w:after="0" w:line="163" w:lineRule="exact"/>
        <w:rPr>
          <w:sz w:val="20"/>
          <w:szCs w:val="20"/>
          <w:color w:val="auto"/>
        </w:rPr>
      </w:pPr>
    </w:p>
    <w:p>
      <w:pPr>
        <w:ind w:right="12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4.6 </w:t>
      </w:r>
      <w:r>
        <w:rPr>
          <w:rFonts w:ascii="Times New Roman" w:cs="Times New Roman" w:eastAsia="Times New Roman" w:hAnsi="Times New Roman"/>
          <w:sz w:val="15"/>
          <w:szCs w:val="15"/>
          <w:u w:val="single" w:color="auto"/>
          <w:color w:val="auto"/>
        </w:rPr>
        <w:t>Delivery of Transaction Documents and Public Securities</w:t>
      </w:r>
      <w:r>
        <w:rPr>
          <w:rFonts w:ascii="Times New Roman" w:cs="Times New Roman" w:eastAsia="Times New Roman" w:hAnsi="Times New Roman"/>
          <w:sz w:val="15"/>
          <w:szCs w:val="15"/>
          <w:color w:val="auto"/>
        </w:rPr>
        <w:t>. On the Effective Date, the Company shall have delivered to the Representative executed copies of the Transaction Documents and shall have delivered the Public Securities.</w:t>
      </w:r>
    </w:p>
    <w:p>
      <w:pPr>
        <w:spacing w:after="0" w:line="137" w:lineRule="exact"/>
        <w:rPr>
          <w:sz w:val="20"/>
          <w:szCs w:val="20"/>
          <w:color w:val="auto"/>
        </w:rPr>
      </w:pPr>
    </w:p>
    <w:p>
      <w:pPr>
        <w:ind w:right="20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4.7 </w:t>
      </w:r>
      <w:r>
        <w:rPr>
          <w:rFonts w:ascii="Times New Roman" w:cs="Times New Roman" w:eastAsia="Times New Roman" w:hAnsi="Times New Roman"/>
          <w:sz w:val="15"/>
          <w:szCs w:val="15"/>
          <w:u w:val="single" w:color="auto"/>
          <w:color w:val="auto"/>
        </w:rPr>
        <w:t>Private Placement Securities</w:t>
      </w:r>
      <w:r>
        <w:rPr>
          <w:rFonts w:ascii="Times New Roman" w:cs="Times New Roman" w:eastAsia="Times New Roman" w:hAnsi="Times New Roman"/>
          <w:sz w:val="15"/>
          <w:szCs w:val="15"/>
          <w:color w:val="auto"/>
        </w:rPr>
        <w:t>. On the Closing Date, the Private Placement Securities have been purchased as provided for in the Sponsor Private Placement Securities Purchase Agreement and the Investor Private Placement Securities Purchase Agreement, and the requisite portion of the purchase price for such securities specified in this Agreement shall be deposited into the Trust Account.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DISCLOSURE</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INDEMNIFICATION AND CONTRIBUTION</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5.1 </w:t>
      </w:r>
      <w:r>
        <w:rPr>
          <w:rFonts w:ascii="Times New Roman" w:cs="Times New Roman" w:eastAsia="Times New Roman" w:hAnsi="Times New Roman"/>
          <w:sz w:val="15"/>
          <w:szCs w:val="15"/>
          <w:u w:val="single" w:color="auto"/>
          <w:color w:val="auto"/>
        </w:rPr>
        <w:t>Indemnification</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80" w:firstLine="865"/>
        <w:spacing w:after="0" w:line="253" w:lineRule="auto"/>
        <w:rPr>
          <w:sz w:val="20"/>
          <w:szCs w:val="20"/>
          <w:color w:val="auto"/>
        </w:rPr>
      </w:pPr>
      <w:r>
        <w:rPr>
          <w:rFonts w:ascii="Times New Roman" w:cs="Times New Roman" w:eastAsia="Times New Roman" w:hAnsi="Times New Roman"/>
          <w:sz w:val="15"/>
          <w:szCs w:val="15"/>
          <w:color w:val="auto"/>
        </w:rPr>
        <w:t xml:space="preserve">5.1.1 </w:t>
      </w:r>
      <w:r>
        <w:rPr>
          <w:rFonts w:ascii="Times New Roman" w:cs="Times New Roman" w:eastAsia="Times New Roman" w:hAnsi="Times New Roman"/>
          <w:sz w:val="15"/>
          <w:szCs w:val="15"/>
          <w:u w:val="single" w:color="auto"/>
          <w:color w:val="auto"/>
        </w:rPr>
        <w:t>Indemnification of the Underwriters</w:t>
      </w:r>
      <w:r>
        <w:rPr>
          <w:rFonts w:ascii="Times New Roman" w:cs="Times New Roman" w:eastAsia="Times New Roman" w:hAnsi="Times New Roman"/>
          <w:sz w:val="15"/>
          <w:szCs w:val="15"/>
          <w:color w:val="auto"/>
        </w:rPr>
        <w:t>. The Company agrees to indemnify, defend and hold harmless each Underwriter, its partners, directors, officers, employees, members and agents, any person who controls any Underwriter within the meaning of Section 15 of the Act or Section 20 of the Exchange Act, and any “affiliate” (within the meaning of Rule 405 under the Act) of any Underwriter, and the successors and assigns of all of the foregoing persons, from and against any and all loss, damage, expense, liability or claim (including the reasonable cost of investigation and the fees and disbursements of counsel chosen by the Representative) whatsoever, as incurred, which, jointly or severally, any Underwriter or any such person may incur insofar as such loss, damage, expense, liability or claim arises out of, relates to or is based on (i) any untrue statement or alleged untrue statement of a material fact contained in the</w:t>
      </w:r>
    </w:p>
    <w:p>
      <w:pPr>
        <w:sectPr>
          <w:pgSz w:w="11900" w:h="16840" w:orient="portrait"/>
          <w:cols w:equalWidth="0" w:num="1">
            <w:col w:w="9660"/>
          </w:cols>
          <w:pgMar w:left="1120" w:top="689" w:right="1120" w:bottom="1440" w:gutter="0" w:footer="0" w:header="0"/>
        </w:sectPr>
      </w:pPr>
    </w:p>
    <w:bookmarkStart w:id="298" w:name="page299"/>
    <w:bookmarkEnd w:id="298"/>
    <w:p>
      <w:pPr>
        <w:spacing w:after="0" w:line="24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6749415" cy="35560"/>
                    </a:xfrm>
                    <a:prstGeom prst="rect">
                      <a:avLst/>
                    </a:prstGeom>
                    <a:noFill/>
                  </pic:spPr>
                </pic:pic>
              </a:graphicData>
            </a:graphic>
          </wp:anchor>
        </w:drawing>
        <w:t>Registration Statement (or any amendment thereto), or arises out of, relates to or is based on any omission or alleged omission to state a material fact required to be stated therein or necessary to make the statements therein not misleading, except insofar as any such loss, damage, expense, liability or claim primarily and directly arises out of, relates to or is based on any untrue statement or alleged untrue statement of a material fact contained in, and in conformity with the Underwriter Information or primarily and directly arises out of, relates to or is based on any omission or alleged omission to state a material fact in the Registration Statement (or any amendment thereto) in connection with the Underwriter Information, which material fact was not contained in the Underwriter Information and which material fact was required to be stated in the Registration Statement or was necessary to make the Underwriter Information not misleading or (ii) any untrue statement or alleged untrue statement of a material fact included in any Written Testing-the- Waters Communication, any Preliminary Prospectus or the Prospectus (or any amendment or supplement thereto), in any information provided to investors by, or with the approval of, the Company, including, without limitation, any investor presentations, or in any Blue Sky application or other information or other documents executed by the Company filed in any state or other jurisdiction or Nasdaq to qualify any or all of the Public Securities under the securities laws thereof, or arises out of, relates to or is based on any omission or alleged omission to state a material fact necessary in order to make the statements therein, in the light of the circumstances under which they were made, not misleading, except, with respect to any Preliminary Prospectus or the Prospectus (or any amendment or supplement thereto), insofar as any such loss, damage, expense, liability or claim primarily and directly arises out of, relates to or is based on any untrue statement or alleged untrue statement of a material fact contained in, and in conformity with the Underwriter Information or primarily and directly arises out of, relates to or is based on any omission or alleged omission to state a material fact in any Preliminary Prospectus or the Prospectus (or any amendment or supplement thereto) in connection with the Underwriter Information, which material fact was not contained in the Underwriter Information and which material fact was necessary in order to make the statements in the Underwriter Information, in the light of the circumstances under which they were made, not misleading.</w:t>
      </w:r>
    </w:p>
    <w:p>
      <w:pPr>
        <w:spacing w:after="0" w:line="345" w:lineRule="exact"/>
        <w:rPr>
          <w:sz w:val="20"/>
          <w:szCs w:val="20"/>
          <w:color w:val="auto"/>
        </w:rPr>
      </w:pPr>
    </w:p>
    <w:p>
      <w:pPr>
        <w:ind w:right="60" w:firstLine="865"/>
        <w:spacing w:after="0" w:line="250" w:lineRule="auto"/>
        <w:rPr>
          <w:sz w:val="20"/>
          <w:szCs w:val="20"/>
          <w:color w:val="auto"/>
        </w:rPr>
      </w:pPr>
      <w:r>
        <w:rPr>
          <w:rFonts w:ascii="Times New Roman" w:cs="Times New Roman" w:eastAsia="Times New Roman" w:hAnsi="Times New Roman"/>
          <w:sz w:val="15"/>
          <w:szCs w:val="15"/>
          <w:color w:val="auto"/>
        </w:rPr>
        <w:t xml:space="preserve">5.1.2 </w:t>
      </w:r>
      <w:r>
        <w:rPr>
          <w:rFonts w:ascii="Times New Roman" w:cs="Times New Roman" w:eastAsia="Times New Roman" w:hAnsi="Times New Roman"/>
          <w:sz w:val="15"/>
          <w:szCs w:val="15"/>
          <w:u w:val="single" w:color="auto"/>
          <w:color w:val="auto"/>
        </w:rPr>
        <w:t>Indemnification of the Company</w:t>
      </w:r>
      <w:r>
        <w:rPr>
          <w:rFonts w:ascii="Times New Roman" w:cs="Times New Roman" w:eastAsia="Times New Roman" w:hAnsi="Times New Roman"/>
          <w:sz w:val="15"/>
          <w:szCs w:val="15"/>
          <w:color w:val="auto"/>
        </w:rPr>
        <w:t>. Each Underwriter, severally and not jointly,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and all loss, damage, expense, liability or claim (including the reasonable cost of investigation) whatsoever, as incurred, which, jointly or severally, the Company or any such person may incur insofar as such loss, damage, expense, liability or claim primarily and directly arises out of, relates to or is based on (i) any untrue statement or alleged untrue statement of a material fact contained in, and in conformity with the Underwriter Information concerning such Underwriter furnished in writing by such Underwriter to the Representative for delivery to the Company expressly for use in, the Registration Statement (or any amendment thereto), or primarily and directly arises out of, relates to or is based on any omission or alleged omission to state a material fact in the Registration Statement (or any amendment thereto) in connection with such Underwriter Information, which material fact was not contained in such Underwriter Information and which material fact was required to be stated in the Registration Statement (or any amendment thereto) or was necessary to make such information not misleading or (ii) any untrue statement or alleged untrue statement of a material fact contained in, and in conformity</w:t>
      </w:r>
    </w:p>
    <w:p>
      <w:pPr>
        <w:sectPr>
          <w:pgSz w:w="11900" w:h="16840" w:orient="portrait"/>
          <w:cols w:equalWidth="0" w:num="1">
            <w:col w:w="9680"/>
          </w:cols>
          <w:pgMar w:left="1120" w:top="689" w:right="1100" w:bottom="1440" w:gutter="0" w:footer="0" w:header="0"/>
        </w:sectPr>
      </w:pPr>
    </w:p>
    <w:bookmarkStart w:id="299" w:name="page300"/>
    <w:bookmarkEnd w:id="299"/>
    <w:p>
      <w:pPr>
        <w:ind w:right="20"/>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6749415" cy="35560"/>
                    </a:xfrm>
                    <a:prstGeom prst="rect">
                      <a:avLst/>
                    </a:prstGeom>
                    <a:noFill/>
                  </pic:spPr>
                </pic:pic>
              </a:graphicData>
            </a:graphic>
          </wp:anchor>
        </w:drawing>
        <w:t>with Underwriter Information concerning such Underwriter furnished in writing by such Underwriter to the Representative for delivery to the Company expressly for use in, any Preliminary Prospectus or the Prospectus (or any amendment or supplement thereto), or primarily and directly arises out of, relates to or is based on any omission or alleged omission to state a material fact in any Preliminary Prospectus or the Prospectus (or any amendment or supplement thereto) in connection with such Underwriter Information, which material fact was not contained in such Underwriter Information and which material fact was necessary in order to make the statements in such Underwriter Information, in the light of the circumstances under which they were made, not misleading.</w:t>
      </w:r>
    </w:p>
    <w:p>
      <w:pPr>
        <w:spacing w:after="0" w:line="339" w:lineRule="exact"/>
        <w:rPr>
          <w:sz w:val="20"/>
          <w:szCs w:val="20"/>
          <w:color w:val="auto"/>
        </w:rPr>
      </w:pPr>
    </w:p>
    <w:p>
      <w:pPr>
        <w:ind w:firstLine="865"/>
        <w:spacing w:after="0" w:line="248" w:lineRule="auto"/>
        <w:rPr>
          <w:sz w:val="20"/>
          <w:szCs w:val="20"/>
          <w:color w:val="auto"/>
        </w:rPr>
      </w:pPr>
      <w:r>
        <w:rPr>
          <w:rFonts w:ascii="Times New Roman" w:cs="Times New Roman" w:eastAsia="Times New Roman" w:hAnsi="Times New Roman"/>
          <w:sz w:val="15"/>
          <w:szCs w:val="15"/>
          <w:color w:val="auto"/>
        </w:rPr>
        <w:t xml:space="preserve">5.1.3 </w:t>
      </w:r>
      <w:r>
        <w:rPr>
          <w:rFonts w:ascii="Times New Roman" w:cs="Times New Roman" w:eastAsia="Times New Roman" w:hAnsi="Times New Roman"/>
          <w:sz w:val="15"/>
          <w:szCs w:val="15"/>
          <w:u w:val="single" w:color="auto"/>
          <w:color w:val="auto"/>
        </w:rPr>
        <w:t>Procedure</w:t>
      </w:r>
      <w:r>
        <w:rPr>
          <w:rFonts w:ascii="Times New Roman" w:cs="Times New Roman" w:eastAsia="Times New Roman" w:hAnsi="Times New Roman"/>
          <w:sz w:val="15"/>
          <w:szCs w:val="15"/>
          <w:color w:val="auto"/>
        </w:rPr>
        <w:t>. If any action, suit or proceeding (each, a “</w:t>
      </w:r>
      <w:r>
        <w:rPr>
          <w:rFonts w:ascii="Times New Roman" w:cs="Times New Roman" w:eastAsia="Times New Roman" w:hAnsi="Times New Roman"/>
          <w:sz w:val="15"/>
          <w:szCs w:val="15"/>
          <w:u w:val="single" w:color="auto"/>
          <w:color w:val="auto"/>
        </w:rPr>
        <w:t>Proceeding</w:t>
      </w:r>
      <w:r>
        <w:rPr>
          <w:rFonts w:ascii="Times New Roman" w:cs="Times New Roman" w:eastAsia="Times New Roman" w:hAnsi="Times New Roman"/>
          <w:sz w:val="15"/>
          <w:szCs w:val="15"/>
          <w:color w:val="auto"/>
        </w:rPr>
        <w:t>”) is brought against a person (an “</w:t>
      </w:r>
      <w:r>
        <w:rPr>
          <w:rFonts w:ascii="Times New Roman" w:cs="Times New Roman" w:eastAsia="Times New Roman" w:hAnsi="Times New Roman"/>
          <w:sz w:val="15"/>
          <w:szCs w:val="15"/>
          <w:u w:val="single" w:color="auto"/>
          <w:color w:val="auto"/>
        </w:rPr>
        <w:t>indemnified party</w:t>
      </w:r>
      <w:r>
        <w:rPr>
          <w:rFonts w:ascii="Times New Roman" w:cs="Times New Roman" w:eastAsia="Times New Roman" w:hAnsi="Times New Roman"/>
          <w:sz w:val="15"/>
          <w:szCs w:val="15"/>
          <w:color w:val="auto"/>
        </w:rPr>
        <w:t>”) in respect of which indemnity may be sought against any party required to provide indemnification under this Agreement (as applicable, the “</w:t>
      </w:r>
      <w:r>
        <w:rPr>
          <w:rFonts w:ascii="Times New Roman" w:cs="Times New Roman" w:eastAsia="Times New Roman" w:hAnsi="Times New Roman"/>
          <w:sz w:val="15"/>
          <w:szCs w:val="15"/>
          <w:u w:val="single" w:color="auto"/>
          <w:color w:val="auto"/>
        </w:rPr>
        <w:t>indemnifying party</w:t>
      </w:r>
      <w:r>
        <w:rPr>
          <w:rFonts w:ascii="Times New Roman" w:cs="Times New Roman" w:eastAsia="Times New Roman" w:hAnsi="Times New Roman"/>
          <w:sz w:val="15"/>
          <w:szCs w:val="15"/>
          <w:color w:val="auto"/>
        </w:rPr>
        <w:t xml:space="preserve">”) such indemnified party shall promptly notify such indemnifying party in writing of the institution of such Proceeding; </w:t>
      </w:r>
      <w:r>
        <w:rPr>
          <w:rFonts w:ascii="Times New Roman" w:cs="Times New Roman" w:eastAsia="Times New Roman" w:hAnsi="Times New Roman"/>
          <w:sz w:val="15"/>
          <w:szCs w:val="15"/>
          <w:u w:val="single" w:color="auto"/>
          <w:color w:val="auto"/>
        </w:rPr>
        <w:t>provided, however,</w:t>
      </w:r>
      <w:r>
        <w:rPr>
          <w:rFonts w:ascii="Times New Roman" w:cs="Times New Roman" w:eastAsia="Times New Roman" w:hAnsi="Times New Roman"/>
          <w:sz w:val="15"/>
          <w:szCs w:val="15"/>
          <w:color w:val="auto"/>
        </w:rPr>
        <w:t xml:space="preserve"> that the omission or failure to so notify an indemnifying party shall not relieve such indemnifying party from any liability which such indemnifying party may have to any indemnified party hereunder to the extent such indemnifying party is not materially prejudiced as a result thereof and in any event shall not relieve such indemnifying party from any liability which it may have otherwise than under this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xml:space="preserve">. In the case of parties indemnified pursuant to </w:t>
      </w:r>
      <w:r>
        <w:rPr>
          <w:rFonts w:ascii="Times New Roman" w:cs="Times New Roman" w:eastAsia="Times New Roman" w:hAnsi="Times New Roman"/>
          <w:sz w:val="15"/>
          <w:szCs w:val="15"/>
          <w:u w:val="single" w:color="auto"/>
          <w:color w:val="auto"/>
        </w:rPr>
        <w:t>Section 5.1.1</w:t>
      </w:r>
      <w:r>
        <w:rPr>
          <w:rFonts w:ascii="Times New Roman" w:cs="Times New Roman" w:eastAsia="Times New Roman" w:hAnsi="Times New Roman"/>
          <w:sz w:val="15"/>
          <w:szCs w:val="15"/>
          <w:color w:val="auto"/>
        </w:rPr>
        <w:t xml:space="preserve"> counsel to the indemnified parties shall be selected by the Representative, and, in the case of parties indemnified pursuant to </w:t>
      </w:r>
      <w:r>
        <w:rPr>
          <w:rFonts w:ascii="Times New Roman" w:cs="Times New Roman" w:eastAsia="Times New Roman" w:hAnsi="Times New Roman"/>
          <w:sz w:val="15"/>
          <w:szCs w:val="15"/>
          <w:u w:val="single" w:color="auto"/>
          <w:color w:val="auto"/>
        </w:rPr>
        <w:t>Section 5.1.2</w:t>
      </w:r>
      <w:r>
        <w:rPr>
          <w:rFonts w:ascii="Times New Roman" w:cs="Times New Roman" w:eastAsia="Times New Roman" w:hAnsi="Times New Roman"/>
          <w:sz w:val="15"/>
          <w:szCs w:val="15"/>
          <w:color w:val="auto"/>
        </w:rPr>
        <w:t>,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any indemnifying party be liable for the expenses of more than one separate counsel (in addition to any local counsel) in any one Proceeding or series of related Proceedings in the same jurisdiction representing the indemnified parties who are parties to such Proceeding or Proceedings. The indemnifying party shall not be liable for any settlement of any Proceeding effected without its written consent but, if settled with its written consent, such indemnifying party agrees to indemnify and hold harmless the indemnified party or parties from and against any and all loss, damage, expense, liability or claim by reason of such settlement. Notwithstanding the foregoing sentence, if at any time an indemnified party shall have requested an indemnifying party to reimburse the indemnified party for fees and expenses of counsel, then the indemnifying party agrees that it shall be liable for any settlement of any Proceeding effected without its written consent if (i) such settlement is entered into more than 60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such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 The Company agrees promptly to notify the Underwriters of the commencement of any Proceeding against it and against any of the Company’s directors or officers in connection with the sale and delivery of the Public Securities or with the Registration Statement, any Preliminary Prospectus or the Prospectus.</w:t>
      </w:r>
    </w:p>
    <w:p>
      <w:pPr>
        <w:sectPr>
          <w:pgSz w:w="11900" w:h="16840" w:orient="portrait"/>
          <w:cols w:equalWidth="0" w:num="1">
            <w:col w:w="9660"/>
          </w:cols>
          <w:pgMar w:left="1120" w:top="689" w:right="1120" w:bottom="1440" w:gutter="0" w:footer="0" w:header="0"/>
        </w:sectPr>
      </w:pPr>
    </w:p>
    <w:bookmarkStart w:id="300" w:name="page301"/>
    <w:bookmarkEnd w:id="300"/>
    <w:p>
      <w:pPr>
        <w:ind w:firstLine="379"/>
        <w:spacing w:after="0" w:line="24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5.2 </w:t>
      </w: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 xml:space="preserve">. If the indemnification provided for in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is unavailable to an indemnified party under the applicable subsections above or insufficient to hold an indemnified party harmless in respect of any and all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on the one hand and the Underwriters on the other hand from the offering of the Public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damages, expenses, liabilities or claims, as well as any other relevant equitable considerations. The relative benefits received by the Company on the one hand and the Underwriters on the other shall be deemed to be in the same respective proportions as the total proceeds from the offering of the Public Securities (net of underwriting discounts (as set forth in </w:t>
      </w:r>
      <w:r>
        <w:rPr>
          <w:rFonts w:ascii="Times New Roman" w:cs="Times New Roman" w:eastAsia="Times New Roman" w:hAnsi="Times New Roman"/>
          <w:sz w:val="15"/>
          <w:szCs w:val="15"/>
          <w:u w:val="single" w:color="auto"/>
          <w:color w:val="auto"/>
        </w:rPr>
        <w:t>Sections 1.1.1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1.2.1</w:t>
      </w:r>
      <w:r>
        <w:rPr>
          <w:rFonts w:ascii="Times New Roman" w:cs="Times New Roman" w:eastAsia="Times New Roman" w:hAnsi="Times New Roman"/>
          <w:sz w:val="15"/>
          <w:szCs w:val="15"/>
          <w:color w:val="auto"/>
        </w:rPr>
        <w:t xml:space="preserve"> above) received by the Underwriters but before deducting expenses) received by the Company and the underwriting discounts (as set forth in </w:t>
      </w:r>
      <w:r>
        <w:rPr>
          <w:rFonts w:ascii="Times New Roman" w:cs="Times New Roman" w:eastAsia="Times New Roman" w:hAnsi="Times New Roman"/>
          <w:sz w:val="15"/>
          <w:szCs w:val="15"/>
          <w:u w:val="single" w:color="auto"/>
          <w:color w:val="auto"/>
        </w:rPr>
        <w:t>Sections 1.1.1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1.2.1</w:t>
      </w:r>
      <w:r>
        <w:rPr>
          <w:rFonts w:ascii="Times New Roman" w:cs="Times New Roman" w:eastAsia="Times New Roman" w:hAnsi="Times New Roman"/>
          <w:sz w:val="15"/>
          <w:szCs w:val="15"/>
          <w:color w:val="auto"/>
        </w:rPr>
        <w:t xml:space="preserve"> above) received by the Underwriters bear to the aggregate initial public offering price of the Public Securities. The relative fault of the Company on the one hand and the Underwriters on the other hand shall be determined by reference to, among other things, whether the untrue statement or alleged untrue statement of a material fact or omission or alleged omission relates to information supplied by the Company or by the Underwriters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 For purposes of this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each person, if any, who controls an Underwriter within the meaning of Section 15 of the Act or Section 20 of the Exchange Act and each of the Underwriter’s partners, directors, officers, employees, members, agents and affiliates shall have the same rights to contribution as such Underwriter; and each director of the Company, each officer of the Company who signed the Registration Statement, and each person, if any, who controls the Company within the meaning of Section 15 of the Act or Section 20 of the Exchange Act shall have the same rights to contribution as the Company. Each of the Company and the Underwriters agrees that it would not be just and equitable if contribution pursuant to this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were determined by pro rata allocation (even if the Underwriters were treated as one entity for such purpose) or by any other method of allocation that does not take account of the equitable considerations referred to in this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Notwithstanding the provisions of this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no Underwriter shall be required to contribute any amount in excess of the total underwriting discounts (as set forth in </w:t>
      </w:r>
      <w:r>
        <w:rPr>
          <w:rFonts w:ascii="Times New Roman" w:cs="Times New Roman" w:eastAsia="Times New Roman" w:hAnsi="Times New Roman"/>
          <w:sz w:val="15"/>
          <w:szCs w:val="15"/>
          <w:u w:val="single" w:color="auto"/>
          <w:color w:val="auto"/>
        </w:rPr>
        <w:t>Sections 1.1.1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1.2.1</w:t>
      </w:r>
      <w:r>
        <w:rPr>
          <w:rFonts w:ascii="Times New Roman" w:cs="Times New Roman" w:eastAsia="Times New Roman" w:hAnsi="Times New Roman"/>
          <w:sz w:val="15"/>
          <w:szCs w:val="15"/>
          <w:color w:val="auto"/>
        </w:rPr>
        <w:t xml:space="preserve"> above) received by such Underwriter in connection with Public Securities underwritten by it for sale to the public. No person guilty of fraudulent misrepresentation (within the meaning of Section 11(f) of the Act) shall be entitled to contribution from any person who was not guilty of such fraudulent misrepresentation. The Underwriters’ obligations to contribute pursuant to this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are several in proportion to their respective underwriting commitments and not joint.</w:t>
      </w:r>
    </w:p>
    <w:p>
      <w:pPr>
        <w:sectPr>
          <w:pgSz w:w="11900" w:h="16840" w:orient="portrait"/>
          <w:cols w:equalWidth="0" w:num="1">
            <w:col w:w="9680"/>
          </w:cols>
          <w:pgMar w:left="1120" w:top="689" w:right="1100" w:bottom="1440" w:gutter="0" w:footer="0" w:header="0"/>
        </w:sectPr>
      </w:pPr>
    </w:p>
    <w:bookmarkStart w:id="301" w:name="page302"/>
    <w:bookmarkEnd w:id="30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6749415" cy="35560"/>
                    </a:xfrm>
                    <a:prstGeom prst="rect">
                      <a:avLst/>
                    </a:prstGeom>
                    <a:noFill/>
                  </pic:spPr>
                </pic:pic>
              </a:graphicData>
            </a:graphic>
          </wp:anchor>
        </w:drawing>
        <w:t>ARTICLE VI</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DEFAULT BY AN UNDERWRITER</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right="4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6.1 </w:t>
      </w:r>
      <w:r>
        <w:rPr>
          <w:rFonts w:ascii="Times New Roman" w:cs="Times New Roman" w:eastAsia="Times New Roman" w:hAnsi="Times New Roman"/>
          <w:sz w:val="15"/>
          <w:szCs w:val="15"/>
          <w:u w:val="single" w:color="auto"/>
          <w:color w:val="auto"/>
        </w:rPr>
        <w:t>Default Not Exceeding 10% of Firm Units</w:t>
      </w:r>
      <w:r>
        <w:rPr>
          <w:rFonts w:ascii="Times New Roman" w:cs="Times New Roman" w:eastAsia="Times New Roman" w:hAnsi="Times New Roman"/>
          <w:sz w:val="15"/>
          <w:szCs w:val="15"/>
          <w:color w:val="auto"/>
        </w:rPr>
        <w:t>. If any Underwriter or Underwriters shall default in its or their obligations to purchase the Firm Units and if the number of the Firm Units with respect to which such default relates does not exceed in the aggregate 10% of the number of Firm Units that all Underwriters have agreed to purchase hereunder, then such Firm Units to which the default relates shall be purchased by the non-defaulting Underwriters in proportion to their respective commitments hereunder.</w:t>
      </w:r>
    </w:p>
    <w:p>
      <w:pPr>
        <w:spacing w:after="0" w:line="156" w:lineRule="exact"/>
        <w:rPr>
          <w:sz w:val="20"/>
          <w:szCs w:val="20"/>
          <w:color w:val="auto"/>
        </w:rPr>
      </w:pPr>
    </w:p>
    <w:p>
      <w:pPr>
        <w:ind w:firstLine="379"/>
        <w:spacing w:after="0" w:line="251" w:lineRule="auto"/>
        <w:rPr>
          <w:sz w:val="20"/>
          <w:szCs w:val="20"/>
          <w:color w:val="auto"/>
        </w:rPr>
      </w:pPr>
      <w:r>
        <w:rPr>
          <w:rFonts w:ascii="Times New Roman" w:cs="Times New Roman" w:eastAsia="Times New Roman" w:hAnsi="Times New Roman"/>
          <w:sz w:val="15"/>
          <w:szCs w:val="15"/>
          <w:color w:val="auto"/>
        </w:rPr>
        <w:t xml:space="preserve">Section 6.2 </w:t>
      </w:r>
      <w:r>
        <w:rPr>
          <w:rFonts w:ascii="Times New Roman" w:cs="Times New Roman" w:eastAsia="Times New Roman" w:hAnsi="Times New Roman"/>
          <w:sz w:val="15"/>
          <w:szCs w:val="15"/>
          <w:u w:val="single" w:color="auto"/>
          <w:color w:val="auto"/>
        </w:rPr>
        <w:t>Default Exceeding 10% of Firm Units</w:t>
      </w:r>
      <w:r>
        <w:rPr>
          <w:rFonts w:ascii="Times New Roman" w:cs="Times New Roman" w:eastAsia="Times New Roman" w:hAnsi="Times New Roman"/>
          <w:sz w:val="15"/>
          <w:szCs w:val="15"/>
          <w:color w:val="auto"/>
        </w:rPr>
        <w:t xml:space="preserve">. In the event that the default addressed in </w:t>
      </w:r>
      <w:r>
        <w:rPr>
          <w:rFonts w:ascii="Times New Roman" w:cs="Times New Roman" w:eastAsia="Times New Roman" w:hAnsi="Times New Roman"/>
          <w:sz w:val="15"/>
          <w:szCs w:val="15"/>
          <w:u w:val="single" w:color="auto"/>
          <w:color w:val="auto"/>
        </w:rPr>
        <w:t>Section 7.1</w:t>
      </w:r>
      <w:r>
        <w:rPr>
          <w:rFonts w:ascii="Times New Roman" w:cs="Times New Roman" w:eastAsia="Times New Roman" w:hAnsi="Times New Roman"/>
          <w:sz w:val="15"/>
          <w:szCs w:val="15"/>
          <w:color w:val="auto"/>
        </w:rPr>
        <w:t xml:space="preserve"> above relates to more than 10% of the Firm Units, the Representative may, in its discretion, arrange for it or for another party or parties to purchase such Firm Units to which such default relates on the terms contained herein. If within one (1) Business Day after such default relating to more than 10% of the Firm Units the Representative does not arrange for the purchase of such Firm Units, then the Company shall be entitled to a further period of one (1) Business Day within which to procure another party or parties satisfactory to the Representative to purchase said Firm Units on such terms. In the event that neither the Representative nor the Company arrange for the purchase of the Firm Units to which a default relates as provided in this </w:t>
      </w:r>
      <w:r>
        <w:rPr>
          <w:rFonts w:ascii="Times New Roman" w:cs="Times New Roman" w:eastAsia="Times New Roman" w:hAnsi="Times New Roman"/>
          <w:sz w:val="15"/>
          <w:szCs w:val="15"/>
          <w:u w:val="single" w:color="auto"/>
          <w:color w:val="auto"/>
        </w:rPr>
        <w:t>Section 7</w:t>
      </w:r>
      <w:r>
        <w:rPr>
          <w:rFonts w:ascii="Times New Roman" w:cs="Times New Roman" w:eastAsia="Times New Roman" w:hAnsi="Times New Roman"/>
          <w:sz w:val="15"/>
          <w:szCs w:val="15"/>
          <w:color w:val="auto"/>
        </w:rPr>
        <w:t xml:space="preserve">, this Agreement may be terminated by the Representative or the Company without liability on the part of the Company (except as provided in </w:t>
      </w:r>
      <w:r>
        <w:rPr>
          <w:rFonts w:ascii="Times New Roman" w:cs="Times New Roman" w:eastAsia="Times New Roman" w:hAnsi="Times New Roman"/>
          <w:sz w:val="15"/>
          <w:szCs w:val="15"/>
          <w:u w:val="single" w:color="auto"/>
          <w:color w:val="auto"/>
        </w:rPr>
        <w:t>Sections 3.11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5</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10.3</w:t>
      </w:r>
      <w:r>
        <w:rPr>
          <w:rFonts w:ascii="Times New Roman" w:cs="Times New Roman" w:eastAsia="Times New Roman" w:hAnsi="Times New Roman"/>
          <w:sz w:val="15"/>
          <w:szCs w:val="15"/>
          <w:color w:val="auto"/>
        </w:rPr>
        <w:t xml:space="preserve"> hereof) or the several Underwriters (except as provided in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xml:space="preserve"> hereof); provided that nothing herein shall relieve a defaulting Underwriter of its liability, if any, to the other several Underwriters and to the Company for damages occasioned by its default hereunder.</w:t>
      </w:r>
    </w:p>
    <w:p>
      <w:pPr>
        <w:spacing w:after="0" w:line="165" w:lineRule="exact"/>
        <w:rPr>
          <w:sz w:val="20"/>
          <w:szCs w:val="20"/>
          <w:color w:val="auto"/>
        </w:rPr>
      </w:pPr>
    </w:p>
    <w:p>
      <w:pPr>
        <w:ind w:right="40" w:firstLine="379"/>
        <w:spacing w:after="0" w:line="253" w:lineRule="auto"/>
        <w:rPr>
          <w:sz w:val="20"/>
          <w:szCs w:val="20"/>
          <w:color w:val="auto"/>
        </w:rPr>
      </w:pPr>
      <w:r>
        <w:rPr>
          <w:rFonts w:ascii="Times New Roman" w:cs="Times New Roman" w:eastAsia="Times New Roman" w:hAnsi="Times New Roman"/>
          <w:sz w:val="15"/>
          <w:szCs w:val="15"/>
          <w:color w:val="auto"/>
        </w:rPr>
        <w:t xml:space="preserve">Section 6.3 </w:t>
      </w:r>
      <w:r>
        <w:rPr>
          <w:rFonts w:ascii="Times New Roman" w:cs="Times New Roman" w:eastAsia="Times New Roman" w:hAnsi="Times New Roman"/>
          <w:sz w:val="15"/>
          <w:szCs w:val="15"/>
          <w:u w:val="single" w:color="auto"/>
          <w:color w:val="auto"/>
        </w:rPr>
        <w:t>Postponement of Closing Date</w:t>
      </w:r>
      <w:r>
        <w:rPr>
          <w:rFonts w:ascii="Times New Roman" w:cs="Times New Roman" w:eastAsia="Times New Roman" w:hAnsi="Times New Roman"/>
          <w:sz w:val="15"/>
          <w:szCs w:val="15"/>
          <w:color w:val="auto"/>
        </w:rPr>
        <w:t>. In the event that the Firm Units to which the default relates are to be purchased by thenon-defaulting Underwriters, or are to be purchased by another party or parties as aforesaid, the Representative or the Company shall have the right to postpone the Closing Date for a reasonable period, but not in any event exceeding five (5) Business Days, in order to effect whatever changes may thereby be made necessary in the Registration Statement and/or the Prospectus, as the case may be, or in any other documents and arrangements, and the Company agrees to file promptly any amendment to, or to supplement, the Registration Statement and/or the Prospectus, as the case may be, that in the reasonable opinion of counsel for the Underwriters may thereby be made necessary. The term “Underwriter” as used in this Agreement shall include any party substituted under this Section 7 with like effect as if it had originally been a party to this Agreement with respect to such securities.</w:t>
      </w: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ADDITIONAL COVENANTS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7.1 </w:t>
      </w:r>
      <w:r>
        <w:rPr>
          <w:rFonts w:ascii="Times New Roman" w:cs="Times New Roman" w:eastAsia="Times New Roman" w:hAnsi="Times New Roman"/>
          <w:sz w:val="15"/>
          <w:szCs w:val="15"/>
          <w:u w:val="single" w:color="auto"/>
          <w:color w:val="auto"/>
        </w:rPr>
        <w:t>Additional Shares or Options</w:t>
      </w:r>
      <w:r>
        <w:rPr>
          <w:rFonts w:ascii="Times New Roman" w:cs="Times New Roman" w:eastAsia="Times New Roman" w:hAnsi="Times New Roman"/>
          <w:sz w:val="15"/>
          <w:szCs w:val="15"/>
          <w:color w:val="auto"/>
        </w:rPr>
        <w:t xml:space="preserve"> . Except as described in the Registration Statement, the Company hereby agrees that until the Company consummates a Business Combination, it shall not issue any Class A Ordinary Shares or any options or other securities convertible into the Class A Ordinary Shares or any preference shares which participate in any manner in the Trust Account or which vote on a Business Combination or any amendment to the Company’s amended and restated memorandum and articles of association that would affect the rights granted to Public Shareholders.</w:t>
      </w:r>
    </w:p>
    <w:p>
      <w:pPr>
        <w:sectPr>
          <w:pgSz w:w="11900" w:h="16840" w:orient="portrait"/>
          <w:cols w:equalWidth="0" w:num="1">
            <w:col w:w="9680"/>
          </w:cols>
          <w:pgMar w:left="1120" w:top="685" w:right="1100" w:bottom="1440" w:gutter="0" w:footer="0" w:header="0"/>
        </w:sectPr>
      </w:pPr>
    </w:p>
    <w:bookmarkStart w:id="302" w:name="page303"/>
    <w:bookmarkEnd w:id="302"/>
    <w:p>
      <w:pPr>
        <w:ind w:firstLine="379"/>
        <w:spacing w:after="0" w:line="24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7.2 </w:t>
      </w:r>
      <w:r>
        <w:rPr>
          <w:rFonts w:ascii="Times New Roman" w:cs="Times New Roman" w:eastAsia="Times New Roman" w:hAnsi="Times New Roman"/>
          <w:sz w:val="15"/>
          <w:szCs w:val="15"/>
          <w:u w:val="single" w:color="auto"/>
          <w:color w:val="auto"/>
        </w:rPr>
        <w:t>Trust Account Waiver Acknowledgments</w:t>
      </w:r>
      <w:r>
        <w:rPr>
          <w:rFonts w:ascii="Times New Roman" w:cs="Times New Roman" w:eastAsia="Times New Roman" w:hAnsi="Times New Roman"/>
          <w:sz w:val="15"/>
          <w:szCs w:val="15"/>
          <w:color w:val="auto"/>
        </w:rPr>
        <w:t>. The Company hereby agrees that, prior to commencing its due diligence investigation of any Target Business or obtaining the services of any vendor, it will use its best efforts to have such Target Business or vendor acknowledge in writing, whether through a letter of intent, memorandum of understanding, agreement in principle, or other similar document (and subsequently acknowledge the same in any definitive document replacing any of the foregoing), that (a) it has read the Prospectus, and understands that the Company has established the Trust Account, initially in an amount of $220,000,000 for the benefit of the Public Shareholders and that the funds held in the Trust Account will not be released from the Trust Account until the earliest of: (1) the completion of the Company’s Business Combination; (2) the redemption of any Public Shares properly submitted in connection with a shareholder vote to amend the Company’s amended and restated memorandum and articles of association (i) to modify the substance or timing of the Company’s obligation to provide for the redemption of the Public Shares in connection with the Business Combination or to redeem 100% of the Public Shares if the Company has not consummated the Business Combination within the time period designated in its amended and restated memorandum and articles of association or (ii) with respect to any other provision relating to shareholders’ rights or pre-Business Combination activity; and (3) the redemption of all of the Public Shares if the Company is unable to complete the Business Combination within the time period designated in its amended and restated memorandum and articles of association, subject to applicable law, and (b) for and in consideration of the Company (1) agreeing to evaluate such Target Business for purposes of consummating a Business Combination with it or (2) agreeing to engage the services of the vendor, as the case may be, such Target Business or vendor agrees that it does not have any right, title, interest or claim of any kind in or to any monies of the Trust Account (“</w:t>
      </w:r>
      <w:r>
        <w:rPr>
          <w:rFonts w:ascii="Times New Roman" w:cs="Times New Roman" w:eastAsia="Times New Roman" w:hAnsi="Times New Roman"/>
          <w:sz w:val="15"/>
          <w:szCs w:val="15"/>
          <w:u w:val="single" w:color="auto"/>
          <w:color w:val="auto"/>
        </w:rPr>
        <w:t>Claim</w:t>
      </w:r>
      <w:r>
        <w:rPr>
          <w:rFonts w:ascii="Times New Roman" w:cs="Times New Roman" w:eastAsia="Times New Roman" w:hAnsi="Times New Roman"/>
          <w:sz w:val="15"/>
          <w:szCs w:val="15"/>
          <w:color w:val="auto"/>
        </w:rPr>
        <w:t xml:space="preserve">”)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Times New Roman" w:cs="Times New Roman" w:eastAsia="Times New Roman" w:hAnsi="Times New Roman"/>
          <w:sz w:val="15"/>
          <w:szCs w:val="15"/>
          <w:u w:val="single" w:color="auto"/>
          <w:color w:val="auto"/>
        </w:rPr>
        <w:t>Exhibits 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respectively.</w:t>
      </w:r>
    </w:p>
    <w:p>
      <w:pPr>
        <w:spacing w:after="0" w:line="347" w:lineRule="exact"/>
        <w:rPr>
          <w:sz w:val="20"/>
          <w:szCs w:val="20"/>
          <w:color w:val="auto"/>
        </w:rPr>
      </w:pPr>
    </w:p>
    <w:p>
      <w:pPr>
        <w:ind w:right="8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7.3 </w:t>
      </w:r>
      <w:r>
        <w:rPr>
          <w:rFonts w:ascii="Times New Roman" w:cs="Times New Roman" w:eastAsia="Times New Roman" w:hAnsi="Times New Roman"/>
          <w:sz w:val="15"/>
          <w:szCs w:val="15"/>
          <w:u w:val="single" w:color="auto"/>
          <w:color w:val="auto"/>
        </w:rPr>
        <w:t>Insider Letter</w:t>
      </w:r>
      <w:r>
        <w:rPr>
          <w:rFonts w:ascii="Times New Roman" w:cs="Times New Roman" w:eastAsia="Times New Roman" w:hAnsi="Times New Roman"/>
          <w:sz w:val="15"/>
          <w:szCs w:val="15"/>
          <w:color w:val="auto"/>
        </w:rPr>
        <w:t>. The Company shall not take any action or omit to take any action which would cause a breach of the Insider Letter and will not allow any amendments to, or waivers of, such Insider Letter without the prior written consent of the Representative.</w:t>
      </w:r>
    </w:p>
    <w:p>
      <w:pPr>
        <w:spacing w:after="0" w:line="137" w:lineRule="exact"/>
        <w:rPr>
          <w:sz w:val="20"/>
          <w:szCs w:val="20"/>
          <w:color w:val="auto"/>
        </w:rPr>
      </w:pPr>
    </w:p>
    <w:p>
      <w:pPr>
        <w:ind w:right="20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7.4 </w:t>
      </w:r>
      <w:r>
        <w:rPr>
          <w:rFonts w:ascii="Times New Roman" w:cs="Times New Roman" w:eastAsia="Times New Roman" w:hAnsi="Times New Roman"/>
          <w:sz w:val="15"/>
          <w:szCs w:val="15"/>
          <w:u w:val="single" w:color="auto"/>
          <w:color w:val="auto"/>
        </w:rPr>
        <w:t>Tender Offer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Proxy, and Other Information</w:t>
      </w:r>
      <w:r>
        <w:rPr>
          <w:rFonts w:ascii="Times New Roman" w:cs="Times New Roman" w:eastAsia="Times New Roman" w:hAnsi="Times New Roman"/>
          <w:sz w:val="15"/>
          <w:szCs w:val="15"/>
          <w:color w:val="auto"/>
        </w:rPr>
        <w:t>. The Company shall provide the Representative or their counsel (if so instructed by the Representative) with copies of all tender offer documents or proxy information and all related material filed with the Commission in connection with a Business Combination concurrently with such filing with the Commission. Documents filed with the Commission pursuant to its EDGAR system shall be deemed to have been provided to the Representative pursuant to this Section.</w:t>
      </w:r>
    </w:p>
    <w:p>
      <w:pPr>
        <w:spacing w:after="0" w:line="156" w:lineRule="exact"/>
        <w:rPr>
          <w:sz w:val="20"/>
          <w:szCs w:val="20"/>
          <w:color w:val="auto"/>
        </w:rPr>
      </w:pPr>
    </w:p>
    <w:p>
      <w:pPr>
        <w:jc w:val="both"/>
        <w:ind w:right="20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7.5 </w:t>
      </w:r>
      <w:r>
        <w:rPr>
          <w:rFonts w:ascii="Times New Roman" w:cs="Times New Roman" w:eastAsia="Times New Roman" w:hAnsi="Times New Roman"/>
          <w:sz w:val="15"/>
          <w:szCs w:val="15"/>
          <w:u w:val="single" w:color="auto"/>
          <w:color w:val="auto"/>
        </w:rPr>
        <w:t>Rule 419</w:t>
      </w:r>
      <w:r>
        <w:rPr>
          <w:rFonts w:ascii="Times New Roman" w:cs="Times New Roman" w:eastAsia="Times New Roman" w:hAnsi="Times New Roman"/>
          <w:sz w:val="15"/>
          <w:szCs w:val="15"/>
          <w:color w:val="auto"/>
        </w:rPr>
        <w:t xml:space="preserve"> .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ectPr>
          <w:pgSz w:w="11900" w:h="16840" w:orient="portrait"/>
          <w:cols w:equalWidth="0" w:num="1">
            <w:col w:w="9680"/>
          </w:cols>
          <w:pgMar w:left="1120" w:top="689" w:right="1100" w:bottom="1440" w:gutter="0" w:footer="0" w:header="0"/>
        </w:sectPr>
      </w:pPr>
    </w:p>
    <w:bookmarkStart w:id="303" w:name="page304"/>
    <w:bookmarkEnd w:id="303"/>
    <w:p>
      <w:pPr>
        <w:ind w:right="20" w:firstLine="379"/>
        <w:spacing w:after="0" w:line="25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Section 7.6 </w:t>
      </w:r>
      <w:r>
        <w:rPr>
          <w:rFonts w:ascii="Times New Roman" w:cs="Times New Roman" w:eastAsia="Times New Roman" w:hAnsi="Times New Roman"/>
          <w:sz w:val="15"/>
          <w:szCs w:val="15"/>
          <w:u w:val="single" w:color="auto"/>
          <w:color w:val="auto"/>
        </w:rPr>
        <w:t>Target Fair Market Value</w:t>
      </w:r>
      <w:r>
        <w:rPr>
          <w:rFonts w:ascii="Times New Roman" w:cs="Times New Roman" w:eastAsia="Times New Roman" w:hAnsi="Times New Roman"/>
          <w:sz w:val="15"/>
          <w:szCs w:val="15"/>
          <w:color w:val="auto"/>
        </w:rPr>
        <w:t>. The Company agrees that the Target Business that it acquires must have a fair market value equal to at least 80% of the balance in the Trust Account (excluding any taxes payable) at the time of signing the definitive agreement for the Business Combination with such Target Business. The fair market value of such business must be determined by the Board of Directors of the Company based upon standards generally accepted by the financial community, such as actual and potential sales, earnings, cash flow and book value. If the Board of Directors of the Company is not able to independently determine that the target business meets such fair market value requirement, the Company will obtain an opinion from an unaffiliated, independent investment banking firm, or another independent entity that commonly renders valuation opinions on the type of target business the Company is seeking to acquire, with respect to the fair market value of the Target Business. The Company is not required to obtain such an opinion as to the fair market value if the Company’s Board of Directors independently determines that the Target Business does have sufficient fair market value.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REPRESENTATIONS AND AGREEMENTS TO SURVIVE DELIVERY</w:t>
      </w:r>
    </w:p>
    <w:p>
      <w:pPr>
        <w:spacing w:after="0" w:line="179" w:lineRule="exact"/>
        <w:rPr>
          <w:sz w:val="20"/>
          <w:szCs w:val="20"/>
          <w:color w:val="auto"/>
        </w:rPr>
      </w:pPr>
    </w:p>
    <w:p>
      <w:pPr>
        <w:ind w:right="20" w:firstLine="379"/>
        <w:spacing w:after="0" w:line="253" w:lineRule="auto"/>
        <w:rPr>
          <w:sz w:val="20"/>
          <w:szCs w:val="20"/>
          <w:color w:val="auto"/>
        </w:rPr>
      </w:pPr>
      <w:r>
        <w:rPr>
          <w:rFonts w:ascii="Times New Roman" w:cs="Times New Roman" w:eastAsia="Times New Roman" w:hAnsi="Times New Roman"/>
          <w:sz w:val="15"/>
          <w:szCs w:val="15"/>
          <w:color w:val="auto"/>
        </w:rPr>
        <w:t xml:space="preserve">Section 8.1 Except as the context otherwise requires, all representations, warranties, and agreements contained in this Agreement shall be deemed to be representations, warranties, and agreements at the Closing Date or Option Closing Date, as applicable, and such representations, warranties, and agreements of the Underwriters and Company, including the indemnity agreements contained in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Public Securities to the several Underwriters until the earlier of the expiration of any applicable statute of limitations and the seventh (7th) anniversary of the Closing Date, at which time the representations, warranties and agreements shall terminate and be of no further force and effect.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EFFECTIVE DATE OF THIS AGREEMENT AND TERMINATION THEREOF</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right="16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9.1 </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This Agreement shall become effective on the Effective Date at the time the Registration Statement is declared effective by the Commission.</w:t>
      </w:r>
    </w:p>
    <w:p>
      <w:pPr>
        <w:spacing w:after="0" w:line="137" w:lineRule="exact"/>
        <w:rPr>
          <w:sz w:val="20"/>
          <w:szCs w:val="20"/>
          <w:color w:val="auto"/>
        </w:rPr>
      </w:pPr>
    </w:p>
    <w:p>
      <w:pPr>
        <w:ind w:firstLine="379"/>
        <w:spacing w:after="0" w:line="252" w:lineRule="auto"/>
        <w:rPr>
          <w:sz w:val="20"/>
          <w:szCs w:val="20"/>
          <w:color w:val="auto"/>
        </w:rPr>
      </w:pPr>
      <w:r>
        <w:rPr>
          <w:rFonts w:ascii="Times New Roman" w:cs="Times New Roman" w:eastAsia="Times New Roman" w:hAnsi="Times New Roman"/>
          <w:sz w:val="15"/>
          <w:szCs w:val="15"/>
          <w:color w:val="auto"/>
        </w:rPr>
        <w:t xml:space="preserve">Section 9.2 </w:t>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The Representative shall have the right to terminate this Agreement at any time prior to the Closing Date: (i) if any domestic or international event or act or occurrence has materially disrupted or, in the Representative’s sole opinion, will in the immediate future materially disrupt, general securities markets in the United States; or (ii) if trading on the NYSE, the NYSE American LLC, the Nasdaq Global Market, the Nasdaq Stock Market or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increase in existing major hostilities, or (iv) if a banking moratorium has been declared by a New York State or federal authority, or (v) if a moratorium on foreign exchange trading has been declared which materially adversely impacts the United States securities market, or (vi) if the</w:t>
      </w:r>
    </w:p>
    <w:p>
      <w:pPr>
        <w:sectPr>
          <w:pgSz w:w="11900" w:h="16840" w:orient="portrait"/>
          <w:cols w:equalWidth="0" w:num="1">
            <w:col w:w="9640"/>
          </w:cols>
          <w:pgMar w:left="1120" w:top="689" w:right="1140" w:bottom="1440" w:gutter="0" w:footer="0" w:header="0"/>
        </w:sectPr>
      </w:pPr>
    </w:p>
    <w:bookmarkStart w:id="304" w:name="page305"/>
    <w:bookmarkEnd w:id="304"/>
    <w:p>
      <w:pPr>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6749415" cy="35560"/>
                    </a:xfrm>
                    <a:prstGeom prst="rect">
                      <a:avLst/>
                    </a:prstGeom>
                    <a:noFill/>
                  </pic:spPr>
                </pic:pic>
              </a:graphicData>
            </a:graphic>
          </wp:anchor>
        </w:drawing>
        <w:t>Company shall have sustained a material loss by fire, flood, accident, hurricane, earthquake, theft, sabotage or other calamity (including, without limitation, a calamity relating to a public health matter or natural disaster) or malicious act which, whether or not such loss shall have been insured, will, in the Representative’s sole opinion, make it inadvisable to proceed with the delivery of the Public Securities, (vii) if any of the Company’s representations, warranties or covenants hereunder are materially breached, or (viii) if the Representative shall have become aware after the date hereof of a Material Adverse Effect on the Company, or such adverse material change in general market conditions, including, without limitation, as a result of terrorist activities after the date hereof, as in the Representative’s sole judgment would make it impracticable to proceed with the offering, sale and/or delivery of the Public Securities or to enforce contracts made by the Representative for the sale of the Public Securities.</w:t>
      </w:r>
    </w:p>
    <w:p>
      <w:pPr>
        <w:spacing w:after="0" w:line="160" w:lineRule="exact"/>
        <w:rPr>
          <w:sz w:val="20"/>
          <w:szCs w:val="20"/>
          <w:color w:val="auto"/>
        </w:rPr>
      </w:pPr>
    </w:p>
    <w:p>
      <w:pPr>
        <w:ind w:right="2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9.3 </w:t>
      </w:r>
      <w:r>
        <w:rPr>
          <w:rFonts w:ascii="Times New Roman" w:cs="Times New Roman" w:eastAsia="Times New Roman" w:hAnsi="Times New Roman"/>
          <w:sz w:val="15"/>
          <w:szCs w:val="15"/>
          <w:u w:val="single" w:color="auto"/>
          <w:color w:val="auto"/>
        </w:rPr>
        <w:t>Expenses</w:t>
      </w:r>
      <w:r>
        <w:rPr>
          <w:rFonts w:ascii="Times New Roman" w:cs="Times New Roman" w:eastAsia="Times New Roman" w:hAnsi="Times New Roman"/>
          <w:sz w:val="15"/>
          <w:szCs w:val="15"/>
          <w:color w:val="auto"/>
        </w:rPr>
        <w:t xml:space="preserve">. In the event that the Offering is not consummated for any reason whatsoever, within the time specified herein or any extensions thereof pursuant to the terms herein, (i) the obligations of the Company to pay the out-of-pocket expenses related to the transactions contemplated herein shall be governed by </w:t>
      </w:r>
      <w:r>
        <w:rPr>
          <w:rFonts w:ascii="Times New Roman" w:cs="Times New Roman" w:eastAsia="Times New Roman" w:hAnsi="Times New Roman"/>
          <w:sz w:val="15"/>
          <w:szCs w:val="15"/>
          <w:u w:val="single" w:color="auto"/>
          <w:color w:val="auto"/>
        </w:rPr>
        <w:t>Section 3.11</w:t>
      </w:r>
      <w:r>
        <w:rPr>
          <w:rFonts w:ascii="Times New Roman" w:cs="Times New Roman" w:eastAsia="Times New Roman" w:hAnsi="Times New Roman"/>
          <w:sz w:val="15"/>
          <w:szCs w:val="15"/>
          <w:color w:val="auto"/>
        </w:rPr>
        <w:t xml:space="preserve"> hereof and (ii) the Company shall reimburse the Representative for any costs and expenses incurred in connection with enforcing any provisions of this Agreement.</w:t>
      </w:r>
    </w:p>
    <w:p>
      <w:pPr>
        <w:spacing w:after="0" w:line="156" w:lineRule="exact"/>
        <w:rPr>
          <w:sz w:val="20"/>
          <w:szCs w:val="20"/>
          <w:color w:val="auto"/>
        </w:rPr>
      </w:pPr>
    </w:p>
    <w:p>
      <w:pPr>
        <w:ind w:right="16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9.4 </w:t>
      </w:r>
      <w:r>
        <w:rPr>
          <w:rFonts w:ascii="Times New Roman" w:cs="Times New Roman" w:eastAsia="Times New Roman" w:hAnsi="Times New Roman"/>
          <w:sz w:val="15"/>
          <w:szCs w:val="15"/>
          <w:u w:val="single" w:color="auto"/>
          <w:color w:val="auto"/>
        </w:rPr>
        <w:t>Indemnification</w:t>
      </w:r>
      <w:r>
        <w:rPr>
          <w:rFonts w:ascii="Times New Roman" w:cs="Times New Roman" w:eastAsia="Times New Roman" w:hAnsi="Times New Roman"/>
          <w:sz w:val="15"/>
          <w:szCs w:val="15"/>
          <w:color w:val="auto"/>
        </w:rPr>
        <w:t xml:space="preserve">. Notwithstanding any contrary provision contained in this Agreement, any election hereunder or any termination of this Agreement, and whether or not this Agreement is otherwise carried out, the provisions of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xml:space="preserve"> shall not be in any way effected by, such election or termination or failure to carry out the terms of this Agreement or any part hereof.</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MISCELLANEOUS</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ind w:right="4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10.1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communications hereunder, except as herein otherwise specifically provided, shall be in writing and shall be mailed by certified mail (with return receipt), delivered by hand or reputable overnight courier, delivered by facsimile transmission (with printed confirmation of receipt) and confirmed, or by electronic transmission via PDF and shall be deemed given when so mailed, delivered, faxed, or transmitted (or if mailed, five days after such mailing):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to the Representative, to: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 Boral Capital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590 Madison Avenue</w:t>
      </w:r>
    </w:p>
    <w:p>
      <w:pPr>
        <w:spacing w:after="0" w:line="181" w:lineRule="auto"/>
        <w:rPr>
          <w:sz w:val="20"/>
          <w:szCs w:val="20"/>
          <w:color w:val="auto"/>
        </w:rPr>
      </w:pPr>
      <w:r>
        <w:rPr>
          <w:rFonts w:ascii="Times New Roman" w:cs="Times New Roman" w:eastAsia="Times New Roman" w:hAnsi="Times New Roman"/>
          <w:sz w:val="14"/>
          <w:szCs w:val="14"/>
          <w:color w:val="auto"/>
        </w:rPr>
        <w:t>39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Syndicate Department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dbccapitalmarkets@dboralcapital.com</w:t>
      </w:r>
    </w:p>
    <w:p>
      <w:pPr>
        <w:sectPr>
          <w:pgSz w:w="11900" w:h="16840" w:orient="portrait"/>
          <w:cols w:equalWidth="0" w:num="1">
            <w:col w:w="9640"/>
          </w:cols>
          <w:pgMar w:left="1120" w:top="689" w:right="11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6749415" cy="35560"/>
                    </a:xfrm>
                    <a:prstGeom prst="rect">
                      <a:avLst/>
                    </a:prstGeom>
                    <a:noFill/>
                  </pic:spPr>
                </pic:pic>
              </a:graphicData>
            </a:graphic>
          </wp:anchor>
        </w:drawing>
        <w:t>With a copy (which shall not constitute notice) to: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Ellenoff Grossman &amp; Schole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1345 Avenue of the Americas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10105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Stuart Neuhauser, Esq.</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(212) 370-1300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AAin@egsllp.com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to the Company, to: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GigCapital8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1731 Embarcadero Rd., Suite 200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Palo Alto, CA 94303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(650) 276-7040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Dr. Avi S. Katz, Chief Executive Officer and Chairman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Avi@gigcapitalglobal.com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DLA Piper LLP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555 Mission Street, Suite 2400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Francisco, CA 94105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(415) 615-6095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Jeffrey C. Selman, Esq.</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Jeffrey.Selman@us.dlapiper.com</w:t>
      </w:r>
    </w:p>
    <w:p>
      <w:pPr>
        <w:spacing w:after="0" w:line="179" w:lineRule="exact"/>
        <w:rPr>
          <w:sz w:val="20"/>
          <w:szCs w:val="20"/>
          <w:color w:val="auto"/>
        </w:rPr>
      </w:pPr>
    </w:p>
    <w:p>
      <w:pPr>
        <w:jc w:val="both"/>
        <w:ind w:right="20" w:firstLine="379"/>
        <w:spacing w:after="0" w:line="284" w:lineRule="auto"/>
        <w:rPr>
          <w:sz w:val="20"/>
          <w:szCs w:val="20"/>
          <w:color w:val="auto"/>
        </w:rPr>
      </w:pPr>
      <w:r>
        <w:rPr>
          <w:rFonts w:ascii="Times New Roman" w:cs="Times New Roman" w:eastAsia="Times New Roman" w:hAnsi="Times New Roman"/>
          <w:sz w:val="15"/>
          <w:szCs w:val="15"/>
          <w:color w:val="auto"/>
        </w:rPr>
        <w:t xml:space="preserve">Section 10.2 </w:t>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contained herein are for the sole purpose of convenience of reference, and shall not in any way limit or affect the meaning or interpretation of any of the terms or provisions of this Agreement.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10.3 </w:t>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This Agreement may only be amended by a written instrument executed by each of the parties hereto.</w:t>
      </w:r>
    </w:p>
    <w:p>
      <w:pPr>
        <w:spacing w:after="0" w:line="195" w:lineRule="exact"/>
        <w:rPr>
          <w:sz w:val="20"/>
          <w:szCs w:val="20"/>
          <w:color w:val="auto"/>
        </w:rPr>
      </w:pPr>
    </w:p>
    <w:p>
      <w:pPr>
        <w:jc w:val="both"/>
        <w:ind w:right="20" w:firstLine="379"/>
        <w:spacing w:after="0" w:line="265" w:lineRule="auto"/>
        <w:rPr>
          <w:sz w:val="20"/>
          <w:szCs w:val="20"/>
          <w:color w:val="auto"/>
        </w:rPr>
      </w:pPr>
      <w:r>
        <w:rPr>
          <w:rFonts w:ascii="Times New Roman" w:cs="Times New Roman" w:eastAsia="Times New Roman" w:hAnsi="Times New Roman"/>
          <w:sz w:val="15"/>
          <w:szCs w:val="15"/>
          <w:color w:val="auto"/>
        </w:rPr>
        <w:t xml:space="preserve">Section 10.4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xml:space="preserve"> .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51" w:lineRule="exact"/>
        <w:rPr>
          <w:sz w:val="20"/>
          <w:szCs w:val="20"/>
          <w:color w:val="auto"/>
        </w:rPr>
      </w:pPr>
    </w:p>
    <w:p>
      <w:pPr>
        <w:ind w:right="80" w:firstLine="379"/>
        <w:spacing w:after="0" w:line="259" w:lineRule="auto"/>
        <w:rPr>
          <w:sz w:val="20"/>
          <w:szCs w:val="20"/>
          <w:color w:val="auto"/>
        </w:rPr>
      </w:pPr>
      <w:r>
        <w:rPr>
          <w:rFonts w:ascii="Times New Roman" w:cs="Times New Roman" w:eastAsia="Times New Roman" w:hAnsi="Times New Roman"/>
          <w:sz w:val="15"/>
          <w:szCs w:val="15"/>
          <w:color w:val="auto"/>
        </w:rPr>
        <w:t xml:space="preserve">Section 10.5 </w:t>
      </w:r>
      <w:r>
        <w:rPr>
          <w:rFonts w:ascii="Times New Roman" w:cs="Times New Roman" w:eastAsia="Times New Roman" w:hAnsi="Times New Roman"/>
          <w:sz w:val="15"/>
          <w:szCs w:val="15"/>
          <w:u w:val="single" w:color="auto"/>
          <w:color w:val="auto"/>
        </w:rPr>
        <w:t>Binding Effect</w:t>
      </w:r>
      <w:r>
        <w:rPr>
          <w:rFonts w:ascii="Times New Roman" w:cs="Times New Roman" w:eastAsia="Times New Roman" w:hAnsi="Times New Roman"/>
          <w:sz w:val="15"/>
          <w:szCs w:val="15"/>
          <w:color w:val="auto"/>
        </w:rPr>
        <w:t xml:space="preserve">. This Agreement shall inure solely to the benefit of and shall be binding upon the Underwriters and the Company and the controlling persons, partners, directors, officers, employees, members, agents and affiliates referred to in </w:t>
      </w: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56" w:lineRule="exact"/>
        <w:rPr>
          <w:sz w:val="20"/>
          <w:szCs w:val="20"/>
          <w:color w:val="auto"/>
        </w:rPr>
      </w:pPr>
    </w:p>
    <w:p>
      <w:pPr>
        <w:ind w:firstLine="379"/>
        <w:spacing w:after="0" w:line="262" w:lineRule="auto"/>
        <w:rPr>
          <w:sz w:val="20"/>
          <w:szCs w:val="20"/>
          <w:color w:val="auto"/>
        </w:rPr>
      </w:pPr>
      <w:r>
        <w:rPr>
          <w:rFonts w:ascii="Times New Roman" w:cs="Times New Roman" w:eastAsia="Times New Roman" w:hAnsi="Times New Roman"/>
          <w:sz w:val="15"/>
          <w:szCs w:val="15"/>
          <w:color w:val="auto"/>
        </w:rPr>
        <w:t xml:space="preserve">Section 10.6 </w:t>
      </w:r>
      <w:r>
        <w:rPr>
          <w:rFonts w:ascii="Times New Roman" w:cs="Times New Roman" w:eastAsia="Times New Roman" w:hAnsi="Times New Roman"/>
          <w:sz w:val="15"/>
          <w:szCs w:val="15"/>
          <w:u w:val="single" w:color="auto"/>
          <w:color w:val="auto"/>
        </w:rPr>
        <w:t>Governing Law, Venue, etc</w:t>
      </w:r>
      <w:r>
        <w:rPr>
          <w:rFonts w:ascii="Times New Roman" w:cs="Times New Roman" w:eastAsia="Times New Roman" w:hAnsi="Times New Roman"/>
          <w:sz w:val="15"/>
          <w:szCs w:val="15"/>
          <w:color w:val="auto"/>
        </w:rPr>
        <w:t>. This Agreement shall be governed by and construed and enforced in accordance with the laws of the State of New York, without giving effect to the conflict of laws principles thereof. Each of the Company and the Representative hereby agrees that any action, proceeding, or claim against it arising out of or relating in any way to this Agreement shall be brought and enforced in the courts of the State of New York, New</w:t>
      </w:r>
    </w:p>
    <w:p>
      <w:pPr>
        <w:sectPr>
          <w:pgSz w:w="11900" w:h="16840" w:orient="portrait"/>
          <w:cols w:equalWidth="0" w:num="1">
            <w:col w:w="9660"/>
          </w:cols>
          <w:pgMar w:left="1120" w:top="689" w:right="1120" w:bottom="1440" w:gutter="0" w:footer="0" w:header="0"/>
        </w:sectPr>
      </w:pPr>
    </w:p>
    <w:bookmarkStart w:id="306" w:name="page307"/>
    <w:bookmarkEnd w:id="306"/>
    <w:p>
      <w:pPr>
        <w:ind w:right="20"/>
        <w:spacing w:after="0" w:line="25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York County under the accelerated adjudication procedures of the Commercial Division, or in the United States District Court for the Southern District of New York, as applicable, and irrevocably submits to such jurisdiction, which jurisdiction shall be exclusive. Each of the Company and the Representative hereby waives any objection to such exclusive jurisdiction and that such courts represent an inconvenient forum. Any such process or summons to be served upon any of the Company or the Representative, respectively, may be served by transmitting a copy thereof by registered or certified mail, return receipt requested, postage prepaid, addressed to it at the address set forth in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xml:space="preserve"> hereof. Such mailing shall be deemed personal service and shall be legal and binding upon the Company or the Representative, respectively, in any action, proceeding, or claim. Each of the Company and the Representative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62" w:lineRule="exact"/>
        <w:rPr>
          <w:sz w:val="20"/>
          <w:szCs w:val="20"/>
          <w:color w:val="auto"/>
        </w:rPr>
      </w:pPr>
    </w:p>
    <w:p>
      <w:pPr>
        <w:ind w:firstLine="379"/>
        <w:spacing w:after="0" w:line="251" w:lineRule="auto"/>
        <w:rPr>
          <w:sz w:val="20"/>
          <w:szCs w:val="20"/>
          <w:color w:val="auto"/>
        </w:rPr>
      </w:pPr>
      <w:r>
        <w:rPr>
          <w:rFonts w:ascii="Times New Roman" w:cs="Times New Roman" w:eastAsia="Times New Roman" w:hAnsi="Times New Roman"/>
          <w:sz w:val="15"/>
          <w:szCs w:val="15"/>
          <w:color w:val="auto"/>
        </w:rPr>
        <w:t xml:space="preserve">Section 10.7 </w:t>
      </w:r>
      <w:r>
        <w:rPr>
          <w:rFonts w:ascii="Times New Roman" w:cs="Times New Roman" w:eastAsia="Times New Roman" w:hAnsi="Times New Roman"/>
          <w:sz w:val="15"/>
          <w:szCs w:val="15"/>
          <w:u w:val="single" w:color="auto"/>
          <w:color w:val="auto"/>
        </w:rPr>
        <w:t>Execution in Counterparts; Electronic Signatures</w:t>
      </w:r>
      <w:r>
        <w:rPr>
          <w:rFonts w:ascii="Times New Roman" w:cs="Times New Roman" w:eastAsia="Times New Roman" w:hAnsi="Times New Roman"/>
          <w:sz w:val="15"/>
          <w:szCs w:val="15"/>
          <w:color w:val="auto"/>
        </w:rPr>
        <w:t>. This Agreement may be executed in counterparts, each of which when so executed shall be deemed to be an original and all of which when taken together shall constitute one and the same instrument. The words “execution,” signed,” “signature,” and words of like import in this Agreement or in any other certificate, agreement or document related to this Agreement or the other Transaction Documents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 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343" w:lineRule="exact"/>
        <w:rPr>
          <w:sz w:val="20"/>
          <w:szCs w:val="20"/>
          <w:color w:val="auto"/>
        </w:rPr>
      </w:pPr>
    </w:p>
    <w:p>
      <w:pPr>
        <w:ind w:right="60" w:firstLine="379"/>
        <w:spacing w:after="0" w:line="254" w:lineRule="auto"/>
        <w:rPr>
          <w:sz w:val="20"/>
          <w:szCs w:val="20"/>
          <w:color w:val="auto"/>
        </w:rPr>
      </w:pPr>
      <w:r>
        <w:rPr>
          <w:rFonts w:ascii="Times New Roman" w:cs="Times New Roman" w:eastAsia="Times New Roman" w:hAnsi="Times New Roman"/>
          <w:sz w:val="15"/>
          <w:szCs w:val="15"/>
          <w:color w:val="auto"/>
        </w:rPr>
        <w:t xml:space="preserve">Section 10.8 </w:t>
      </w:r>
      <w:r>
        <w:rPr>
          <w:rFonts w:ascii="Times New Roman" w:cs="Times New Roman" w:eastAsia="Times New Roman" w:hAnsi="Times New Roman"/>
          <w:sz w:val="15"/>
          <w:szCs w:val="15"/>
          <w:u w:val="single" w:color="auto"/>
          <w:color w:val="auto"/>
        </w:rPr>
        <w:t>Waiver, etc</w:t>
      </w:r>
      <w:r>
        <w:rPr>
          <w:rFonts w:ascii="Times New Roman" w:cs="Times New Roman" w:eastAsia="Times New Roman" w:hAnsi="Times New Roman"/>
          <w:sz w:val="15"/>
          <w:szCs w:val="15"/>
          <w:color w:val="auto"/>
        </w:rPr>
        <w:t>. The failure of any of the parties hereto to at any time enforce any of the provisions of this Agreement shall not be deemed or construed to be a waiver of any such provision, nor to in any way affect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60" w:lineRule="exact"/>
        <w:rPr>
          <w:sz w:val="20"/>
          <w:szCs w:val="20"/>
          <w:color w:val="auto"/>
        </w:rPr>
      </w:pPr>
    </w:p>
    <w:p>
      <w:pPr>
        <w:ind w:right="40" w:firstLine="379"/>
        <w:spacing w:after="0" w:line="256" w:lineRule="auto"/>
        <w:rPr>
          <w:sz w:val="20"/>
          <w:szCs w:val="20"/>
          <w:color w:val="auto"/>
        </w:rPr>
      </w:pPr>
      <w:r>
        <w:rPr>
          <w:rFonts w:ascii="Times New Roman" w:cs="Times New Roman" w:eastAsia="Times New Roman" w:hAnsi="Times New Roman"/>
          <w:sz w:val="15"/>
          <w:szCs w:val="15"/>
          <w:color w:val="auto"/>
        </w:rPr>
        <w:t xml:space="preserve">Section 10.9 </w:t>
      </w:r>
      <w:r>
        <w:rPr>
          <w:rFonts w:ascii="Times New Roman" w:cs="Times New Roman" w:eastAsia="Times New Roman" w:hAnsi="Times New Roman"/>
          <w:sz w:val="15"/>
          <w:szCs w:val="15"/>
          <w:u w:val="single" w:color="auto"/>
          <w:color w:val="auto"/>
        </w:rPr>
        <w:t>No Fiduciary Relationship</w:t>
      </w:r>
      <w:r>
        <w:rPr>
          <w:rFonts w:ascii="Times New Roman" w:cs="Times New Roman" w:eastAsia="Times New Roman" w:hAnsi="Times New Roman"/>
          <w:sz w:val="15"/>
          <w:szCs w:val="15"/>
          <w:color w:val="auto"/>
        </w:rPr>
        <w:t>. The Company hereby acknowledges that the Underwriters are acting solely as underwriters in connection with the offering of the Public Securities. The Company further acknowledges that the Underwriters are acting pursuant to a contractual relationship created solely by this Agreement entered into on an arm’s length basis and in no event do the parties intend that the Underwriters act or be responsible as a fiduciary to the Company, its management, shareholders, creditors or any other person in connection with any activity that the Underwriters may undertake or have undertaken in furtherance of the</w:t>
      </w:r>
    </w:p>
    <w:p>
      <w:pPr>
        <w:sectPr>
          <w:pgSz w:w="11900" w:h="16840" w:orient="portrait"/>
          <w:cols w:equalWidth="0" w:num="1">
            <w:col w:w="9680"/>
          </w:cols>
          <w:pgMar w:left="1120" w:top="689" w:right="1100" w:bottom="1440" w:gutter="0" w:footer="0" w:header="0"/>
        </w:sectPr>
      </w:pPr>
    </w:p>
    <w:bookmarkStart w:id="307" w:name="page308"/>
    <w:bookmarkEnd w:id="307"/>
    <w:p>
      <w:pPr>
        <w:spacing w:after="0" w:line="25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6749415" cy="35560"/>
                    </a:xfrm>
                    <a:prstGeom prst="rect">
                      <a:avLst/>
                    </a:prstGeom>
                    <a:noFill/>
                  </pic:spPr>
                </pic:pic>
              </a:graphicData>
            </a:graphic>
          </wp:anchor>
        </w:drawing>
        <w:t>offering of the Public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Public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Follows]</w:t>
      </w:r>
    </w:p>
    <w:p>
      <w:pPr>
        <w:sectPr>
          <w:pgSz w:w="11900" w:h="16840" w:orient="portrait"/>
          <w:cols w:equalWidth="0" w:num="1">
            <w:col w:w="9660"/>
          </w:cols>
          <w:pgMar w:left="1120" w:top="689" w:right="1120" w:bottom="1440" w:gutter="0" w:footer="0" w:header="0"/>
        </w:sectPr>
      </w:pPr>
    </w:p>
    <w:bookmarkStart w:id="308" w:name="page309"/>
    <w:bookmarkEnd w:id="308"/>
    <w:p>
      <w:pPr>
        <w:ind w:firstLine="379"/>
        <w:spacing w:after="0" w:line="28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6749415" cy="35560"/>
                    </a:xfrm>
                    <a:prstGeom prst="rect">
                      <a:avLst/>
                    </a:prstGeom>
                    <a:noFill/>
                  </pic:spPr>
                </pic:pic>
              </a:graphicData>
            </a:graphic>
          </wp:anchor>
        </w:drawing>
        <w:t>If the foregoing correctly sets forth the understanding between the Underwriters and the Company, please so indicate in the space provided below for that purpose, whereupon this instrument shall constitute a binding agreement between us.</w:t>
      </w:r>
    </w:p>
    <w:p>
      <w:pPr>
        <w:spacing w:after="0" w:line="17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19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10160</wp:posOffset>
            </wp:positionV>
            <wp:extent cx="224917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2249170" cy="7620"/>
                    </a:xfrm>
                    <a:prstGeom prst="rect">
                      <a:avLst/>
                    </a:prstGeom>
                    <a:noFill/>
                  </pic:spPr>
                </pic:pic>
              </a:graphicData>
            </a:graphic>
          </wp:anchor>
        </w:drawing>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5"/>
          <w:szCs w:val="15"/>
          <w:color w:val="auto"/>
        </w:rPr>
        <w:t>Name: Dr. Avi S. Katz</w:t>
      </w:r>
    </w:p>
    <w:p>
      <w:pPr>
        <w:spacing w:after="0" w:line="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5"/>
          <w:szCs w:val="15"/>
          <w:color w:val="auto"/>
        </w:rPr>
        <w:t>Title: Chief Executive Officer and Chairman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Agreed to and accepted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 of the date first written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 BORAL CAPITAL, LLC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10160</wp:posOffset>
            </wp:positionV>
            <wp:extent cx="224917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2249170" cy="762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Title:</w:t>
      </w:r>
    </w:p>
    <w:p>
      <w:pPr>
        <w:sectPr>
          <w:pgSz w:w="11900" w:h="16840" w:orient="portrait"/>
          <w:cols w:equalWidth="0" w:num="1">
            <w:col w:w="9560"/>
          </w:cols>
          <w:pgMar w:left="1120" w:top="689" w:right="1220"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72"/>
        </w:trPr>
        <w:tc>
          <w:tcPr>
            <w:tcW w:w="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320" w:type="dxa"/>
            <w:vAlign w:val="bottom"/>
            <w:gridSpan w:val="4"/>
          </w:tcPr>
          <w:p>
            <w:pPr>
              <w:jc w:val="center"/>
              <w:ind w:right="4340"/>
              <w:spacing w:after="0"/>
              <w:rPr>
                <w:sz w:val="20"/>
                <w:szCs w:val="20"/>
                <w:color w:val="auto"/>
              </w:rPr>
            </w:pPr>
            <w:r>
              <w:rPr>
                <w:rFonts w:ascii="Times New Roman" w:cs="Times New Roman" w:eastAsia="Times New Roman" w:hAnsi="Times New Roman"/>
                <w:sz w:val="15"/>
                <w:szCs w:val="15"/>
                <w:b w:val="1"/>
                <w:bCs w:val="1"/>
                <w:color w:val="auto"/>
              </w:rPr>
              <w:t>SCHEDULE A</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980" w:type="dxa"/>
            <w:vAlign w:val="bottom"/>
            <w:gridSpan w:val="5"/>
          </w:tcPr>
          <w:p>
            <w:pPr>
              <w:jc w:val="center"/>
              <w:ind w:right="2680"/>
              <w:spacing w:after="0"/>
              <w:rPr>
                <w:sz w:val="20"/>
                <w:szCs w:val="20"/>
                <w:color w:val="auto"/>
              </w:rPr>
            </w:pPr>
            <w:r>
              <w:rPr>
                <w:rFonts w:ascii="Times New Roman" w:cs="Times New Roman" w:eastAsia="Times New Roman" w:hAnsi="Times New Roman"/>
                <w:sz w:val="15"/>
                <w:szCs w:val="15"/>
                <w:b w:val="1"/>
                <w:bCs w:val="1"/>
                <w:color w:val="auto"/>
              </w:rPr>
              <w:t>GIGCAPITAL8 CORP.</w:t>
            </w:r>
          </w:p>
        </w:tc>
        <w:tc>
          <w:tcPr>
            <w:tcW w:w="0" w:type="dxa"/>
            <w:vAlign w:val="bottom"/>
          </w:tcPr>
          <w:p>
            <w:pPr>
              <w:spacing w:after="0"/>
              <w:rPr>
                <w:sz w:val="1"/>
                <w:szCs w:val="1"/>
                <w:color w:val="auto"/>
              </w:rPr>
            </w:pPr>
          </w:p>
        </w:tc>
      </w:tr>
      <w:tr>
        <w:trPr>
          <w:trHeight w:val="367"/>
        </w:trPr>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980" w:type="dxa"/>
            <w:vAlign w:val="bottom"/>
            <w:gridSpan w:val="5"/>
          </w:tcPr>
          <w:p>
            <w:pPr>
              <w:jc w:val="center"/>
              <w:ind w:right="2680"/>
              <w:spacing w:after="0"/>
              <w:rPr>
                <w:sz w:val="20"/>
                <w:szCs w:val="20"/>
                <w:color w:val="auto"/>
              </w:rPr>
            </w:pPr>
            <w:r>
              <w:rPr>
                <w:rFonts w:ascii="Times New Roman" w:cs="Times New Roman" w:eastAsia="Times New Roman" w:hAnsi="Times New Roman"/>
                <w:sz w:val="15"/>
                <w:szCs w:val="15"/>
                <w:b w:val="1"/>
                <w:bCs w:val="1"/>
                <w:color w:val="auto"/>
              </w:rPr>
              <w:t>22,000,000 Firm Units</w:t>
            </w:r>
          </w:p>
        </w:tc>
        <w:tc>
          <w:tcPr>
            <w:tcW w:w="0" w:type="dxa"/>
            <w:vAlign w:val="bottom"/>
          </w:tcPr>
          <w:p>
            <w:pPr>
              <w:spacing w:after="0"/>
              <w:rPr>
                <w:sz w:val="1"/>
                <w:szCs w:val="1"/>
                <w:color w:val="auto"/>
              </w:rPr>
            </w:pPr>
          </w:p>
        </w:tc>
      </w:tr>
      <w:tr>
        <w:trPr>
          <w:trHeight w:val="355"/>
        </w:trPr>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0" w:type="dxa"/>
            <w:vAlign w:val="bottom"/>
          </w:tcPr>
          <w:p>
            <w:pPr>
              <w:spacing w:after="0"/>
              <w:rPr>
                <w:sz w:val="1"/>
                <w:szCs w:val="1"/>
                <w:color w:val="auto"/>
              </w:rPr>
            </w:pPr>
          </w:p>
        </w:tc>
      </w:tr>
      <w:tr>
        <w:trPr>
          <w:trHeight w:val="154"/>
        </w:trPr>
        <w:tc>
          <w:tcPr>
            <w:tcW w:w="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Firm Units</w:t>
            </w:r>
          </w:p>
        </w:tc>
        <w:tc>
          <w:tcPr>
            <w:tcW w:w="0" w:type="dxa"/>
            <w:vAlign w:val="bottom"/>
          </w:tcPr>
          <w:p>
            <w:pPr>
              <w:spacing w:after="0"/>
              <w:rPr>
                <w:sz w:val="1"/>
                <w:szCs w:val="1"/>
                <w:color w:val="auto"/>
              </w:rPr>
            </w:pPr>
          </w:p>
        </w:tc>
      </w:tr>
      <w:tr>
        <w:trPr>
          <w:trHeight w:val="154"/>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1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to be</w:t>
            </w:r>
          </w:p>
        </w:tc>
        <w:tc>
          <w:tcPr>
            <w:tcW w:w="0" w:type="dxa"/>
            <w:vAlign w:val="bottom"/>
          </w:tcPr>
          <w:p>
            <w:pPr>
              <w:spacing w:after="0"/>
              <w:rPr>
                <w:sz w:val="1"/>
                <w:szCs w:val="1"/>
                <w:color w:val="auto"/>
              </w:rPr>
            </w:pPr>
          </w:p>
        </w:tc>
      </w:tr>
      <w:tr>
        <w:trPr>
          <w:trHeight w:val="156"/>
        </w:trPr>
        <w:tc>
          <w:tcPr>
            <w:tcW w:w="2680" w:type="dxa"/>
            <w:vAlign w:val="bottom"/>
            <w:gridSpan w:val="2"/>
            <w:vMerge w:val="continue"/>
          </w:tcPr>
          <w:p>
            <w:pPr>
              <w:spacing w:after="0"/>
              <w:rPr>
                <w:sz w:val="13"/>
                <w:szCs w:val="13"/>
                <w:color w:val="auto"/>
              </w:rPr>
            </w:pPr>
          </w:p>
        </w:tc>
        <w:tc>
          <w:tcPr>
            <w:tcW w:w="1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8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D. Boral Capital LLC</w:t>
            </w:r>
          </w:p>
        </w:tc>
        <w:tc>
          <w:tcPr>
            <w:tcW w:w="16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6940" w:type="dxa"/>
            <w:vAlign w:val="bottom"/>
            <w:gridSpan w:val="4"/>
          </w:tcPr>
          <w:p>
            <w:pPr>
              <w:jc w:val="center"/>
              <w:ind w:left="6143"/>
              <w:spacing w:after="0"/>
              <w:rPr>
                <w:sz w:val="20"/>
                <w:szCs w:val="20"/>
                <w:color w:val="auto"/>
              </w:rPr>
            </w:pPr>
            <w:r>
              <w:rPr>
                <w:rFonts w:ascii="Times New Roman" w:cs="Times New Roman" w:eastAsia="Times New Roman" w:hAnsi="Times New Roman"/>
                <w:sz w:val="15"/>
                <w:szCs w:val="15"/>
                <w:color w:val="auto"/>
              </w:rPr>
              <w:t>22,000,000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40" w:orient="portrait"/>
          <w:cols w:equalWidth="0" w:num="1">
            <w:col w:w="9660"/>
          </w:cols>
          <w:pgMar w:left="1120" w:top="681" w:right="1120" w:bottom="1440" w:gutter="0" w:footer="0" w:header="0"/>
        </w:sectPr>
      </w:pPr>
      <w:r>
        <w:rPr>
          <w:sz w:val="20"/>
          <w:szCs w:val="20"/>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6749415" cy="35560"/>
                    </a:xfrm>
                    <a:prstGeom prst="rect">
                      <a:avLst/>
                    </a:prstGeom>
                    <a:noFill/>
                  </pic:spPr>
                </pic:pic>
              </a:graphicData>
            </a:graphic>
          </wp:anchor>
        </w:drawing>
      </w:r>
    </w:p>
    <w:bookmarkStart w:id="310" w:name="page311"/>
    <w:bookmarkEnd w:id="310"/>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580" w:type="dxa"/>
            <w:vAlign w:val="bottom"/>
            <w:gridSpan w:val="2"/>
          </w:tcPr>
          <w:p>
            <w:pPr>
              <w:jc w:val="right"/>
              <w:ind w:right="3600"/>
              <w:spacing w:after="0"/>
              <w:rPr>
                <w:sz w:val="20"/>
                <w:szCs w:val="20"/>
                <w:color w:val="auto"/>
              </w:rPr>
            </w:pPr>
            <w:r>
              <w:rPr>
                <w:rFonts w:ascii="Times New Roman" w:cs="Times New Roman" w:eastAsia="Times New Roman" w:hAnsi="Times New Roman"/>
                <w:sz w:val="15"/>
                <w:szCs w:val="15"/>
                <w:b w:val="1"/>
                <w:bCs w:val="1"/>
                <w:color w:val="auto"/>
                <w:w w:val="99"/>
              </w:rPr>
              <w:t>SCHEDULE B</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060" w:type="dxa"/>
            <w:vAlign w:val="bottom"/>
            <w:gridSpan w:val="3"/>
          </w:tcPr>
          <w:p>
            <w:pPr>
              <w:jc w:val="right"/>
              <w:ind w:right="3240"/>
              <w:spacing w:after="0"/>
              <w:rPr>
                <w:sz w:val="20"/>
                <w:szCs w:val="20"/>
                <w:color w:val="auto"/>
              </w:rPr>
            </w:pPr>
            <w:r>
              <w:rPr>
                <w:rFonts w:ascii="Times New Roman" w:cs="Times New Roman" w:eastAsia="Times New Roman" w:hAnsi="Times New Roman"/>
                <w:sz w:val="15"/>
                <w:szCs w:val="15"/>
                <w:color w:val="auto"/>
              </w:rPr>
              <w:t>Pricing Disclosure Package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Number of Firm Units:</w:t>
            </w: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22,000,000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Number of Option Units:</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3,300,000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Public Offering Price per Firm Unit:</w:t>
            </w:r>
          </w:p>
        </w:tc>
        <w:tc>
          <w:tcPr>
            <w:tcW w:w="5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Public Offering Price per Option Unit:</w:t>
            </w:r>
          </w:p>
        </w:tc>
        <w:tc>
          <w:tcPr>
            <w:tcW w:w="5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Underwriting Discount per Firm Unit:</w:t>
            </w:r>
          </w:p>
        </w:tc>
        <w:tc>
          <w:tcPr>
            <w:tcW w:w="5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0.0455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Underwriting Discount per Option Unit:</w:t>
            </w:r>
          </w:p>
        </w:tc>
        <w:tc>
          <w:tcPr>
            <w:tcW w:w="5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0.0076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Proceeds to Company per Firm Unit (before expenses)</w:t>
            </w:r>
          </w:p>
        </w:tc>
        <w:tc>
          <w:tcPr>
            <w:tcW w:w="5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Proceeds to Company per Option Unit (before expenses):</w:t>
            </w:r>
          </w:p>
        </w:tc>
        <w:tc>
          <w:tcPr>
            <w:tcW w:w="5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9.9924</w:t>
            </w:r>
          </w:p>
        </w:tc>
        <w:tc>
          <w:tcPr>
            <w:tcW w:w="0" w:type="dxa"/>
            <w:vAlign w:val="bottom"/>
          </w:tcPr>
          <w:p>
            <w:pPr>
              <w:spacing w:after="0"/>
              <w:rPr>
                <w:sz w:val="1"/>
                <w:szCs w:val="1"/>
                <w:color w:val="auto"/>
              </w:rPr>
            </w:pPr>
          </w:p>
        </w:tc>
      </w:tr>
    </w:tbl>
    <w:p>
      <w:pPr>
        <w:spacing w:after="0"/>
        <w:rPr>
          <w:sz w:val="20"/>
          <w:szCs w:val="20"/>
          <w:color w:val="auto"/>
        </w:rPr>
        <w:sectPr>
          <w:pgSz w:w="11900" w:h="16840" w:orient="portrait"/>
          <w:cols w:equalWidth="0" w:num="1">
            <w:col w:w="9660"/>
          </w:cols>
          <w:pgMar w:left="1120" w:top="681" w:right="1120" w:bottom="1440" w:gutter="0" w:footer="0" w:header="0"/>
        </w:sectPr>
      </w:pPr>
      <w:r>
        <w:rPr>
          <w:sz w:val="20"/>
          <w:szCs w:val="20"/>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6749415" cy="35560"/>
                    </a:xfrm>
                    <a:prstGeom prst="rect">
                      <a:avLst/>
                    </a:prstGeom>
                    <a:noFill/>
                  </pic:spPr>
                </pic:pic>
              </a:graphicData>
            </a:graphic>
          </wp:anchor>
        </w:drawing>
      </w:r>
    </w:p>
    <w:bookmarkStart w:id="311" w:name="page312"/>
    <w:bookmarkEnd w:id="311"/>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6749415" cy="35560"/>
                    </a:xfrm>
                    <a:prstGeom prst="rect">
                      <a:avLst/>
                    </a:prstGeom>
                    <a:noFill/>
                  </pic:spPr>
                </pic:pic>
              </a:graphicData>
            </a:graphic>
          </wp:anchor>
        </w:drawing>
        <w:t>SCHEDULE C</w:t>
      </w:r>
    </w:p>
    <w:p>
      <w:pPr>
        <w:sectPr>
          <w:pgSz w:w="11900" w:h="16840" w:orient="portrait"/>
          <w:cols w:equalWidth="0" w:num="1">
            <w:col w:w="9020"/>
          </w:cols>
          <w:pgMar w:left="1440" w:top="685" w:right="1440" w:bottom="1440" w:gutter="0" w:footer="0" w:header="0"/>
        </w:sectPr>
      </w:pPr>
    </w:p>
    <w:bookmarkStart w:id="312" w:name="page313"/>
    <w:bookmarkEnd w:id="312"/>
    <w:p>
      <w:pPr>
        <w:jc w:val="center"/>
        <w:ind w:right="-104"/>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6749415" cy="35560"/>
                    </a:xfrm>
                    <a:prstGeom prst="rect">
                      <a:avLst/>
                    </a:prstGeom>
                    <a:noFill/>
                  </pic:spPr>
                </pic:pic>
              </a:graphicData>
            </a:graphic>
          </wp:anchor>
        </w:drawing>
        <w:t>EXHIBIT A</w:t>
      </w:r>
    </w:p>
    <w:p>
      <w:pPr>
        <w:spacing w:after="0" w:line="195"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Form of Target Business Letter</w:t>
      </w:r>
    </w:p>
    <w:p>
      <w:pPr>
        <w:spacing w:after="0" w:line="19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GigCapital8 Corp.</w:t>
      </w:r>
    </w:p>
    <w:p>
      <w:pPr>
        <w:spacing w:after="0" w:line="2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1731 Embarcadero Rd.,</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Suite 200</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Palo Alto, CA 94303</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00" w:lineRule="exact"/>
        <w:rPr>
          <w:sz w:val="20"/>
          <w:szCs w:val="20"/>
          <w:color w:val="auto"/>
        </w:rPr>
      </w:pPr>
    </w:p>
    <w:p>
      <w:pPr>
        <w:ind w:left="5" w:right="220" w:firstLine="379"/>
        <w:spacing w:after="0" w:line="284" w:lineRule="auto"/>
        <w:rPr>
          <w:sz w:val="20"/>
          <w:szCs w:val="20"/>
          <w:color w:val="auto"/>
        </w:rPr>
      </w:pPr>
      <w:r>
        <w:rPr>
          <w:rFonts w:ascii="Times New Roman" w:cs="Times New Roman" w:eastAsia="Times New Roman" w:hAnsi="Times New Roman"/>
          <w:sz w:val="15"/>
          <w:szCs w:val="15"/>
          <w:color w:val="auto"/>
        </w:rPr>
        <w:t>Reference is made to the Final Prospectus of GigCapital8 Corp.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dated [ • ], 2025 (the “</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Capitalized terms used and not otherwise defined herein shall have the meanings assigned to them in the Prospectus.</w:t>
      </w:r>
    </w:p>
    <w:p>
      <w:pPr>
        <w:spacing w:after="0" w:line="137" w:lineRule="exact"/>
        <w:rPr>
          <w:sz w:val="20"/>
          <w:szCs w:val="20"/>
          <w:color w:val="auto"/>
        </w:rPr>
      </w:pPr>
    </w:p>
    <w:p>
      <w:pPr>
        <w:jc w:val="both"/>
        <w:ind w:left="5" w:firstLine="379"/>
        <w:spacing w:after="0" w:line="250" w:lineRule="auto"/>
        <w:rPr>
          <w:sz w:val="20"/>
          <w:szCs w:val="20"/>
          <w:color w:val="auto"/>
        </w:rPr>
      </w:pPr>
      <w:r>
        <w:rPr>
          <w:rFonts w:ascii="Times New Roman" w:cs="Times New Roman" w:eastAsia="Times New Roman" w:hAnsi="Times New Roman"/>
          <w:sz w:val="15"/>
          <w:szCs w:val="15"/>
          <w:color w:val="auto"/>
        </w:rPr>
        <w:t>We have read the Prospectus and understand that the Company has established the Trust Account, initially in an amount of at least $220,000,000, for the benefit of the Public Shareholders, and that the funds held in the Trust Account will not be released from the Trust Account until the earliest of: (1) the completion of the Company’s Business Combination; (2) the redemption of any Public Shares properly submitted in connection with a shareholder vote to amend the Company’s amended and restated memorandum and articles of association (i) to modify the substance or timing of the Company’s obligation to provide for the redemption of the Public Shares in connection with the Business Combination or to redeem 100% of the Public Shares if the Company has not consummated the Business Combination within the time period designated in its amended and restated memorandum and articles of association or</w:t>
      </w:r>
    </w:p>
    <w:p>
      <w:pPr>
        <w:spacing w:after="0" w:line="4" w:lineRule="exact"/>
        <w:rPr>
          <w:sz w:val="20"/>
          <w:szCs w:val="20"/>
          <w:color w:val="auto"/>
        </w:rPr>
      </w:pPr>
    </w:p>
    <w:p>
      <w:pPr>
        <w:ind w:left="5" w:right="180" w:hanging="5"/>
        <w:spacing w:after="0" w:line="254" w:lineRule="auto"/>
        <w:tabs>
          <w:tab w:leader="none" w:pos="232"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other provision relating to shareholders’ rights or pre-Business Combination activity; and (3) the redemption of all of the Public Shares if the Company is unable to complete the Business Combination within the time period designated in its amended and restated memorandum and articles of association, subject to applicable law.</w:t>
      </w:r>
    </w:p>
    <w:p>
      <w:pPr>
        <w:spacing w:after="0" w:line="159" w:lineRule="exact"/>
        <w:rPr>
          <w:sz w:val="20"/>
          <w:szCs w:val="20"/>
          <w:color w:val="auto"/>
        </w:rPr>
      </w:pPr>
    </w:p>
    <w:p>
      <w:pPr>
        <w:ind w:left="5" w:firstLine="379"/>
        <w:spacing w:after="0" w:line="259" w:lineRule="auto"/>
        <w:rPr>
          <w:sz w:val="20"/>
          <w:szCs w:val="20"/>
          <w:color w:val="auto"/>
        </w:rPr>
      </w:pPr>
      <w:r>
        <w:rPr>
          <w:rFonts w:ascii="Times New Roman" w:cs="Times New Roman" w:eastAsia="Times New Roman" w:hAnsi="Times New Roman"/>
          <w:sz w:val="15"/>
          <w:szCs w:val="15"/>
          <w:color w:val="auto"/>
        </w:rPr>
        <w:t xml:space="preserve">For and in consideration of the Company agreeing to evaluate the undersigned for purposes of consummating a Business Combination with it, the undersigned hereby agrees that it does not have any right, title, interest or claim of any kind in or to any monies in the Trust Account (each, a “ </w:t>
      </w:r>
      <w:r>
        <w:rPr>
          <w:rFonts w:ascii="Times New Roman" w:cs="Times New Roman" w:eastAsia="Times New Roman" w:hAnsi="Times New Roman"/>
          <w:sz w:val="15"/>
          <w:szCs w:val="15"/>
          <w:u w:val="single" w:color="auto"/>
          <w:color w:val="auto"/>
        </w:rPr>
        <w:t>Claim</w:t>
      </w:r>
      <w:r>
        <w:rPr>
          <w:rFonts w:ascii="Times New Roman" w:cs="Times New Roman" w:eastAsia="Times New Roman" w:hAnsi="Times New Roman"/>
          <w:sz w:val="15"/>
          <w:szCs w:val="15"/>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241300</wp:posOffset>
            </wp:positionV>
            <wp:extent cx="202311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2023110" cy="762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85"/>
        <w:spacing w:after="0"/>
        <w:rPr>
          <w:sz w:val="20"/>
          <w:szCs w:val="20"/>
          <w:color w:val="auto"/>
        </w:rPr>
      </w:pPr>
      <w:r>
        <w:rPr>
          <w:rFonts w:ascii="Times New Roman" w:cs="Times New Roman" w:eastAsia="Times New Roman" w:hAnsi="Times New Roman"/>
          <w:sz w:val="15"/>
          <w:szCs w:val="15"/>
          <w:color w:val="auto"/>
        </w:rPr>
        <w:t>Print Name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243205</wp:posOffset>
            </wp:positionV>
            <wp:extent cx="202311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2023110"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85"/>
        <w:spacing w:after="0"/>
        <w:rPr>
          <w:sz w:val="20"/>
          <w:szCs w:val="20"/>
          <w:color w:val="auto"/>
        </w:rPr>
      </w:pPr>
      <w:r>
        <w:rPr>
          <w:rFonts w:ascii="Times New Roman" w:cs="Times New Roman" w:eastAsia="Times New Roman" w:hAnsi="Times New Roman"/>
          <w:sz w:val="15"/>
          <w:szCs w:val="15"/>
          <w:color w:val="auto"/>
        </w:rPr>
        <w:t>Authorized Signature of Target Business</w:t>
      </w:r>
    </w:p>
    <w:p>
      <w:pPr>
        <w:sectPr>
          <w:pgSz w:w="11900" w:h="16840" w:orient="portrait"/>
          <w:cols w:equalWidth="0" w:num="1">
            <w:col w:w="9565"/>
          </w:cols>
          <w:pgMar w:left="1115" w:top="685" w:right="1220" w:bottom="1440" w:gutter="0" w:footer="0" w:header="0"/>
        </w:sectPr>
      </w:pPr>
    </w:p>
    <w:bookmarkStart w:id="313" w:name="page314"/>
    <w:bookmarkEnd w:id="313"/>
    <w:p>
      <w:pPr>
        <w:jc w:val="center"/>
        <w:ind w:right="15"/>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6749415" cy="35560"/>
                    </a:xfrm>
                    <a:prstGeom prst="rect">
                      <a:avLst/>
                    </a:prstGeom>
                    <a:noFill/>
                  </pic:spPr>
                </pic:pic>
              </a:graphicData>
            </a:graphic>
          </wp:anchor>
        </w:drawing>
        <w:t>EXHIBIT B</w:t>
      </w:r>
    </w:p>
    <w:p>
      <w:pPr>
        <w:spacing w:after="0" w:line="19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Form of Vendor Letter</w:t>
      </w:r>
    </w:p>
    <w:p>
      <w:pPr>
        <w:spacing w:after="0" w:line="19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GigCapital8 Corp.</w:t>
      </w:r>
    </w:p>
    <w:p>
      <w:pPr>
        <w:spacing w:after="0" w:line="2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1731 Embarcadero Rd.,</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Suite 200</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Palo Alto, CA 94303</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00" w:lineRule="exact"/>
        <w:rPr>
          <w:sz w:val="20"/>
          <w:szCs w:val="20"/>
          <w:color w:val="auto"/>
        </w:rPr>
      </w:pPr>
    </w:p>
    <w:p>
      <w:pPr>
        <w:ind w:left="5" w:right="340" w:firstLine="379"/>
        <w:spacing w:after="0" w:line="284" w:lineRule="auto"/>
        <w:rPr>
          <w:sz w:val="20"/>
          <w:szCs w:val="20"/>
          <w:color w:val="auto"/>
        </w:rPr>
      </w:pPr>
      <w:r>
        <w:rPr>
          <w:rFonts w:ascii="Times New Roman" w:cs="Times New Roman" w:eastAsia="Times New Roman" w:hAnsi="Times New Roman"/>
          <w:sz w:val="15"/>
          <w:szCs w:val="15"/>
          <w:color w:val="auto"/>
        </w:rPr>
        <w:t>Reference is made to the Final Prospectus of GigCapital8 Corp.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dated [ • ], 2025 (the “</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Capitalized terms used and not otherwise defined herein shall have the meanings assigned to them in the Prospectus.</w:t>
      </w:r>
    </w:p>
    <w:p>
      <w:pPr>
        <w:spacing w:after="0" w:line="137" w:lineRule="exact"/>
        <w:rPr>
          <w:sz w:val="20"/>
          <w:szCs w:val="20"/>
          <w:color w:val="auto"/>
        </w:rPr>
      </w:pPr>
    </w:p>
    <w:p>
      <w:pPr>
        <w:jc w:val="both"/>
        <w:ind w:left="5" w:right="120" w:firstLine="379"/>
        <w:spacing w:after="0" w:line="250" w:lineRule="auto"/>
        <w:rPr>
          <w:sz w:val="20"/>
          <w:szCs w:val="20"/>
          <w:color w:val="auto"/>
        </w:rPr>
      </w:pPr>
      <w:r>
        <w:rPr>
          <w:rFonts w:ascii="Times New Roman" w:cs="Times New Roman" w:eastAsia="Times New Roman" w:hAnsi="Times New Roman"/>
          <w:sz w:val="15"/>
          <w:szCs w:val="15"/>
          <w:color w:val="auto"/>
        </w:rPr>
        <w:t>We have read the Prospectus and understand that the Company has established the Trust Account, initially in an amount of at least $220,000,000, for the benefit of the Public Shareholders, and that the funds held in the Trust Account will not be released from the Trust Account until the earliest of: (1) the completion of the Company’s Business Combination; (2) the redemption of any Public Shares properly submitted in connection with a shareholder vote to amend the Company’s amended and restated memorandum and articles of association (i) to modify the substance or timing of the Company’s obligation to provide for the redemption of the Public Shares in connection with the Business Combination or to redeem 100% of the Public Shares if the Company has not consummated the Business Combination within the time period designated in its amended and restated memorandum and articles of association or</w:t>
      </w:r>
    </w:p>
    <w:p>
      <w:pPr>
        <w:spacing w:after="0" w:line="4" w:lineRule="exact"/>
        <w:rPr>
          <w:sz w:val="20"/>
          <w:szCs w:val="20"/>
          <w:color w:val="auto"/>
        </w:rPr>
      </w:pPr>
    </w:p>
    <w:p>
      <w:pPr>
        <w:ind w:left="5" w:right="300" w:hanging="5"/>
        <w:spacing w:after="0" w:line="254" w:lineRule="auto"/>
        <w:tabs>
          <w:tab w:leader="none" w:pos="232"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other provision relating to shareholders’ rights or pre-Business Combination activity; and (3) the redemption of all of the Public Shares if the Company is unable to complete the Business Combination within the time period designated in its amended and restated memorandum and articles of association, subject to applicable law.</w:t>
      </w:r>
    </w:p>
    <w:p>
      <w:pPr>
        <w:spacing w:after="0" w:line="159" w:lineRule="exact"/>
        <w:rPr>
          <w:sz w:val="20"/>
          <w:szCs w:val="20"/>
          <w:color w:val="auto"/>
        </w:rPr>
      </w:pPr>
    </w:p>
    <w:p>
      <w:pPr>
        <w:ind w:left="5" w:firstLine="379"/>
        <w:spacing w:after="0" w:line="265" w:lineRule="auto"/>
        <w:rPr>
          <w:sz w:val="20"/>
          <w:szCs w:val="20"/>
          <w:color w:val="auto"/>
        </w:rPr>
      </w:pPr>
      <w:r>
        <w:rPr>
          <w:rFonts w:ascii="Times New Roman" w:cs="Times New Roman" w:eastAsia="Times New Roman" w:hAnsi="Times New Roman"/>
          <w:sz w:val="15"/>
          <w:szCs w:val="15"/>
          <w:color w:val="auto"/>
        </w:rPr>
        <w:t>For and in consideration of the Company agreeing to use the services of the undersigned, the undersigned hereby agrees that it does not have any right, title, interest or claim of any kind in or to any monies in the Trust Account (each, a “</w:t>
      </w:r>
      <w:r>
        <w:rPr>
          <w:rFonts w:ascii="Times New Roman" w:cs="Times New Roman" w:eastAsia="Times New Roman" w:hAnsi="Times New Roman"/>
          <w:sz w:val="15"/>
          <w:szCs w:val="15"/>
          <w:u w:val="single" w:color="auto"/>
          <w:color w:val="auto"/>
        </w:rPr>
        <w:t>Claim</w:t>
      </w:r>
      <w:r>
        <w:rPr>
          <w:rFonts w:ascii="Times New Roman" w:cs="Times New Roman" w:eastAsia="Times New Roman" w:hAnsi="Times New Roman"/>
          <w:sz w:val="15"/>
          <w:szCs w:val="15"/>
          <w:color w:val="auto"/>
        </w:rPr>
        <w:t>”) and hereby waives any Claim it may have in the future as a result of, or arising out of, any services provided to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238125</wp:posOffset>
            </wp:positionV>
            <wp:extent cx="202311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202311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6485"/>
        <w:spacing w:after="0"/>
        <w:rPr>
          <w:sz w:val="20"/>
          <w:szCs w:val="20"/>
          <w:color w:val="auto"/>
        </w:rPr>
      </w:pPr>
      <w:r>
        <w:rPr>
          <w:rFonts w:ascii="Times New Roman" w:cs="Times New Roman" w:eastAsia="Times New Roman" w:hAnsi="Times New Roman"/>
          <w:sz w:val="15"/>
          <w:szCs w:val="15"/>
          <w:color w:val="auto"/>
        </w:rPr>
        <w:t>Print Name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243205</wp:posOffset>
            </wp:positionV>
            <wp:extent cx="202311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2023110"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85"/>
        <w:spacing w:after="0"/>
        <w:rPr>
          <w:sz w:val="20"/>
          <w:szCs w:val="20"/>
          <w:color w:val="auto"/>
        </w:rPr>
      </w:pPr>
      <w:r>
        <w:rPr>
          <w:rFonts w:ascii="Times New Roman" w:cs="Times New Roman" w:eastAsia="Times New Roman" w:hAnsi="Times New Roman"/>
          <w:sz w:val="15"/>
          <w:szCs w:val="15"/>
          <w:color w:val="auto"/>
        </w:rPr>
        <w:t>Authorized Signature of Vendor</w:t>
      </w:r>
    </w:p>
    <w:p>
      <w:pPr>
        <w:sectPr>
          <w:pgSz w:w="11900" w:h="16840" w:orient="portrait"/>
          <w:cols w:equalWidth="0" w:num="1">
            <w:col w:w="9685"/>
          </w:cols>
          <w:pgMar w:left="1115" w:top="685" w:right="1100"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3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5"/>
          <w:szCs w:val="15"/>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1097915" cy="6616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1097915" cy="661670"/>
                    </a:xfrm>
                    <a:prstGeom prst="rect">
                      <a:avLst/>
                    </a:prstGeom>
                    <a:noFill/>
                  </pic:spPr>
                </pic:pic>
              </a:graphicData>
            </a:graphic>
          </wp:anchor>
        </w:drawing>
      </w:r>
    </w:p>
    <w:p>
      <w:pPr>
        <w:spacing w:after="0" w:line="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5"/>
          <w:szCs w:val="15"/>
          <w:color w:val="auto"/>
        </w:rPr>
        <w:t>555 Mission St. #2400</w:t>
      </w:r>
    </w:p>
    <w:p>
      <w:pPr>
        <w:spacing w:after="0" w:line="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5"/>
          <w:szCs w:val="15"/>
          <w:color w:val="auto"/>
        </w:rPr>
        <w:t>San Francisco, California 94105</w:t>
      </w:r>
    </w:p>
    <w:p>
      <w:pPr>
        <w:spacing w:after="0" w:line="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5"/>
          <w:szCs w:val="15"/>
          <w:color w:val="auto"/>
        </w:rPr>
        <w:t>www.dlapiper.com</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September 30,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GigCapital8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1731 Embarcadero Rd., Suite 200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Palo Alto, CA 94303</w:t>
      </w:r>
    </w:p>
    <w:p>
      <w:pPr>
        <w:spacing w:after="0" w:line="2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5"/>
          <w:szCs w:val="15"/>
          <w:color w:val="auto"/>
        </w:rPr>
        <w:t>Re:</w:t>
        <w:tab/>
        <w:t>GigCapital8 Corp.</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Registration Statement on Form S-1 (File. No. 333-289479)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96" w:lineRule="exact"/>
        <w:rPr>
          <w:sz w:val="20"/>
          <w:szCs w:val="20"/>
          <w:color w:val="auto"/>
        </w:rPr>
      </w:pPr>
    </w:p>
    <w:p>
      <w:pPr>
        <w:ind w:right="60" w:firstLine="379"/>
        <w:spacing w:after="0" w:line="255" w:lineRule="auto"/>
        <w:rPr>
          <w:sz w:val="20"/>
          <w:szCs w:val="20"/>
          <w:color w:val="auto"/>
        </w:rPr>
      </w:pPr>
      <w:r>
        <w:rPr>
          <w:rFonts w:ascii="Times New Roman" w:cs="Times New Roman" w:eastAsia="Times New Roman" w:hAnsi="Times New Roman"/>
          <w:sz w:val="15"/>
          <w:szCs w:val="15"/>
          <w:color w:val="auto"/>
        </w:rPr>
        <w:t>We have acted as special United States counsel to Gigcapital8 Corp., a Cayman Islands exempted company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in connection with the initial public offering by the Company of (a) up to 25,300,000 units of the Company (the “</w:t>
      </w:r>
      <w:r>
        <w:rPr>
          <w:rFonts w:ascii="Times New Roman" w:cs="Times New Roman" w:eastAsia="Times New Roman" w:hAnsi="Times New Roman"/>
          <w:sz w:val="15"/>
          <w:szCs w:val="15"/>
          <w:b w:val="1"/>
          <w:bCs w:val="1"/>
          <w:color w:val="auto"/>
        </w:rPr>
        <w:t>Units</w:t>
      </w:r>
      <w:r>
        <w:rPr>
          <w:rFonts w:ascii="Times New Roman" w:cs="Times New Roman" w:eastAsia="Times New Roman" w:hAnsi="Times New Roman"/>
          <w:sz w:val="15"/>
          <w:szCs w:val="15"/>
          <w:color w:val="auto"/>
        </w:rPr>
        <w:t>”) (including up to 3,300,000 Units subject to an over-allotment option), each Unit consisting of one Class A ordinary share of the Company, par value $ 0.0001 per share (each, a “</w:t>
      </w:r>
      <w:r>
        <w:rPr>
          <w:rFonts w:ascii="Times New Roman" w:cs="Times New Roman" w:eastAsia="Times New Roman" w:hAnsi="Times New Roman"/>
          <w:sz w:val="15"/>
          <w:szCs w:val="15"/>
          <w:b w:val="1"/>
          <w:bCs w:val="1"/>
          <w:color w:val="auto"/>
        </w:rPr>
        <w:t>Class A Ordinary Share</w:t>
      </w:r>
      <w:r>
        <w:rPr>
          <w:rFonts w:ascii="Times New Roman" w:cs="Times New Roman" w:eastAsia="Times New Roman" w:hAnsi="Times New Roman"/>
          <w:sz w:val="15"/>
          <w:szCs w:val="15"/>
          <w:color w:val="auto"/>
        </w:rPr>
        <w:t>”), and one right to receive one- tenth of a Class A Ordinary Share (each whole right, a “</w:t>
      </w:r>
      <w:r>
        <w:rPr>
          <w:rFonts w:ascii="Times New Roman" w:cs="Times New Roman" w:eastAsia="Times New Roman" w:hAnsi="Times New Roman"/>
          <w:sz w:val="15"/>
          <w:szCs w:val="15"/>
          <w:b w:val="1"/>
          <w:bCs w:val="1"/>
          <w:color w:val="auto"/>
        </w:rPr>
        <w:t>Right</w:t>
      </w:r>
      <w:r>
        <w:rPr>
          <w:rFonts w:ascii="Times New Roman" w:cs="Times New Roman" w:eastAsia="Times New Roman" w:hAnsi="Times New Roman"/>
          <w:sz w:val="15"/>
          <w:szCs w:val="15"/>
          <w:color w:val="auto"/>
        </w:rPr>
        <w:t xml:space="preserve"> ”), each ten Rights entitling the holder to thereof receive one Class A Ordinary Share, and (b) all Class A Ordinary Shares and all Rights to be issued as part of the Units. The Units and the Class A Ordinary Shares and Rights, in each case, included as part of the Units are collectively referred to herein as the “</w:t>
      </w: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ind w:firstLine="379"/>
        <w:spacing w:after="0" w:line="284" w:lineRule="auto"/>
        <w:rPr>
          <w:sz w:val="20"/>
          <w:szCs w:val="20"/>
          <w:color w:val="auto"/>
        </w:rPr>
      </w:pPr>
      <w:r>
        <w:rPr>
          <w:rFonts w:ascii="Times New Roman" w:cs="Times New Roman" w:eastAsia="Times New Roman" w:hAnsi="Times New Roman"/>
          <w:sz w:val="15"/>
          <w:szCs w:val="15"/>
          <w:color w:val="auto"/>
        </w:rPr>
        <w:t>This opinion is being furnished in accordance with the requirements of Item 601(b)(5) of Regulation S-K under the Securities Act of 1933, as amended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In rendering the opinions stated herein, we have examined and relied upon the following:</w:t>
      </w:r>
    </w:p>
    <w:p>
      <w:pPr>
        <w:spacing w:after="0" w:line="124" w:lineRule="exact"/>
        <w:rPr>
          <w:sz w:val="20"/>
          <w:szCs w:val="20"/>
          <w:color w:val="auto"/>
        </w:rPr>
      </w:pPr>
    </w:p>
    <w:p>
      <w:pPr>
        <w:ind w:left="840" w:right="20" w:hanging="466"/>
        <w:spacing w:after="0" w:line="265" w:lineRule="auto"/>
        <w:tabs>
          <w:tab w:leader="none" w:pos="8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statement on Form S-1 (File No. 333-289479) of the Company relating to the Securities, initially filed on August 11, 2025 with the Securities and Exchange Commission (the “</w:t>
      </w:r>
      <w:r>
        <w:rPr>
          <w:rFonts w:ascii="Times New Roman" w:cs="Times New Roman" w:eastAsia="Times New Roman" w:hAnsi="Times New Roman"/>
          <w:sz w:val="15"/>
          <w:szCs w:val="15"/>
          <w:b w:val="1"/>
          <w:bCs w:val="1"/>
          <w:color w:val="auto"/>
        </w:rPr>
        <w:t>Commission</w:t>
      </w:r>
      <w:r>
        <w:rPr>
          <w:rFonts w:ascii="Times New Roman" w:cs="Times New Roman" w:eastAsia="Times New Roman" w:hAnsi="Times New Roman"/>
          <w:sz w:val="15"/>
          <w:szCs w:val="15"/>
          <w:color w:val="auto"/>
        </w:rPr>
        <w:t>”) under the Securities Act (such registration statement, as so amended, being hereinafter referred to as the “</w:t>
      </w:r>
      <w:r>
        <w:rPr>
          <w:rFonts w:ascii="Times New Roman" w:cs="Times New Roman" w:eastAsia="Times New Roman" w:hAnsi="Times New Roman"/>
          <w:sz w:val="15"/>
          <w:szCs w:val="15"/>
          <w:b w:val="1"/>
          <w:bCs w:val="1"/>
          <w:color w:val="auto"/>
        </w:rPr>
        <w:t>Registration Statement</w:t>
      </w:r>
      <w:r>
        <w:rPr>
          <w:rFonts w:ascii="Times New Roman" w:cs="Times New Roman" w:eastAsia="Times New Roman" w:hAnsi="Times New Roman"/>
          <w:sz w:val="15"/>
          <w:szCs w:val="15"/>
          <w:color w:val="auto"/>
        </w:rPr>
        <w:t>”);</w:t>
      </w:r>
    </w:p>
    <w:p>
      <w:pPr>
        <w:spacing w:after="0" w:line="76" w:lineRule="exact"/>
        <w:rPr>
          <w:rFonts w:ascii="Times New Roman" w:cs="Times New Roman" w:eastAsia="Times New Roman" w:hAnsi="Times New Roman"/>
          <w:sz w:val="15"/>
          <w:szCs w:val="15"/>
          <w:color w:val="auto"/>
        </w:rPr>
      </w:pPr>
    </w:p>
    <w:p>
      <w:pPr>
        <w:ind w:left="840" w:right="20" w:hanging="466"/>
        <w:spacing w:after="0" w:line="268" w:lineRule="auto"/>
        <w:tabs>
          <w:tab w:leader="none" w:pos="8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of Underwriting Agreement (the “</w:t>
      </w:r>
      <w:r>
        <w:rPr>
          <w:rFonts w:ascii="Times New Roman" w:cs="Times New Roman" w:eastAsia="Times New Roman" w:hAnsi="Times New Roman"/>
          <w:sz w:val="15"/>
          <w:szCs w:val="15"/>
          <w:b w:val="1"/>
          <w:bCs w:val="1"/>
          <w:color w:val="auto"/>
        </w:rPr>
        <w:t>Underwriting Agreement</w:t>
      </w:r>
      <w:r>
        <w:rPr>
          <w:rFonts w:ascii="Times New Roman" w:cs="Times New Roman" w:eastAsia="Times New Roman" w:hAnsi="Times New Roman"/>
          <w:sz w:val="15"/>
          <w:szCs w:val="15"/>
          <w:color w:val="auto"/>
        </w:rPr>
        <w:t>”) proposed to be entered into by and between the D. Boral Capital LLC, as the representative of the underwriters (the “</w:t>
      </w:r>
      <w:r>
        <w:rPr>
          <w:rFonts w:ascii="Times New Roman" w:cs="Times New Roman" w:eastAsia="Times New Roman" w:hAnsi="Times New Roman"/>
          <w:sz w:val="15"/>
          <w:szCs w:val="15"/>
          <w:b w:val="1"/>
          <w:bCs w:val="1"/>
          <w:color w:val="auto"/>
        </w:rPr>
        <w:t>Underwriters</w:t>
      </w:r>
      <w:r>
        <w:rPr>
          <w:rFonts w:ascii="Times New Roman" w:cs="Times New Roman" w:eastAsia="Times New Roman" w:hAnsi="Times New Roman"/>
          <w:sz w:val="15"/>
          <w:szCs w:val="15"/>
          <w:color w:val="auto"/>
        </w:rPr>
        <w:t>”), relating to the sale by the Company to the underwriters of the Units, filed as Exhibit 1.1 to the Registration Statement;</w:t>
      </w:r>
    </w:p>
    <w:p>
      <w:pPr>
        <w:spacing w:after="0" w:line="73" w:lineRule="exact"/>
        <w:rPr>
          <w:rFonts w:ascii="Times New Roman" w:cs="Times New Roman" w:eastAsia="Times New Roman" w:hAnsi="Times New Roman"/>
          <w:sz w:val="15"/>
          <w:szCs w:val="15"/>
          <w:color w:val="auto"/>
        </w:rPr>
      </w:pPr>
    </w:p>
    <w:p>
      <w:pPr>
        <w:ind w:left="840" w:hanging="466"/>
        <w:spacing w:after="0"/>
        <w:tabs>
          <w:tab w:leader="none" w:pos="8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Specimen Unit Certificate, filed as Exhibit 4.1 to the Registration Statement (the “</w:t>
      </w:r>
      <w:r>
        <w:rPr>
          <w:rFonts w:ascii="Times New Roman" w:cs="Times New Roman" w:eastAsia="Times New Roman" w:hAnsi="Times New Roman"/>
          <w:sz w:val="15"/>
          <w:szCs w:val="15"/>
          <w:b w:val="1"/>
          <w:bCs w:val="1"/>
          <w:color w:val="auto"/>
        </w:rPr>
        <w:t>Unit Certificate</w:t>
      </w:r>
      <w:r>
        <w:rPr>
          <w:rFonts w:ascii="Times New Roman" w:cs="Times New Roman" w:eastAsia="Times New Roman" w:hAnsi="Times New Roman"/>
          <w:sz w:val="15"/>
          <w:szCs w:val="15"/>
          <w:color w:val="auto"/>
        </w:rPr>
        <w:t>”);</w:t>
      </w:r>
    </w:p>
    <w:p>
      <w:pPr>
        <w:spacing w:after="0" w:line="123" w:lineRule="exact"/>
        <w:rPr>
          <w:rFonts w:ascii="Times New Roman" w:cs="Times New Roman" w:eastAsia="Times New Roman" w:hAnsi="Times New Roman"/>
          <w:sz w:val="15"/>
          <w:szCs w:val="15"/>
          <w:color w:val="auto"/>
        </w:rPr>
      </w:pPr>
    </w:p>
    <w:p>
      <w:pPr>
        <w:ind w:left="840" w:hanging="466"/>
        <w:spacing w:after="0"/>
        <w:tabs>
          <w:tab w:leader="none" w:pos="8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Specimen Right Certificate, filed as Exhibit 4.3 to the Registration Statement (the “</w:t>
      </w:r>
      <w:r>
        <w:rPr>
          <w:rFonts w:ascii="Times New Roman" w:cs="Times New Roman" w:eastAsia="Times New Roman" w:hAnsi="Times New Roman"/>
          <w:sz w:val="15"/>
          <w:szCs w:val="15"/>
          <w:b w:val="1"/>
          <w:bCs w:val="1"/>
          <w:color w:val="auto"/>
        </w:rPr>
        <w:t>Right Certificate</w:t>
      </w:r>
      <w:r>
        <w:rPr>
          <w:rFonts w:ascii="Times New Roman" w:cs="Times New Roman" w:eastAsia="Times New Roman" w:hAnsi="Times New Roman"/>
          <w:sz w:val="15"/>
          <w:szCs w:val="15"/>
          <w:color w:val="auto"/>
        </w:rPr>
        <w:t>”); and</w:t>
      </w:r>
    </w:p>
    <w:p>
      <w:pPr>
        <w:spacing w:after="0" w:line="127" w:lineRule="exact"/>
        <w:rPr>
          <w:rFonts w:ascii="Times New Roman" w:cs="Times New Roman" w:eastAsia="Times New Roman" w:hAnsi="Times New Roman"/>
          <w:sz w:val="15"/>
          <w:szCs w:val="15"/>
          <w:color w:val="auto"/>
        </w:rPr>
      </w:pPr>
    </w:p>
    <w:p>
      <w:pPr>
        <w:ind w:left="840" w:right="100" w:hanging="466"/>
        <w:spacing w:after="0" w:line="284" w:lineRule="auto"/>
        <w:tabs>
          <w:tab w:leader="none" w:pos="8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of Rights Agreement proposed to be entered into by and between the Company and Continental Stock Transfer &amp; Trust Company, a New York corporation (“</w:t>
      </w:r>
      <w:r>
        <w:rPr>
          <w:rFonts w:ascii="Times New Roman" w:cs="Times New Roman" w:eastAsia="Times New Roman" w:hAnsi="Times New Roman"/>
          <w:sz w:val="15"/>
          <w:szCs w:val="15"/>
          <w:b w:val="1"/>
          <w:bCs w:val="1"/>
          <w:color w:val="auto"/>
        </w:rPr>
        <w:t>CST</w:t>
      </w:r>
      <w:r>
        <w:rPr>
          <w:rFonts w:ascii="Times New Roman" w:cs="Times New Roman" w:eastAsia="Times New Roman" w:hAnsi="Times New Roman"/>
          <w:sz w:val="15"/>
          <w:szCs w:val="15"/>
          <w:color w:val="auto"/>
        </w:rPr>
        <w:t>”), as rights agent (the “</w:t>
      </w:r>
      <w:r>
        <w:rPr>
          <w:rFonts w:ascii="Times New Roman" w:cs="Times New Roman" w:eastAsia="Times New Roman" w:hAnsi="Times New Roman"/>
          <w:sz w:val="15"/>
          <w:szCs w:val="15"/>
          <w:b w:val="1"/>
          <w:bCs w:val="1"/>
          <w:color w:val="auto"/>
        </w:rPr>
        <w:t>Rights Agreement</w:t>
      </w:r>
      <w:r>
        <w:rPr>
          <w:rFonts w:ascii="Times New Roman" w:cs="Times New Roman" w:eastAsia="Times New Roman" w:hAnsi="Times New Roman"/>
          <w:sz w:val="15"/>
          <w:szCs w:val="15"/>
          <w:color w:val="auto"/>
        </w:rPr>
        <w:t>”), filed as Exhibit 4.4 to the Registration Statement.</w:t>
      </w:r>
    </w:p>
    <w:p>
      <w:pPr>
        <w:spacing w:after="0" w:line="137" w:lineRule="exact"/>
        <w:rPr>
          <w:sz w:val="20"/>
          <w:szCs w:val="20"/>
          <w:color w:val="auto"/>
        </w:rPr>
      </w:pPr>
    </w:p>
    <w:p>
      <w:pPr>
        <w:jc w:val="both"/>
        <w:ind w:right="80" w:firstLine="379"/>
        <w:spacing w:after="0" w:line="265" w:lineRule="auto"/>
        <w:rPr>
          <w:sz w:val="20"/>
          <w:szCs w:val="20"/>
          <w:color w:val="auto"/>
        </w:rPr>
      </w:pPr>
      <w:r>
        <w:rPr>
          <w:rFonts w:ascii="Times New Roman" w:cs="Times New Roman" w:eastAsia="Times New Roman" w:hAnsi="Times New Roman"/>
          <w:sz w:val="15"/>
          <w:szCs w:val="15"/>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ectPr>
          <w:pgSz w:w="11900" w:h="16840" w:orient="portrait"/>
          <w:cols w:equalWidth="0" w:num="1">
            <w:col w:w="9660"/>
          </w:cols>
          <w:pgMar w:left="1120" w:top="554" w:right="1120"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6749415" cy="35560"/>
                    </a:xfrm>
                    <a:prstGeom prst="rect">
                      <a:avLst/>
                    </a:prstGeom>
                    <a:noFill/>
                  </pic:spPr>
                </pic:pic>
              </a:graphicData>
            </a:graphic>
          </wp:anchor>
        </w:drawing>
        <w:t>GigCapital8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September 30, 2025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2</w:t>
      </w:r>
    </w:p>
    <w:p>
      <w:pPr>
        <w:spacing w:after="0" w:line="143" w:lineRule="exact"/>
        <w:rPr>
          <w:sz w:val="20"/>
          <w:szCs w:val="20"/>
          <w:color w:val="auto"/>
        </w:rPr>
      </w:pPr>
    </w:p>
    <w:p>
      <w:pPr>
        <w:ind w:right="20" w:firstLine="379"/>
        <w:spacing w:after="0" w:line="253" w:lineRule="auto"/>
        <w:rPr>
          <w:sz w:val="20"/>
          <w:szCs w:val="20"/>
          <w:color w:val="auto"/>
        </w:rPr>
      </w:pPr>
      <w:r>
        <w:rPr>
          <w:rFonts w:ascii="Times New Roman" w:cs="Times New Roman" w:eastAsia="Times New Roman" w:hAnsi="Times New Roman"/>
          <w:sz w:val="15"/>
          <w:szCs w:val="15"/>
          <w:color w:val="auto"/>
        </w:rPr>
        <w:t>In our examination, we have assumed the genuineness of all signatures on all documents, including electronic signatures, the legal capacity and competency of all natural persons executing any documents, the authenticity and completeness of all documents submitted to us as originals, the completeness and conformity to original documents of all documents submitted to us as facsimile, electronic, certified or photocopied copies or which we obtained from the Commission’s Electronic Data Gathering, Analysis and Retrieval system (“</w:t>
      </w:r>
      <w:r>
        <w:rPr>
          <w:rFonts w:ascii="Times New Roman" w:cs="Times New Roman" w:eastAsia="Times New Roman" w:hAnsi="Times New Roman"/>
          <w:sz w:val="15"/>
          <w:szCs w:val="15"/>
          <w:u w:val="single" w:color="auto"/>
          <w:color w:val="auto"/>
        </w:rPr>
        <w:t>EDGAR</w:t>
      </w:r>
      <w:r>
        <w:rPr>
          <w:rFonts w:ascii="Times New Roman" w:cs="Times New Roman" w:eastAsia="Times New Roman" w:hAnsi="Times New Roman"/>
          <w:sz w:val="15"/>
          <w:szCs w:val="15"/>
          <w:color w:val="auto"/>
        </w:rPr>
        <w:t>”) or other sites on the internet, and the authenticity of the originals thereof. As to any facts and the consequences thereof relevant to the opinions stated herein that we did not independently establish or verify, we have, to the extent deemed appropriate, relied without independent investigation or verification upon, and assumed the accuracy and completeness of, statements and representations of officers and other representatives of the Company and others and of public officials.</w:t>
      </w:r>
    </w:p>
    <w:p>
      <w:pPr>
        <w:spacing w:after="0" w:line="160" w:lineRule="exact"/>
        <w:rPr>
          <w:sz w:val="20"/>
          <w:szCs w:val="20"/>
          <w:color w:val="auto"/>
        </w:rPr>
      </w:pPr>
    </w:p>
    <w:p>
      <w:pPr>
        <w:ind w:right="20" w:firstLine="379"/>
        <w:spacing w:after="0" w:line="265" w:lineRule="auto"/>
        <w:rPr>
          <w:sz w:val="20"/>
          <w:szCs w:val="20"/>
          <w:color w:val="auto"/>
        </w:rPr>
      </w:pPr>
      <w:r>
        <w:rPr>
          <w:rFonts w:ascii="Times New Roman" w:cs="Times New Roman" w:eastAsia="Times New Roman" w:hAnsi="Times New Roman"/>
          <w:sz w:val="15"/>
          <w:szCs w:val="15"/>
          <w:color w:val="auto"/>
        </w:rPr>
        <w:t>We do not express any opinion with respect to the laws of any jurisdiction other than the laws of the State of New York, except we express no opinion and make no statement as to the municipal laws or the laws, rules or regulations of any local agencies or governmental authorities of or within the State of New York or, in each case, as to any matters arising thereunder or relating thereto (the “</w:t>
      </w:r>
      <w:r>
        <w:rPr>
          <w:rFonts w:ascii="Times New Roman" w:cs="Times New Roman" w:eastAsia="Times New Roman" w:hAnsi="Times New Roman"/>
          <w:sz w:val="15"/>
          <w:szCs w:val="15"/>
          <w:b w:val="1"/>
          <w:bCs w:val="1"/>
          <w:color w:val="auto"/>
        </w:rPr>
        <w:t>Opined-on Law</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As used herein, “</w:t>
      </w:r>
      <w:r>
        <w:rPr>
          <w:rFonts w:ascii="Times New Roman" w:cs="Times New Roman" w:eastAsia="Times New Roman" w:hAnsi="Times New Roman"/>
          <w:sz w:val="15"/>
          <w:szCs w:val="15"/>
          <w:b w:val="1"/>
          <w:bCs w:val="1"/>
          <w:color w:val="auto"/>
        </w:rPr>
        <w:t>Transaction Documents</w:t>
      </w:r>
      <w:r>
        <w:rPr>
          <w:rFonts w:ascii="Times New Roman" w:cs="Times New Roman" w:eastAsia="Times New Roman" w:hAnsi="Times New Roman"/>
          <w:sz w:val="15"/>
          <w:szCs w:val="15"/>
          <w:color w:val="auto"/>
        </w:rPr>
        <w:t>” means the Underwriting Agreement, the Unit Certificate and the Rights Agreement.</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Based upon the foregoing and subject to the qualifications and assumptions stated herein, we are of the opinion that:</w:t>
      </w:r>
    </w:p>
    <w:p>
      <w:pPr>
        <w:spacing w:after="0" w:line="124" w:lineRule="exact"/>
        <w:rPr>
          <w:sz w:val="20"/>
          <w:szCs w:val="20"/>
          <w:color w:val="auto"/>
        </w:rPr>
      </w:pPr>
    </w:p>
    <w:p>
      <w:pPr>
        <w:ind w:left="840" w:right="20" w:hanging="466"/>
        <w:spacing w:after="0" w:line="265" w:lineRule="auto"/>
        <w:tabs>
          <w:tab w:leader="none" w:pos="8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the Units are delivered by the Company in accordance with the Underwriting Agreement upon payment of the agreed upon consideration therefor, the Units will constitute valid and binding obligations of the Company, enforceable against the Company in accordance with their terms under the laws of the State of New York.</w:t>
      </w:r>
    </w:p>
    <w:p>
      <w:pPr>
        <w:spacing w:after="0" w:line="80" w:lineRule="exact"/>
        <w:rPr>
          <w:rFonts w:ascii="Times New Roman" w:cs="Times New Roman" w:eastAsia="Times New Roman" w:hAnsi="Times New Roman"/>
          <w:sz w:val="15"/>
          <w:szCs w:val="15"/>
          <w:color w:val="auto"/>
        </w:rPr>
      </w:pPr>
    </w:p>
    <w:p>
      <w:pPr>
        <w:ind w:left="840" w:right="60" w:hanging="466"/>
        <w:spacing w:after="0" w:line="265" w:lineRule="auto"/>
        <w:tabs>
          <w:tab w:leader="none" w:pos="8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the Units are delivered by the Company in accordance with the Underwriting Agreement upon payment of the agreed upon consideration therefor, the Rights included in such Units will constitute valid and binding obligations of the Company, enforceable against the Company in accordance with their terms under the laws of the State of New York.</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opinions stated herein are subject to the following qualifications:</w:t>
      </w:r>
    </w:p>
    <w:p>
      <w:pPr>
        <w:spacing w:after="0" w:line="100" w:lineRule="exact"/>
        <w:rPr>
          <w:sz w:val="20"/>
          <w:szCs w:val="20"/>
          <w:color w:val="auto"/>
        </w:rPr>
      </w:pPr>
    </w:p>
    <w:p>
      <w:pPr>
        <w:ind w:right="120" w:firstLine="374"/>
        <w:spacing w:after="0" w:line="265" w:lineRule="auto"/>
        <w:tabs>
          <w:tab w:leader="none" w:pos="588"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express any opinion with respect to the effect on the opinions stated herein of any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spacing w:after="0" w:line="151" w:lineRule="exact"/>
        <w:rPr>
          <w:rFonts w:ascii="Times New Roman" w:cs="Times New Roman" w:eastAsia="Times New Roman" w:hAnsi="Times New Roman"/>
          <w:sz w:val="15"/>
          <w:szCs w:val="15"/>
          <w:color w:val="auto"/>
        </w:rPr>
      </w:pPr>
    </w:p>
    <w:p>
      <w:pPr>
        <w:ind w:right="20" w:firstLine="374"/>
        <w:spacing w:after="0" w:line="265" w:lineRule="auto"/>
        <w:tabs>
          <w:tab w:leader="none" w:pos="597"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51" w:lineRule="exact"/>
        <w:rPr>
          <w:rFonts w:ascii="Times New Roman" w:cs="Times New Roman" w:eastAsia="Times New Roman" w:hAnsi="Times New Roman"/>
          <w:sz w:val="15"/>
          <w:szCs w:val="15"/>
          <w:color w:val="auto"/>
        </w:rPr>
      </w:pPr>
    </w:p>
    <w:p>
      <w:pPr>
        <w:ind w:firstLine="374"/>
        <w:spacing w:after="0" w:line="259" w:lineRule="auto"/>
        <w:tabs>
          <w:tab w:leader="none" w:pos="588"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155" w:lineRule="exact"/>
        <w:rPr>
          <w:rFonts w:ascii="Times New Roman" w:cs="Times New Roman" w:eastAsia="Times New Roman" w:hAnsi="Times New Roman"/>
          <w:sz w:val="15"/>
          <w:szCs w:val="15"/>
          <w:color w:val="auto"/>
        </w:rPr>
      </w:pPr>
    </w:p>
    <w:p>
      <w:pPr>
        <w:ind w:right="20" w:firstLine="374"/>
        <w:spacing w:after="0" w:line="259" w:lineRule="auto"/>
        <w:tabs>
          <w:tab w:leader="none" w:pos="597"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55" w:lineRule="exact"/>
        <w:rPr>
          <w:rFonts w:ascii="Times New Roman" w:cs="Times New Roman" w:eastAsia="Times New Roman" w:hAnsi="Times New Roman"/>
          <w:sz w:val="15"/>
          <w:szCs w:val="15"/>
          <w:color w:val="auto"/>
        </w:rPr>
      </w:pPr>
    </w:p>
    <w:p>
      <w:pPr>
        <w:ind w:right="20" w:firstLine="374"/>
        <w:spacing w:after="0" w:line="265" w:lineRule="auto"/>
        <w:tabs>
          <w:tab w:leader="none" w:pos="588"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assumed that CST has the power, corporate or other, to enter into and perform all obligations under the Rights Agreement and have also assumed the due authorization by all requisite action, corporate or other, and the execution and delivery by CST of the Rights Agreement and that the Rights Agreement constitutes the valid and binding obligation of CST, enforceable against CST in accordance with its terms; and</w:t>
      </w:r>
    </w:p>
    <w:p>
      <w:pPr>
        <w:sectPr>
          <w:pgSz w:w="11900" w:h="16840" w:orient="portrait"/>
          <w:cols w:equalWidth="0" w:num="1">
            <w:col w:w="9660"/>
          </w:cols>
          <w:pgMar w:left="1120" w:top="689" w:right="1120" w:bottom="1440" w:gutter="0" w:footer="0" w:header="0"/>
        </w:sectPr>
      </w:pPr>
    </w:p>
    <w:bookmarkStart w:id="316" w:name="page317"/>
    <w:bookmarkEnd w:id="316"/>
    <w:p>
      <w:pPr>
        <w:ind w:left="5"/>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6749415" cy="35560"/>
                    </a:xfrm>
                    <a:prstGeom prst="rect">
                      <a:avLst/>
                    </a:prstGeom>
                    <a:noFill/>
                  </pic:spPr>
                </pic:pic>
              </a:graphicData>
            </a:graphic>
          </wp:anchor>
        </w:drawing>
        <w:t>GigCapital8 Corp.</w:t>
      </w:r>
    </w:p>
    <w:p>
      <w:pPr>
        <w:spacing w:after="0" w:line="2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September 30, 2025</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Page 3</w:t>
      </w:r>
    </w:p>
    <w:p>
      <w:pPr>
        <w:spacing w:after="0" w:line="143" w:lineRule="exact"/>
        <w:rPr>
          <w:sz w:val="20"/>
          <w:szCs w:val="20"/>
          <w:color w:val="auto"/>
        </w:rPr>
      </w:pPr>
    </w:p>
    <w:p>
      <w:pPr>
        <w:ind w:left="5" w:right="120" w:firstLine="374"/>
        <w:spacing w:after="0" w:line="258" w:lineRule="auto"/>
        <w:tabs>
          <w:tab w:leader="none" w:pos="577" w:val="left"/>
        </w:tabs>
        <w:numPr>
          <w:ilvl w:val="1"/>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that any opinion relates to the enforceability of the choice of New York law and choice of New York forum provisions contained in any of the Units or the Rights Agreement, the opinions stated herein are subject to the qualification that such enforceability may be subject to, in each case,</w:t>
      </w:r>
    </w:p>
    <w:p>
      <w:pPr>
        <w:ind w:left="185" w:hanging="185"/>
        <w:spacing w:after="0"/>
        <w:tabs>
          <w:tab w:leader="none" w:pos="185"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exceptions and limitations in New York General Obligations Law sections 5-1401 and 5-1402 and (ii) principles of comity and constitutionality.</w:t>
      </w:r>
    </w:p>
    <w:p>
      <w:pPr>
        <w:spacing w:after="0" w:line="179"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5"/>
          <w:szCs w:val="15"/>
          <w:color w:val="auto"/>
        </w:rPr>
        <w:t>In addition, in rendering the foregoing opinions we have assumed that:</w:t>
      </w:r>
    </w:p>
    <w:p>
      <w:pPr>
        <w:spacing w:after="0" w:line="100" w:lineRule="exact"/>
        <w:rPr>
          <w:sz w:val="20"/>
          <w:szCs w:val="20"/>
          <w:color w:val="auto"/>
        </w:rPr>
      </w:pPr>
    </w:p>
    <w:p>
      <w:pPr>
        <w:jc w:val="both"/>
        <w:ind w:left="5" w:firstLine="374"/>
        <w:spacing w:after="0" w:line="265" w:lineRule="auto"/>
        <w:tabs>
          <w:tab w:leader="none" w:pos="594"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w:t>
      </w:r>
    </w:p>
    <w:p>
      <w:pPr>
        <w:spacing w:after="0" w:line="151" w:lineRule="exact"/>
        <w:rPr>
          <w:rFonts w:ascii="Times New Roman" w:cs="Times New Roman" w:eastAsia="Times New Roman" w:hAnsi="Times New Roman"/>
          <w:sz w:val="15"/>
          <w:szCs w:val="15"/>
          <w:color w:val="auto"/>
        </w:rPr>
      </w:pPr>
    </w:p>
    <w:p>
      <w:pPr>
        <w:ind w:left="605" w:hanging="226"/>
        <w:spacing w:after="0"/>
        <w:tabs>
          <w:tab w:leader="none" w:pos="605"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the corporate power and authority to execute, deliver and perform all its obligations under the Transaction Documents;</w:t>
      </w:r>
    </w:p>
    <w:p>
      <w:pPr>
        <w:spacing w:after="0" w:line="194" w:lineRule="exact"/>
        <w:rPr>
          <w:rFonts w:ascii="Times New Roman" w:cs="Times New Roman" w:eastAsia="Times New Roman" w:hAnsi="Times New Roman"/>
          <w:sz w:val="15"/>
          <w:szCs w:val="15"/>
          <w:color w:val="auto"/>
        </w:rPr>
      </w:pPr>
    </w:p>
    <w:p>
      <w:pPr>
        <w:ind w:left="585" w:hanging="206"/>
        <w:spacing w:after="0"/>
        <w:tabs>
          <w:tab w:leader="none" w:pos="585"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Transaction Documents has been duly authorized, executed and delivered by all requisite corporate action on part of the Company;</w:t>
      </w:r>
    </w:p>
    <w:p>
      <w:pPr>
        <w:spacing w:after="0" w:line="194" w:lineRule="exact"/>
        <w:rPr>
          <w:rFonts w:ascii="Times New Roman" w:cs="Times New Roman" w:eastAsia="Times New Roman" w:hAnsi="Times New Roman"/>
          <w:sz w:val="15"/>
          <w:szCs w:val="15"/>
          <w:color w:val="auto"/>
        </w:rPr>
      </w:pPr>
    </w:p>
    <w:p>
      <w:pPr>
        <w:ind w:left="5" w:right="20" w:firstLine="374"/>
        <w:spacing w:after="0" w:line="254" w:lineRule="auto"/>
        <w:tabs>
          <w:tab w:leader="none" w:pos="602"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execution and delivery by the Company of the Transaction Documents nor the performance by the Company of its obligations thereunder, including the issuance and sale of the Securities, (i) conflicts or will conflict with the amended and restated memorandum and articles of association of the Company,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and</w:t>
      </w:r>
    </w:p>
    <w:p>
      <w:pPr>
        <w:spacing w:after="0" w:line="160" w:lineRule="exact"/>
        <w:rPr>
          <w:rFonts w:ascii="Times New Roman" w:cs="Times New Roman" w:eastAsia="Times New Roman" w:hAnsi="Times New Roman"/>
          <w:sz w:val="15"/>
          <w:szCs w:val="15"/>
          <w:color w:val="auto"/>
        </w:rPr>
      </w:pPr>
    </w:p>
    <w:p>
      <w:pPr>
        <w:ind w:left="5" w:right="480" w:firstLine="374"/>
        <w:spacing w:after="0" w:line="265" w:lineRule="auto"/>
        <w:tabs>
          <w:tab w:leader="none" w:pos="594"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execution and delivery by the Company of the Transaction Documents nor the performance by the Company of its obligations thereunder, including the issuance and sale of the Securities, requires or will require the consent, approval, licensing or authorization of, or any filing, recording or registration with, any governmental authority under any law, rule or regulation of any jurisdiction.</w:t>
      </w:r>
    </w:p>
    <w:p>
      <w:pPr>
        <w:spacing w:after="0" w:line="151" w:lineRule="exact"/>
        <w:rPr>
          <w:sz w:val="20"/>
          <w:szCs w:val="20"/>
          <w:color w:val="auto"/>
        </w:rPr>
      </w:pPr>
    </w:p>
    <w:p>
      <w:pPr>
        <w:ind w:left="5" w:right="60" w:firstLine="379"/>
        <w:spacing w:after="0" w:line="259" w:lineRule="auto"/>
        <w:rPr>
          <w:sz w:val="20"/>
          <w:szCs w:val="20"/>
          <w:color w:val="auto"/>
        </w:rPr>
      </w:pPr>
      <w:r>
        <w:rPr>
          <w:rFonts w:ascii="Times New Roman" w:cs="Times New Roman" w:eastAsia="Times New Roman" w:hAnsi="Times New Roman"/>
          <w:sz w:val="15"/>
          <w:szCs w:val="15"/>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General Rules and Regulations under the Securities Act.</w:t>
      </w:r>
    </w:p>
    <w:p>
      <w:pPr>
        <w:spacing w:after="0" w:line="1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/s DLA Piper LLP (US)</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b w:val="1"/>
          <w:bCs w:val="1"/>
          <w:color w:val="auto"/>
        </w:rPr>
        <w:t>DLA PIPER LLP (US)</w:t>
      </w:r>
    </w:p>
    <w:p>
      <w:pPr>
        <w:sectPr>
          <w:pgSz w:w="11900" w:h="16840" w:orient="portrait"/>
          <w:cols w:equalWidth="0" w:num="1">
            <w:col w:w="9685"/>
          </w:cols>
          <w:pgMar w:left="1115" w:top="689" w:right="1100"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5"/>
          <w:szCs w:val="15"/>
          <w:b w:val="1"/>
          <w:bCs w:val="1"/>
          <w:color w:val="auto"/>
        </w:rPr>
        <w:t>Exhibit 5.2</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Harney Westwood &amp; Riegels (Cayman) LLP</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3rd Floor, Harbour Place</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103 South Church Street, PO Box 11088</w:t>
      </w:r>
    </w:p>
    <w:p>
      <w:pPr>
        <w:spacing w:after="0" w:line="5" w:lineRule="exact"/>
        <w:rPr>
          <w:sz w:val="20"/>
          <w:szCs w:val="20"/>
          <w:color w:val="auto"/>
        </w:rPr>
      </w:pPr>
    </w:p>
    <w:p>
      <w:pPr>
        <w:ind w:left="6985"/>
        <w:spacing w:after="0"/>
        <w:rPr>
          <w:sz w:val="20"/>
          <w:szCs w:val="20"/>
          <w:color w:val="auto"/>
        </w:rPr>
      </w:pPr>
      <w:r>
        <w:rPr>
          <w:rFonts w:ascii="Times New Roman" w:cs="Times New Roman" w:eastAsia="Times New Roman" w:hAnsi="Times New Roman"/>
          <w:sz w:val="15"/>
          <w:szCs w:val="15"/>
          <w:color w:val="auto"/>
        </w:rPr>
        <w:t>Grand Cayman KY1-1008, Cayman Islands</w:t>
      </w:r>
    </w:p>
    <w:p>
      <w:pPr>
        <w:spacing w:after="0" w:line="5" w:lineRule="exact"/>
        <w:rPr>
          <w:sz w:val="20"/>
          <w:szCs w:val="20"/>
          <w:color w:val="auto"/>
        </w:rPr>
      </w:pPr>
    </w:p>
    <w:p>
      <w:pPr>
        <w:ind w:left="8325"/>
        <w:spacing w:after="0"/>
        <w:rPr>
          <w:sz w:val="20"/>
          <w:szCs w:val="20"/>
          <w:color w:val="auto"/>
        </w:rPr>
      </w:pPr>
      <w:r>
        <w:rPr>
          <w:rFonts w:ascii="Times New Roman" w:cs="Times New Roman" w:eastAsia="Times New Roman" w:hAnsi="Times New Roman"/>
          <w:sz w:val="15"/>
          <w:szCs w:val="15"/>
          <w:color w:val="auto"/>
        </w:rPr>
        <w:t>Tel: +1 345 949 8599</w:t>
      </w:r>
    </w:p>
    <w:p>
      <w:pPr>
        <w:spacing w:after="0" w:line="5" w:lineRule="exact"/>
        <w:rPr>
          <w:sz w:val="20"/>
          <w:szCs w:val="20"/>
          <w:color w:val="auto"/>
        </w:rPr>
      </w:pPr>
    </w:p>
    <w:p>
      <w:pPr>
        <w:ind w:left="8305"/>
        <w:spacing w:after="0"/>
        <w:rPr>
          <w:sz w:val="20"/>
          <w:szCs w:val="20"/>
          <w:color w:val="auto"/>
        </w:rPr>
      </w:pPr>
      <w:r>
        <w:rPr>
          <w:rFonts w:ascii="Times New Roman" w:cs="Times New Roman" w:eastAsia="Times New Roman" w:hAnsi="Times New Roman"/>
          <w:sz w:val="15"/>
          <w:szCs w:val="15"/>
          <w:color w:val="auto"/>
        </w:rPr>
        <w:t>Fax: +1 345 949 4451</w:t>
      </w:r>
    </w:p>
    <w:p>
      <w:pPr>
        <w:spacing w:after="0" w:line="8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b w:val="1"/>
          <w:bCs w:val="1"/>
          <w:color w:val="auto"/>
        </w:rPr>
        <w:t>30 September 2025</w:t>
      </w:r>
    </w:p>
    <w:p>
      <w:pPr>
        <w:spacing w:after="0" w:line="199" w:lineRule="exact"/>
        <w:rPr>
          <w:sz w:val="20"/>
          <w:szCs w:val="20"/>
          <w:color w:val="auto"/>
        </w:rPr>
      </w:pPr>
    </w:p>
    <w:p>
      <w:pPr>
        <w:ind w:left="7785"/>
        <w:spacing w:after="0"/>
        <w:rPr>
          <w:sz w:val="20"/>
          <w:szCs w:val="20"/>
          <w:color w:val="auto"/>
        </w:rPr>
      </w:pPr>
      <w:r>
        <w:rPr>
          <w:rFonts w:ascii="Times New Roman" w:cs="Times New Roman" w:eastAsia="Times New Roman" w:hAnsi="Times New Roman"/>
          <w:sz w:val="15"/>
          <w:szCs w:val="15"/>
          <w:color w:val="auto"/>
        </w:rPr>
        <w:t>christopher.hall@harneys.com</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george.weston@harney.com</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063740.0002-CH-GYW</w:t>
      </w:r>
    </w:p>
    <w:p>
      <w:pPr>
        <w:spacing w:after="0" w:line="8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Harneys Fiduciary (Cayman) Limited</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4th Floor, Harbour Place</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103 South Church Street, P.O. Box 10240</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Grand Cayman, KY1-1002, Cayman Islands</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Dear GigCapital8 Corp.</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b w:val="1"/>
          <w:bCs w:val="1"/>
          <w:color w:val="auto"/>
        </w:rPr>
        <w:t>GigCapital8 Corp.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b w:val="1"/>
          <w:bCs w:val="1"/>
          <w:color w:val="auto"/>
        </w:rPr>
        <w:t>)</w:t>
      </w:r>
    </w:p>
    <w:p>
      <w:pPr>
        <w:spacing w:after="0" w:line="199" w:lineRule="exact"/>
        <w:rPr>
          <w:sz w:val="20"/>
          <w:szCs w:val="20"/>
          <w:color w:val="auto"/>
        </w:rPr>
      </w:pPr>
    </w:p>
    <w:p>
      <w:pPr>
        <w:ind w:left="5" w:right="100"/>
        <w:spacing w:after="0" w:line="265" w:lineRule="auto"/>
        <w:rPr>
          <w:sz w:val="20"/>
          <w:szCs w:val="20"/>
          <w:color w:val="auto"/>
        </w:rPr>
      </w:pPr>
      <w:r>
        <w:rPr>
          <w:rFonts w:ascii="Times New Roman" w:cs="Times New Roman" w:eastAsia="Times New Roman" w:hAnsi="Times New Roman"/>
          <w:sz w:val="15"/>
          <w:szCs w:val="15"/>
          <w:color w:val="auto"/>
        </w:rPr>
        <w:t>We are lawyers qualified to practise in the Cayman Islands and have acted as Cayman Islands legal advisers to the Company in connection with the Company’s registration statement on Form S-1 to be filed with the Securities and Exchange Commission (</w:t>
      </w:r>
      <w:r>
        <w:rPr>
          <w:rFonts w:ascii="Times New Roman" w:cs="Times New Roman" w:eastAsia="Times New Roman" w:hAnsi="Times New Roman"/>
          <w:sz w:val="15"/>
          <w:szCs w:val="15"/>
          <w:b w:val="1"/>
          <w:bCs w:val="1"/>
          <w:i w:val="1"/>
          <w:iCs w:val="1"/>
          <w:color w:val="auto"/>
        </w:rPr>
        <w:t>Commission</w:t>
      </w:r>
      <w:r>
        <w:rPr>
          <w:rFonts w:ascii="Times New Roman" w:cs="Times New Roman" w:eastAsia="Times New Roman" w:hAnsi="Times New Roman"/>
          <w:sz w:val="15"/>
          <w:szCs w:val="15"/>
          <w:color w:val="auto"/>
        </w:rPr>
        <w:t>) on or about the date of this opinion (</w:t>
      </w:r>
      <w:r>
        <w:rPr>
          <w:rFonts w:ascii="Times New Roman" w:cs="Times New Roman" w:eastAsia="Times New Roman" w:hAnsi="Times New Roman"/>
          <w:sz w:val="15"/>
          <w:szCs w:val="15"/>
          <w:b w:val="1"/>
          <w:bCs w:val="1"/>
          <w:i w:val="1"/>
          <w:iCs w:val="1"/>
          <w:color w:val="auto"/>
        </w:rPr>
        <w:t>Registration Statement</w:t>
      </w:r>
      <w:r>
        <w:rPr>
          <w:rFonts w:ascii="Times New Roman" w:cs="Times New Roman" w:eastAsia="Times New Roman" w:hAnsi="Times New Roman"/>
          <w:sz w:val="15"/>
          <w:szCs w:val="15"/>
          <w:color w:val="auto"/>
        </w:rPr>
        <w:t>), relating to the registration of:</w:t>
      </w:r>
    </w:p>
    <w:p>
      <w:pPr>
        <w:spacing w:after="0" w:line="80" w:lineRule="exact"/>
        <w:rPr>
          <w:sz w:val="20"/>
          <w:szCs w:val="20"/>
          <w:color w:val="auto"/>
        </w:rPr>
      </w:pPr>
    </w:p>
    <w:p>
      <w:pPr>
        <w:ind w:left="385" w:hanging="385"/>
        <w:spacing w:after="0"/>
        <w:tabs>
          <w:tab w:leader="none" w:pos="385"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22,000,000 units consisting of:</w:t>
      </w:r>
    </w:p>
    <w:p>
      <w:pPr>
        <w:spacing w:after="0" w:line="123" w:lineRule="exact"/>
        <w:rPr>
          <w:rFonts w:ascii="Times New Roman" w:cs="Times New Roman" w:eastAsia="Times New Roman" w:hAnsi="Times New Roman"/>
          <w:sz w:val="15"/>
          <w:szCs w:val="15"/>
          <w:color w:val="auto"/>
        </w:rPr>
      </w:pPr>
    </w:p>
    <w:p>
      <w:pPr>
        <w:ind w:left="845" w:hanging="466"/>
        <w:spacing w:after="0"/>
        <w:tabs>
          <w:tab w:leader="none" w:pos="845"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Class A Share (as defined below); and</w:t>
      </w:r>
    </w:p>
    <w:p>
      <w:pPr>
        <w:spacing w:after="0" w:line="119" w:lineRule="exact"/>
        <w:rPr>
          <w:rFonts w:ascii="Times New Roman" w:cs="Times New Roman" w:eastAsia="Times New Roman" w:hAnsi="Times New Roman"/>
          <w:sz w:val="15"/>
          <w:szCs w:val="15"/>
          <w:color w:val="auto"/>
        </w:rPr>
      </w:pPr>
    </w:p>
    <w:p>
      <w:pPr>
        <w:ind w:left="385" w:right="4880" w:hanging="6"/>
        <w:spacing w:after="0" w:line="398" w:lineRule="auto"/>
        <w:tabs>
          <w:tab w:leader="none" w:pos="859"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right to receive one-tenth (1/10) of a Class A Share (</w:t>
      </w:r>
      <w:r>
        <w:rPr>
          <w:rFonts w:ascii="Times New Roman" w:cs="Times New Roman" w:eastAsia="Times New Roman" w:hAnsi="Times New Roman"/>
          <w:sz w:val="15"/>
          <w:szCs w:val="15"/>
          <w:b w:val="1"/>
          <w:bCs w:val="1"/>
          <w:i w:val="1"/>
          <w:iCs w:val="1"/>
          <w:color w:val="auto"/>
        </w:rPr>
        <w:t>Right</w:t>
      </w:r>
      <w:r>
        <w:rPr>
          <w:rFonts w:ascii="Times New Roman" w:cs="Times New Roman" w:eastAsia="Times New Roman" w:hAnsi="Times New Roman"/>
          <w:sz w:val="15"/>
          <w:szCs w:val="15"/>
          <w:color w:val="auto"/>
        </w:rPr>
        <w:t>), upon the consummation of an initial business combination (</w:t>
      </w:r>
      <w:r>
        <w:rPr>
          <w:rFonts w:ascii="Times New Roman" w:cs="Times New Roman" w:eastAsia="Times New Roman" w:hAnsi="Times New Roman"/>
          <w:sz w:val="15"/>
          <w:szCs w:val="15"/>
          <w:b w:val="1"/>
          <w:bCs w:val="1"/>
          <w:i w:val="1"/>
          <w:iCs w:val="1"/>
          <w:color w:val="auto"/>
        </w:rPr>
        <w:t>Units</w:t>
      </w:r>
      <w:r>
        <w:rPr>
          <w:rFonts w:ascii="Times New Roman" w:cs="Times New Roman" w:eastAsia="Times New Roman" w:hAnsi="Times New Roman"/>
          <w:sz w:val="15"/>
          <w:szCs w:val="15"/>
          <w:color w:val="auto"/>
        </w:rPr>
        <w:t>);</w:t>
      </w:r>
    </w:p>
    <w:p>
      <w:pPr>
        <w:ind w:left="385" w:right="40" w:hanging="385"/>
        <w:spacing w:after="0" w:line="284" w:lineRule="auto"/>
        <w:tabs>
          <w:tab w:leader="none" w:pos="385"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 to 3,300,000 Units, which may be issued upon exercise of an option granted to the underwriter(s) to cover over-allotments, if any, exercisable for a period of forty-five (45) days after the closing of the offering (</w:t>
      </w:r>
      <w:r>
        <w:rPr>
          <w:rFonts w:ascii="Times New Roman" w:cs="Times New Roman" w:eastAsia="Times New Roman" w:hAnsi="Times New Roman"/>
          <w:sz w:val="15"/>
          <w:szCs w:val="15"/>
          <w:b w:val="1"/>
          <w:bCs w:val="1"/>
          <w:i w:val="1"/>
          <w:iCs w:val="1"/>
          <w:color w:val="auto"/>
        </w:rPr>
        <w:t>Over-Allotment Units</w:t>
      </w:r>
      <w:r>
        <w:rPr>
          <w:rFonts w:ascii="Times New Roman" w:cs="Times New Roman" w:eastAsia="Times New Roman" w:hAnsi="Times New Roman"/>
          <w:sz w:val="15"/>
          <w:szCs w:val="15"/>
          <w:color w:val="auto"/>
        </w:rPr>
        <w:t>);</w:t>
      </w:r>
    </w:p>
    <w:p>
      <w:pPr>
        <w:spacing w:after="0" w:line="65" w:lineRule="exact"/>
        <w:rPr>
          <w:rFonts w:ascii="Times New Roman" w:cs="Times New Roman" w:eastAsia="Times New Roman" w:hAnsi="Times New Roman"/>
          <w:sz w:val="15"/>
          <w:szCs w:val="15"/>
          <w:color w:val="auto"/>
        </w:rPr>
      </w:pPr>
    </w:p>
    <w:p>
      <w:pPr>
        <w:ind w:left="385" w:hanging="385"/>
        <w:spacing w:after="0"/>
        <w:tabs>
          <w:tab w:leader="none" w:pos="385"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Class A Shares and all Rights issued as part of the Units and the Over-Allotment Units; and</w:t>
      </w:r>
    </w:p>
    <w:p>
      <w:pPr>
        <w:spacing w:after="0" w:line="123" w:lineRule="exact"/>
        <w:rPr>
          <w:rFonts w:ascii="Times New Roman" w:cs="Times New Roman" w:eastAsia="Times New Roman" w:hAnsi="Times New Roman"/>
          <w:sz w:val="15"/>
          <w:szCs w:val="15"/>
          <w:color w:val="auto"/>
        </w:rPr>
      </w:pPr>
    </w:p>
    <w:p>
      <w:pPr>
        <w:ind w:left="385" w:right="80" w:hanging="385"/>
        <w:spacing w:after="0" w:line="284" w:lineRule="auto"/>
        <w:tabs>
          <w:tab w:leader="none" w:pos="385"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Class A Shares that may be issued upon the consummation of an initial business combination in respect of the Rights included in the Units and the Over-Allotment Units,</w:t>
      </w:r>
    </w:p>
    <w:p>
      <w:pPr>
        <w:spacing w:after="0" w:line="133" w:lineRule="exact"/>
        <w:rPr>
          <w:sz w:val="20"/>
          <w:szCs w:val="20"/>
          <w:color w:val="auto"/>
        </w:rPr>
      </w:pPr>
    </w:p>
    <w:p>
      <w:pPr>
        <w:ind w:left="5" w:right="360"/>
        <w:spacing w:after="0" w:line="289" w:lineRule="auto"/>
        <w:rPr>
          <w:sz w:val="20"/>
          <w:szCs w:val="20"/>
          <w:color w:val="auto"/>
        </w:rPr>
      </w:pPr>
      <w:r>
        <w:rPr>
          <w:rFonts w:ascii="Times New Roman" w:cs="Times New Roman" w:eastAsia="Times New Roman" w:hAnsi="Times New Roman"/>
          <w:sz w:val="15"/>
          <w:szCs w:val="15"/>
          <w:color w:val="auto"/>
        </w:rPr>
        <w:t>in each case under the United States Securities Act of 1933, as amended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xml:space="preserve">) and pursuant to the terms of the Registration Statement. In this opinion </w:t>
      </w:r>
      <w:r>
        <w:rPr>
          <w:rFonts w:ascii="Times New Roman" w:cs="Times New Roman" w:eastAsia="Times New Roman" w:hAnsi="Times New Roman"/>
          <w:sz w:val="15"/>
          <w:szCs w:val="15"/>
          <w:b w:val="1"/>
          <w:bCs w:val="1"/>
          <w:i w:val="1"/>
          <w:iCs w:val="1"/>
          <w:color w:val="auto"/>
        </w:rPr>
        <w:t>Companies Act</w:t>
      </w:r>
      <w:r>
        <w:rPr>
          <w:rFonts w:ascii="Times New Roman" w:cs="Times New Roman" w:eastAsia="Times New Roman" w:hAnsi="Times New Roman"/>
          <w:sz w:val="15"/>
          <w:szCs w:val="15"/>
          <w:color w:val="auto"/>
        </w:rPr>
        <w:t xml:space="preserve"> means the Companies Act, as amended, of the Cayman Islands.</w:t>
      </w:r>
    </w:p>
    <w:p>
      <w:pPr>
        <w:spacing w:after="0" w:line="133" w:lineRule="exact"/>
        <w:rPr>
          <w:sz w:val="20"/>
          <w:szCs w:val="20"/>
          <w:color w:val="auto"/>
        </w:rPr>
      </w:pPr>
    </w:p>
    <w:p>
      <w:pPr>
        <w:ind w:left="5" w:right="560"/>
        <w:spacing w:after="0" w:line="284" w:lineRule="auto"/>
        <w:rPr>
          <w:sz w:val="20"/>
          <w:szCs w:val="20"/>
          <w:color w:val="auto"/>
        </w:rPr>
      </w:pPr>
      <w:r>
        <w:rPr>
          <w:rFonts w:ascii="Times New Roman" w:cs="Times New Roman" w:eastAsia="Times New Roman" w:hAnsi="Times New Roman"/>
          <w:sz w:val="15"/>
          <w:szCs w:val="15"/>
          <w:color w:val="auto"/>
        </w:rPr>
        <w:t>Each ten (10) Rights entitle the holder thereof to receive one (1) Class A Share upon the consummation of a business combination. There will be no fractional shares issued upon the conversion of the Rights.</w:t>
      </w:r>
    </w:p>
    <w:p>
      <w:pPr>
        <w:spacing w:after="0" w:line="133" w:lineRule="exact"/>
        <w:rPr>
          <w:sz w:val="20"/>
          <w:szCs w:val="20"/>
          <w:color w:val="auto"/>
        </w:rPr>
      </w:pPr>
    </w:p>
    <w:p>
      <w:pPr>
        <w:ind w:left="5" w:right="420"/>
        <w:spacing w:after="0" w:line="289" w:lineRule="auto"/>
        <w:rPr>
          <w:sz w:val="20"/>
          <w:szCs w:val="20"/>
          <w:color w:val="auto"/>
        </w:rPr>
      </w:pPr>
      <w:r>
        <w:rPr>
          <w:rFonts w:ascii="Times New Roman" w:cs="Times New Roman" w:eastAsia="Times New Roman" w:hAnsi="Times New Roman"/>
          <w:sz w:val="15"/>
          <w:szCs w:val="15"/>
          <w:color w:val="auto"/>
        </w:rPr>
        <w:t>The Class A Shares underlying the Units and the Over- Allotment Units are referred to herein as the</w:t>
      </w:r>
      <w:r>
        <w:rPr>
          <w:rFonts w:ascii="Times New Roman" w:cs="Times New Roman" w:eastAsia="Times New Roman" w:hAnsi="Times New Roman"/>
          <w:sz w:val="15"/>
          <w:szCs w:val="15"/>
          <w:b w:val="1"/>
          <w:bCs w:val="1"/>
          <w:i w:val="1"/>
          <w:iCs w:val="1"/>
          <w:color w:val="auto"/>
        </w:rPr>
        <w:t>Unit Shares</w:t>
      </w:r>
      <w:r>
        <w:rPr>
          <w:rFonts w:ascii="Times New Roman" w:cs="Times New Roman" w:eastAsia="Times New Roman" w:hAnsi="Times New Roman"/>
          <w:sz w:val="15"/>
          <w:szCs w:val="15"/>
          <w:color w:val="auto"/>
        </w:rPr>
        <w:t xml:space="preserve"> and the Class A Shares to be issued in accordance with the Rights are referred to herein as the </w:t>
      </w:r>
      <w:r>
        <w:rPr>
          <w:rFonts w:ascii="Times New Roman" w:cs="Times New Roman" w:eastAsia="Times New Roman" w:hAnsi="Times New Roman"/>
          <w:sz w:val="15"/>
          <w:szCs w:val="15"/>
          <w:b w:val="1"/>
          <w:bCs w:val="1"/>
          <w:i w:val="1"/>
          <w:iCs w:val="1"/>
          <w:color w:val="auto"/>
        </w:rPr>
        <w:t>Rights Shares</w:t>
      </w:r>
      <w:r>
        <w:rPr>
          <w:rFonts w:ascii="Times New Roman" w:cs="Times New Roman" w:eastAsia="Times New Roman" w:hAnsi="Times New Roman"/>
          <w:sz w:val="15"/>
          <w:szCs w:val="15"/>
          <w:color w:val="auto"/>
        </w:rPr>
        <w:t>.</w:t>
      </w:r>
    </w:p>
    <w:p>
      <w:pPr>
        <w:sectPr>
          <w:pgSz w:w="11900" w:h="16840" w:orient="portrait"/>
          <w:cols w:equalWidth="0" w:num="1">
            <w:col w:w="9665"/>
          </w:cols>
          <w:pgMar w:left="1115" w:top="554" w:right="1120" w:bottom="1440" w:gutter="0" w:footer="0" w:header="0"/>
        </w:sectPr>
      </w:pPr>
    </w:p>
    <w:bookmarkStart w:id="318" w:name="page319"/>
    <w:bookmarkEnd w:id="318"/>
    <w:p>
      <w:pPr>
        <w:ind w:left="5"/>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6749415" cy="35560"/>
                    </a:xfrm>
                    <a:prstGeom prst="rect">
                      <a:avLst/>
                    </a:prstGeom>
                    <a:noFill/>
                  </pic:spPr>
                </pic:pic>
              </a:graphicData>
            </a:graphic>
          </wp:anchor>
        </w:drawing>
        <w:t>We are furnishing this opinion as Exhibit 5.2 to the Registration Statement.</w:t>
      </w:r>
    </w:p>
    <w:p>
      <w:pPr>
        <w:spacing w:after="0" w:line="195" w:lineRule="exact"/>
        <w:rPr>
          <w:sz w:val="20"/>
          <w:szCs w:val="20"/>
          <w:color w:val="auto"/>
        </w:rPr>
      </w:pPr>
    </w:p>
    <w:p>
      <w:pPr>
        <w:ind w:left="5" w:right="120"/>
        <w:spacing w:after="0" w:line="259" w:lineRule="auto"/>
        <w:rPr>
          <w:sz w:val="20"/>
          <w:szCs w:val="20"/>
          <w:color w:val="auto"/>
        </w:rPr>
      </w:pPr>
      <w:r>
        <w:rPr>
          <w:rFonts w:ascii="Times New Roman" w:cs="Times New Roman" w:eastAsia="Times New Roman" w:hAnsi="Times New Roman"/>
          <w:sz w:val="15"/>
          <w:szCs w:val="15"/>
          <w:color w:val="auto"/>
        </w:rPr>
        <w:t>For the purposes of giving this opinion, we have examined the Documents (as defined in Schedule 1) which are all the documents which we consider necessary and appropriate for the matters set out in this legal opinion.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spacing w:after="0" w:line="1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In giving this opinion, we have relied upon the assumptions set out in Schedule 2 which we have not independently verified.</w:t>
      </w:r>
    </w:p>
    <w:p>
      <w:pPr>
        <w:spacing w:after="0" w:line="195" w:lineRule="exact"/>
        <w:rPr>
          <w:sz w:val="20"/>
          <w:szCs w:val="20"/>
          <w:color w:val="auto"/>
        </w:rPr>
      </w:pPr>
    </w:p>
    <w:p>
      <w:pPr>
        <w:ind w:left="5" w:right="320"/>
        <w:spacing w:after="0" w:line="284" w:lineRule="auto"/>
        <w:rPr>
          <w:sz w:val="20"/>
          <w:szCs w:val="20"/>
          <w:color w:val="auto"/>
        </w:rPr>
      </w:pPr>
      <w:r>
        <w:rPr>
          <w:rFonts w:ascii="Times New Roman" w:cs="Times New Roman" w:eastAsia="Times New Roman" w:hAnsi="Times New Roman"/>
          <w:sz w:val="15"/>
          <w:szCs w:val="15"/>
          <w:color w:val="auto"/>
        </w:rPr>
        <w:t>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w:t>
      </w:r>
    </w:p>
    <w:p>
      <w:pPr>
        <w:spacing w:after="0" w:line="62" w:lineRule="exact"/>
        <w:rPr>
          <w:sz w:val="20"/>
          <w:szCs w:val="20"/>
          <w:color w:val="auto"/>
        </w:rPr>
      </w:pPr>
    </w:p>
    <w:p>
      <w:pPr>
        <w:ind w:left="385" w:right="180" w:hanging="385"/>
        <w:spacing w:after="0" w:line="289" w:lineRule="auto"/>
        <w:tabs>
          <w:tab w:leader="none" w:pos="385"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Existence and Good Standing. </w:t>
      </w:r>
      <w:r>
        <w:rPr>
          <w:rFonts w:ascii="Times New Roman" w:cs="Times New Roman" w:eastAsia="Times New Roman" w:hAnsi="Times New Roman"/>
          <w:sz w:val="15"/>
          <w:szCs w:val="15"/>
          <w:color w:val="auto"/>
        </w:rPr>
        <w:t>The Company has been duly incorporated as an exempted company with limited liability and is validly existing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good standing under the laws of the Cayman Islands.</w:t>
      </w:r>
    </w:p>
    <w:p>
      <w:pPr>
        <w:spacing w:after="0" w:line="58" w:lineRule="exact"/>
        <w:rPr>
          <w:sz w:val="20"/>
          <w:szCs w:val="20"/>
          <w:color w:val="auto"/>
        </w:rPr>
      </w:pPr>
    </w:p>
    <w:p>
      <w:pPr>
        <w:ind w:left="385" w:right="260" w:hanging="385"/>
        <w:spacing w:after="0" w:line="289" w:lineRule="auto"/>
        <w:tabs>
          <w:tab w:leader="none" w:pos="385"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Capacity and Power. </w:t>
      </w:r>
      <w:r>
        <w:rPr>
          <w:rFonts w:ascii="Times New Roman" w:cs="Times New Roman" w:eastAsia="Times New Roman" w:hAnsi="Times New Roman"/>
          <w:sz w:val="15"/>
          <w:szCs w:val="15"/>
          <w:color w:val="auto"/>
        </w:rPr>
        <w:t>The delivery of the Registration Statement by the Company and the performance of its obligations thereunder are within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corporate capacity and power of the Company and have been duly authorised and approved by all necessary corporate action of the Company.</w:t>
      </w:r>
    </w:p>
    <w:p>
      <w:pPr>
        <w:spacing w:after="0" w:line="58" w:lineRule="exact"/>
        <w:rPr>
          <w:sz w:val="20"/>
          <w:szCs w:val="20"/>
          <w:color w:val="auto"/>
        </w:rPr>
      </w:pPr>
    </w:p>
    <w:p>
      <w:pPr>
        <w:ind w:left="385" w:hanging="385"/>
        <w:spacing w:after="0"/>
        <w:tabs>
          <w:tab w:leader="none" w:pos="385"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Authorised Share Capital. </w:t>
      </w:r>
      <w:r>
        <w:rPr>
          <w:rFonts w:ascii="Times New Roman" w:cs="Times New Roman" w:eastAsia="Times New Roman" w:hAnsi="Times New Roman"/>
          <w:sz w:val="15"/>
          <w:szCs w:val="15"/>
          <w:color w:val="auto"/>
        </w:rPr>
        <w:t>Based on our review of the Mem &amp; Arts, the authorised share capital of the Company is US$ 22,100 divided into:</w:t>
      </w:r>
    </w:p>
    <w:p>
      <w:pPr>
        <w:spacing w:after="0" w:line="123" w:lineRule="exact"/>
        <w:rPr>
          <w:rFonts w:ascii="Times New Roman" w:cs="Times New Roman" w:eastAsia="Times New Roman" w:hAnsi="Times New Roman"/>
          <w:sz w:val="15"/>
          <w:szCs w:val="15"/>
          <w:color w:val="auto"/>
        </w:rPr>
      </w:pPr>
    </w:p>
    <w:p>
      <w:pPr>
        <w:ind w:left="845" w:hanging="466"/>
        <w:spacing w:after="0"/>
        <w:tabs>
          <w:tab w:leader="none" w:pos="845" w:val="left"/>
        </w:tabs>
        <w:numPr>
          <w:ilvl w:val="1"/>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200,000,000 Class A ordinary shares of a par value of US$ 0.0001 each (</w:t>
      </w:r>
      <w:r>
        <w:rPr>
          <w:rFonts w:ascii="Times New Roman" w:cs="Times New Roman" w:eastAsia="Times New Roman" w:hAnsi="Times New Roman"/>
          <w:sz w:val="15"/>
          <w:szCs w:val="15"/>
          <w:b w:val="1"/>
          <w:bCs w:val="1"/>
          <w:i w:val="1"/>
          <w:iCs w:val="1"/>
          <w:color w:val="auto"/>
        </w:rPr>
        <w:t>Class A Shares</w:t>
      </w:r>
      <w:r>
        <w:rPr>
          <w:rFonts w:ascii="Times New Roman" w:cs="Times New Roman" w:eastAsia="Times New Roman" w:hAnsi="Times New Roman"/>
          <w:sz w:val="15"/>
          <w:szCs w:val="15"/>
          <w:color w:val="auto"/>
        </w:rPr>
        <w:t>);</w:t>
      </w:r>
    </w:p>
    <w:p>
      <w:pPr>
        <w:spacing w:after="0" w:line="123" w:lineRule="exact"/>
        <w:rPr>
          <w:rFonts w:ascii="Times New Roman" w:cs="Times New Roman" w:eastAsia="Times New Roman" w:hAnsi="Times New Roman"/>
          <w:sz w:val="15"/>
          <w:szCs w:val="15"/>
          <w:color w:val="auto"/>
        </w:rPr>
      </w:pPr>
    </w:p>
    <w:p>
      <w:pPr>
        <w:ind w:left="845" w:hanging="466"/>
        <w:spacing w:after="0"/>
        <w:tabs>
          <w:tab w:leader="none" w:pos="845" w:val="left"/>
        </w:tabs>
        <w:numPr>
          <w:ilvl w:val="1"/>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20,000,000 Class B ordinary shares of a par value of US$ 0.0001 each (</w:t>
      </w:r>
      <w:r>
        <w:rPr>
          <w:rFonts w:ascii="Times New Roman" w:cs="Times New Roman" w:eastAsia="Times New Roman" w:hAnsi="Times New Roman"/>
          <w:sz w:val="15"/>
          <w:szCs w:val="15"/>
          <w:b w:val="1"/>
          <w:bCs w:val="1"/>
          <w:i w:val="1"/>
          <w:iCs w:val="1"/>
          <w:color w:val="auto"/>
        </w:rPr>
        <w:t>Class B Shares</w:t>
      </w:r>
      <w:r>
        <w:rPr>
          <w:rFonts w:ascii="Times New Roman" w:cs="Times New Roman" w:eastAsia="Times New Roman" w:hAnsi="Times New Roman"/>
          <w:sz w:val="15"/>
          <w:szCs w:val="15"/>
          <w:color w:val="auto"/>
        </w:rPr>
        <w:t>); and</w:t>
      </w:r>
    </w:p>
    <w:p>
      <w:pPr>
        <w:spacing w:after="0" w:line="123" w:lineRule="exact"/>
        <w:rPr>
          <w:rFonts w:ascii="Times New Roman" w:cs="Times New Roman" w:eastAsia="Times New Roman" w:hAnsi="Times New Roman"/>
          <w:sz w:val="15"/>
          <w:szCs w:val="15"/>
          <w:color w:val="auto"/>
        </w:rPr>
      </w:pPr>
    </w:p>
    <w:p>
      <w:pPr>
        <w:ind w:left="845" w:hanging="466"/>
        <w:spacing w:after="0"/>
        <w:tabs>
          <w:tab w:leader="none" w:pos="845" w:val="left"/>
        </w:tabs>
        <w:numPr>
          <w:ilvl w:val="1"/>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1,000,000 Preference shares of a par value of US$ 0.0001 each (</w:t>
      </w:r>
      <w:r>
        <w:rPr>
          <w:rFonts w:ascii="Times New Roman" w:cs="Times New Roman" w:eastAsia="Times New Roman" w:hAnsi="Times New Roman"/>
          <w:sz w:val="15"/>
          <w:szCs w:val="15"/>
          <w:b w:val="1"/>
          <w:bCs w:val="1"/>
          <w:i w:val="1"/>
          <w:iCs w:val="1"/>
          <w:color w:val="auto"/>
        </w:rPr>
        <w:t>Preference Shares</w:t>
      </w:r>
      <w:r>
        <w:rPr>
          <w:rFonts w:ascii="Times New Roman" w:cs="Times New Roman" w:eastAsia="Times New Roman" w:hAnsi="Times New Roman"/>
          <w:sz w:val="15"/>
          <w:szCs w:val="15"/>
          <w:color w:val="auto"/>
        </w:rPr>
        <w:t>).</w:t>
      </w:r>
    </w:p>
    <w:p>
      <w:pPr>
        <w:spacing w:after="0" w:line="124" w:lineRule="exact"/>
        <w:rPr>
          <w:sz w:val="20"/>
          <w:szCs w:val="20"/>
          <w:color w:val="auto"/>
        </w:rPr>
      </w:pPr>
    </w:p>
    <w:p>
      <w:pPr>
        <w:ind w:left="385" w:hanging="385"/>
        <w:spacing w:after="0"/>
        <w:tabs>
          <w:tab w:leader="none" w:pos="385" w:val="left"/>
        </w:tabs>
        <w:numPr>
          <w:ilvl w:val="0"/>
          <w:numId w:val="16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Issued Securities. </w:t>
      </w:r>
      <w:r>
        <w:rPr>
          <w:rFonts w:ascii="Times New Roman" w:cs="Times New Roman" w:eastAsia="Times New Roman" w:hAnsi="Times New Roman"/>
          <w:sz w:val="15"/>
          <w:szCs w:val="15"/>
          <w:color w:val="auto"/>
        </w:rPr>
        <w:t>As of the date of the Certificate of Incumbency (as defined in Schedule 1), the Company has:</w:t>
      </w:r>
    </w:p>
    <w:p>
      <w:pPr>
        <w:spacing w:after="0" w:line="127" w:lineRule="exact"/>
        <w:rPr>
          <w:rFonts w:ascii="Times New Roman" w:cs="Times New Roman" w:eastAsia="Times New Roman" w:hAnsi="Times New Roman"/>
          <w:sz w:val="15"/>
          <w:szCs w:val="15"/>
          <w:b w:val="1"/>
          <w:bCs w:val="1"/>
          <w:color w:val="auto"/>
        </w:rPr>
      </w:pPr>
    </w:p>
    <w:p>
      <w:pPr>
        <w:ind w:left="845" w:hanging="466"/>
        <w:spacing w:after="0"/>
        <w:tabs>
          <w:tab w:leader="none" w:pos="845" w:val="left"/>
        </w:tabs>
        <w:numPr>
          <w:ilvl w:val="1"/>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0 Class A Shares;</w:t>
      </w:r>
    </w:p>
    <w:p>
      <w:pPr>
        <w:spacing w:after="0" w:line="123" w:lineRule="exact"/>
        <w:rPr>
          <w:rFonts w:ascii="Times New Roman" w:cs="Times New Roman" w:eastAsia="Times New Roman" w:hAnsi="Times New Roman"/>
          <w:sz w:val="15"/>
          <w:szCs w:val="15"/>
          <w:color w:val="auto"/>
        </w:rPr>
      </w:pPr>
    </w:p>
    <w:p>
      <w:pPr>
        <w:ind w:left="845" w:hanging="466"/>
        <w:spacing w:after="0"/>
        <w:tabs>
          <w:tab w:leader="none" w:pos="845" w:val="left"/>
        </w:tabs>
        <w:numPr>
          <w:ilvl w:val="1"/>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7,850,229 Class B Shares; and</w:t>
      </w:r>
    </w:p>
    <w:p>
      <w:pPr>
        <w:spacing w:after="0" w:line="123" w:lineRule="exact"/>
        <w:rPr>
          <w:rFonts w:ascii="Times New Roman" w:cs="Times New Roman" w:eastAsia="Times New Roman" w:hAnsi="Times New Roman"/>
          <w:sz w:val="15"/>
          <w:szCs w:val="15"/>
          <w:color w:val="auto"/>
        </w:rPr>
      </w:pPr>
    </w:p>
    <w:p>
      <w:pPr>
        <w:ind w:left="845" w:hanging="466"/>
        <w:spacing w:after="0"/>
        <w:tabs>
          <w:tab w:leader="none" w:pos="845" w:val="left"/>
        </w:tabs>
        <w:numPr>
          <w:ilvl w:val="1"/>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0 Preference Shares,</w:t>
      </w:r>
    </w:p>
    <w:p>
      <w:pPr>
        <w:spacing w:after="0" w:line="195"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5"/>
          <w:szCs w:val="15"/>
          <w:color w:val="auto"/>
        </w:rPr>
        <w:t>issued and outstanding.</w:t>
      </w:r>
    </w:p>
    <w:p>
      <w:pPr>
        <w:spacing w:after="0" w:line="120" w:lineRule="exact"/>
        <w:rPr>
          <w:sz w:val="20"/>
          <w:szCs w:val="20"/>
          <w:color w:val="auto"/>
        </w:rPr>
      </w:pPr>
    </w:p>
    <w:p>
      <w:pPr>
        <w:ind w:left="385" w:hanging="385"/>
        <w:spacing w:after="0" w:line="261" w:lineRule="auto"/>
        <w:tabs>
          <w:tab w:leader="none" w:pos="385" w:val="left"/>
        </w:tabs>
        <w:numPr>
          <w:ilvl w:val="0"/>
          <w:numId w:val="1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Unit Shares. </w:t>
      </w:r>
      <w:r>
        <w:rPr>
          <w:rFonts w:ascii="Times New Roman" w:cs="Times New Roman" w:eastAsia="Times New Roman" w:hAnsi="Times New Roman"/>
          <w:sz w:val="15"/>
          <w:szCs w:val="15"/>
          <w:color w:val="auto"/>
        </w:rPr>
        <w:t>The Unit Shares to be issued by the Company as contemplated by the Registration Statement have been duly authorised and, when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allotted, issued and fully paid for in accordance with the Resolutions (as defined in Schedule 1), and when the name of the shareholder is entered in the register of members of the Company (</w:t>
      </w:r>
      <w:r>
        <w:rPr>
          <w:rFonts w:ascii="Times New Roman" w:cs="Times New Roman" w:eastAsia="Times New Roman" w:hAnsi="Times New Roman"/>
          <w:sz w:val="15"/>
          <w:szCs w:val="15"/>
          <w:b w:val="1"/>
          <w:bCs w:val="1"/>
          <w:i w:val="1"/>
          <w:iCs w:val="1"/>
          <w:color w:val="auto"/>
        </w:rPr>
        <w:t>Register of Members</w:t>
      </w:r>
      <w:r>
        <w:rPr>
          <w:rFonts w:ascii="Times New Roman" w:cs="Times New Roman" w:eastAsia="Times New Roman" w:hAnsi="Times New Roman"/>
          <w:sz w:val="15"/>
          <w:szCs w:val="15"/>
          <w:color w:val="auto"/>
        </w:rPr>
        <w:t>), the Unit Shares will be validly issued, allotted, fully paid, and non-assessable and there will be no further obligation on the holder of any of the Unit Shares to make any further payment to the Company in respect of such Unit Shares.</w:t>
      </w:r>
    </w:p>
    <w:p>
      <w:pPr>
        <w:spacing w:after="0" w:line="79" w:lineRule="exact"/>
        <w:rPr>
          <w:sz w:val="20"/>
          <w:szCs w:val="20"/>
          <w:color w:val="auto"/>
        </w:rPr>
      </w:pPr>
    </w:p>
    <w:p>
      <w:pPr>
        <w:ind w:left="385" w:right="160" w:hanging="385"/>
        <w:spacing w:after="0" w:line="261" w:lineRule="auto"/>
        <w:tabs>
          <w:tab w:leader="none" w:pos="385" w:val="left"/>
        </w:tabs>
        <w:numPr>
          <w:ilvl w:val="0"/>
          <w:numId w:val="1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Rights Shares. </w:t>
      </w:r>
      <w:r>
        <w:rPr>
          <w:rFonts w:ascii="Times New Roman" w:cs="Times New Roman" w:eastAsia="Times New Roman" w:hAnsi="Times New Roman"/>
          <w:sz w:val="15"/>
          <w:szCs w:val="15"/>
          <w:color w:val="auto"/>
        </w:rPr>
        <w:t>The Rights Shares to be issued by the Company as contemplated by the Registration Statement have been duly authorised and, when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allotted, issued and fully paid for in accordance with the Resolutions, the terms of the Rights, and when the name of the shareholder is entered in the Register of Members, the Rights Shares will be validly issued, allotted, fully paid, and non-assessable and there will be no further obligation on the holder of any of the Rights Shares to make any further payment to the Company in respect of such Rights Shares.</w:t>
      </w:r>
    </w:p>
    <w:p>
      <w:pPr>
        <w:spacing w:after="0" w:line="11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5"/>
          <w:szCs w:val="15"/>
          <w:color w:val="auto"/>
        </w:rPr>
        <w:t>2</w:t>
      </w:r>
    </w:p>
    <w:p>
      <w:pPr>
        <w:sectPr>
          <w:pgSz w:w="11900" w:h="16840" w:orient="portrait"/>
          <w:cols w:equalWidth="0" w:num="1">
            <w:col w:w="9685"/>
          </w:cols>
          <w:pgMar w:left="1115" w:top="689" w:right="1100" w:bottom="1440" w:gutter="0" w:footer="0" w:header="0"/>
        </w:sectPr>
      </w:pPr>
    </w:p>
    <w:bookmarkStart w:id="319" w:name="page320"/>
    <w:bookmarkEnd w:id="319"/>
    <w:p>
      <w:pPr>
        <w:ind w:left="385" w:hanging="385"/>
        <w:spacing w:after="0" w:line="268" w:lineRule="auto"/>
        <w:tabs>
          <w:tab w:leader="none" w:pos="385" w:val="left"/>
        </w:tabs>
        <w:numPr>
          <w:ilvl w:val="0"/>
          <w:numId w:val="1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Cayman Islands Law. </w:t>
      </w:r>
      <w:r>
        <w:rPr>
          <w:rFonts w:ascii="Times New Roman" w:cs="Times New Roman" w:eastAsia="Times New Roman" w:hAnsi="Times New Roman"/>
          <w:sz w:val="15"/>
          <w:szCs w:val="15"/>
          <w:color w:val="auto"/>
        </w:rPr>
        <w:t>The statements under the caption “Taxation” in the prospectus forming part of the Registration Statement, to the extent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they constitute statements of Cayman Islands law, are accurate in all material respects as at the date of this opinion and such statements constitute our opinion.</w:t>
      </w:r>
    </w:p>
    <w:p>
      <w:pPr>
        <w:spacing w:after="0" w:line="149" w:lineRule="exact"/>
        <w:rPr>
          <w:sz w:val="20"/>
          <w:szCs w:val="20"/>
          <w:color w:val="auto"/>
        </w:rPr>
      </w:pPr>
    </w:p>
    <w:p>
      <w:pPr>
        <w:ind w:left="5" w:right="20"/>
        <w:spacing w:after="0" w:line="265" w:lineRule="auto"/>
        <w:rPr>
          <w:sz w:val="20"/>
          <w:szCs w:val="20"/>
          <w:color w:val="auto"/>
        </w:rPr>
      </w:pPr>
      <w:r>
        <w:rPr>
          <w:rFonts w:ascii="Times New Roman" w:cs="Times New Roman" w:eastAsia="Times New Roman" w:hAnsi="Times New Roman"/>
          <w:sz w:val="15"/>
          <w:szCs w:val="15"/>
          <w:color w:val="auto"/>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Except as specifically stated herein, we express no opinion as to matters of fact.</w:t>
      </w:r>
    </w:p>
    <w:p>
      <w:pPr>
        <w:spacing w:after="0" w:line="151" w:lineRule="exact"/>
        <w:rPr>
          <w:sz w:val="20"/>
          <w:szCs w:val="20"/>
          <w:color w:val="auto"/>
        </w:rPr>
      </w:pPr>
    </w:p>
    <w:p>
      <w:pPr>
        <w:ind w:left="5" w:right="40"/>
        <w:spacing w:after="0" w:line="259" w:lineRule="auto"/>
        <w:rPr>
          <w:sz w:val="20"/>
          <w:szCs w:val="20"/>
          <w:color w:val="auto"/>
        </w:rPr>
      </w:pPr>
      <w:r>
        <w:rPr>
          <w:rFonts w:ascii="Times New Roman" w:cs="Times New Roman" w:eastAsia="Times New Roman" w:hAnsi="Times New Roman"/>
          <w:sz w:val="15"/>
          <w:szCs w:val="15"/>
          <w:color w:val="auto"/>
        </w:rPr>
        <w:t>In connection with the above opinion, we hereby consent to the filing of this opinion as an exhibit to the Registration Statement and to the reference to our name under the heading “Legal Matters” and elsewhere in the prospectus included in the Registration Statement. In giving such consent, we do not thereby admit that we come within the category of persons whose consent is required under Section 7 of the Securities Act, as amended, or the Rules and Regulations of the Commission thereunder.</w:t>
      </w:r>
    </w:p>
    <w:p>
      <w:pPr>
        <w:spacing w:after="0" w:line="1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This opinion is limited to the matters referred to herein and shall not be construed as extending to any other matter or document not referred to herein.</w:t>
      </w:r>
    </w:p>
    <w:p>
      <w:pPr>
        <w:spacing w:after="0" w:line="1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This opinion shall be construed in accordance with the laws of the Cayman Islands.</w:t>
      </w:r>
    </w:p>
    <w:p>
      <w:pPr>
        <w:spacing w:after="0" w:line="23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130810</wp:posOffset>
            </wp:positionV>
            <wp:extent cx="2023110" cy="3086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20231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b w:val="1"/>
          <w:bCs w:val="1"/>
          <w:color w:val="auto"/>
        </w:rPr>
        <w:t>Harney Westwood &amp; Riegels (Cayman) LLP</w:t>
      </w:r>
    </w:p>
    <w:p>
      <w:pPr>
        <w:spacing w:after="0" w:line="163" w:lineRule="exact"/>
        <w:rPr>
          <w:sz w:val="20"/>
          <w:szCs w:val="20"/>
          <w:color w:val="auto"/>
        </w:rPr>
      </w:pPr>
    </w:p>
    <w:p>
      <w:pPr>
        <w:jc w:val="center"/>
        <w:ind w:right="-64"/>
        <w:spacing w:after="0"/>
        <w:rPr>
          <w:sz w:val="20"/>
          <w:szCs w:val="20"/>
          <w:color w:val="auto"/>
        </w:rPr>
      </w:pPr>
      <w:r>
        <w:rPr>
          <w:rFonts w:ascii="Times New Roman" w:cs="Times New Roman" w:eastAsia="Times New Roman" w:hAnsi="Times New Roman"/>
          <w:sz w:val="15"/>
          <w:szCs w:val="15"/>
          <w:color w:val="auto"/>
        </w:rPr>
        <w:t>3</w:t>
      </w:r>
    </w:p>
    <w:p>
      <w:pPr>
        <w:sectPr>
          <w:pgSz w:w="11900" w:h="16840" w:orient="portrait"/>
          <w:cols w:equalWidth="0" w:num="1">
            <w:col w:w="9585"/>
          </w:cols>
          <w:pgMar w:left="1115" w:top="685" w:right="1200" w:bottom="1440" w:gutter="0" w:footer="0" w:header="0"/>
        </w:sectPr>
      </w:pPr>
    </w:p>
    <w:bookmarkStart w:id="320" w:name="page321"/>
    <w:bookmarkEnd w:id="320"/>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6749415" cy="35560"/>
                    </a:xfrm>
                    <a:prstGeom prst="rect">
                      <a:avLst/>
                    </a:prstGeom>
                    <a:noFill/>
                  </pic:spPr>
                </pic:pic>
              </a:graphicData>
            </a:graphic>
          </wp:anchor>
        </w:drawing>
        <w:t>SCHEDULE 1</w:t>
      </w:r>
    </w:p>
    <w:p>
      <w:pPr>
        <w:spacing w:after="0" w:line="199"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5"/>
          <w:szCs w:val="15"/>
          <w:color w:val="auto"/>
        </w:rPr>
        <w:t>List of Documents and Records Examined</w:t>
      </w:r>
    </w:p>
    <w:p>
      <w:pPr>
        <w:spacing w:after="0" w:line="230" w:lineRule="exact"/>
        <w:rPr>
          <w:sz w:val="20"/>
          <w:szCs w:val="20"/>
          <w:color w:val="auto"/>
        </w:rPr>
      </w:pPr>
    </w:p>
    <w:p>
      <w:pPr>
        <w:ind w:left="385" w:hanging="385"/>
        <w:spacing w:after="0"/>
        <w:tabs>
          <w:tab w:leader="none" w:pos="385"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Certificate of Incorporation dated 30 June 2025.</w:t>
      </w:r>
    </w:p>
    <w:p>
      <w:pPr>
        <w:spacing w:after="0" w:line="120" w:lineRule="exact"/>
        <w:rPr>
          <w:sz w:val="20"/>
          <w:szCs w:val="20"/>
          <w:color w:val="auto"/>
        </w:rPr>
      </w:pPr>
    </w:p>
    <w:p>
      <w:pPr>
        <w:ind w:left="385" w:hanging="385"/>
        <w:spacing w:after="0"/>
        <w:tabs>
          <w:tab w:leader="none" w:pos="385"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Memorandum and Articles of Association of the Company dated 30 June 2025 (</w:t>
      </w:r>
      <w:r>
        <w:rPr>
          <w:rFonts w:ascii="Times New Roman" w:cs="Times New Roman" w:eastAsia="Times New Roman" w:hAnsi="Times New Roman"/>
          <w:sz w:val="15"/>
          <w:szCs w:val="15"/>
          <w:b w:val="1"/>
          <w:bCs w:val="1"/>
          <w:i w:val="1"/>
          <w:iCs w:val="1"/>
          <w:color w:val="auto"/>
        </w:rPr>
        <w:t>Mem &amp; Arts</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ind w:left="385" w:hanging="385"/>
        <w:spacing w:after="0" w:line="284" w:lineRule="auto"/>
        <w:tabs>
          <w:tab w:leader="none" w:pos="385"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Certificate of Incumbency in respect of the Company, issued by Harneys Fiduciary (Cayman) Limited on 22 September 2025, as Registered Office provider to the Company (</w:t>
      </w:r>
      <w:r>
        <w:rPr>
          <w:rFonts w:ascii="Times New Roman" w:cs="Times New Roman" w:eastAsia="Times New Roman" w:hAnsi="Times New Roman"/>
          <w:sz w:val="15"/>
          <w:szCs w:val="15"/>
          <w:b w:val="1"/>
          <w:bCs w:val="1"/>
          <w:i w:val="1"/>
          <w:iCs w:val="1"/>
          <w:color w:val="auto"/>
        </w:rPr>
        <w:t>Certificate of Incumbency</w:t>
      </w:r>
      <w:r>
        <w:rPr>
          <w:rFonts w:ascii="Times New Roman" w:cs="Times New Roman" w:eastAsia="Times New Roman" w:hAnsi="Times New Roman"/>
          <w:sz w:val="15"/>
          <w:szCs w:val="15"/>
          <w:color w:val="auto"/>
        </w:rPr>
        <w:t>).</w:t>
      </w:r>
    </w:p>
    <w:p>
      <w:pPr>
        <w:spacing w:after="0" w:line="66" w:lineRule="exact"/>
        <w:rPr>
          <w:sz w:val="20"/>
          <w:szCs w:val="20"/>
          <w:color w:val="auto"/>
        </w:rPr>
      </w:pPr>
    </w:p>
    <w:p>
      <w:pPr>
        <w:ind w:left="385" w:hanging="385"/>
        <w:spacing w:after="0"/>
        <w:tabs>
          <w:tab w:leader="none" w:pos="385"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Certificate of Good Standing in respect of the Company issued by the Cayman Registrar of Companies dated 22 September 2025.</w:t>
      </w:r>
    </w:p>
    <w:p>
      <w:pPr>
        <w:spacing w:after="0" w:line="124" w:lineRule="exact"/>
        <w:rPr>
          <w:sz w:val="20"/>
          <w:szCs w:val="20"/>
          <w:color w:val="auto"/>
        </w:rPr>
      </w:pPr>
    </w:p>
    <w:p>
      <w:pPr>
        <w:ind w:left="385" w:right="40" w:hanging="385"/>
        <w:spacing w:after="0" w:line="284" w:lineRule="auto"/>
        <w:tabs>
          <w:tab w:leader="none" w:pos="385"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Register of Writs and other Originating Process of the Grand Court of the Cayman Islands via the Court’s Digital System from the incorporation date of the Company to 23 September 2025.</w:t>
      </w:r>
    </w:p>
    <w:p>
      <w:pPr>
        <w:spacing w:after="0" w:line="62" w:lineRule="exact"/>
        <w:rPr>
          <w:sz w:val="20"/>
          <w:szCs w:val="20"/>
          <w:color w:val="auto"/>
        </w:rPr>
      </w:pPr>
    </w:p>
    <w:p>
      <w:pPr>
        <w:ind w:left="5" w:right="2680" w:hanging="5"/>
        <w:spacing w:after="0" w:line="398" w:lineRule="auto"/>
        <w:tabs>
          <w:tab w:leader="none" w:pos="384"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written resolutions of the directors of the Company dated 22 September 2025 (</w:t>
      </w:r>
      <w:r>
        <w:rPr>
          <w:rFonts w:ascii="Times New Roman" w:cs="Times New Roman" w:eastAsia="Times New Roman" w:hAnsi="Times New Roman"/>
          <w:sz w:val="15"/>
          <w:szCs w:val="15"/>
          <w:b w:val="1"/>
          <w:bCs w:val="1"/>
          <w:i w:val="1"/>
          <w:iCs w:val="1"/>
          <w:color w:val="auto"/>
        </w:rPr>
        <w:t>Resolutions</w:t>
      </w:r>
      <w:r>
        <w:rPr>
          <w:rFonts w:ascii="Times New Roman" w:cs="Times New Roman" w:eastAsia="Times New Roman" w:hAnsi="Times New Roman"/>
          <w:sz w:val="15"/>
          <w:szCs w:val="15"/>
          <w:color w:val="auto"/>
        </w:rPr>
        <w:t xml:space="preserve">). Items 1 to 6 above are together referred to as the </w:t>
      </w:r>
      <w:r>
        <w:rPr>
          <w:rFonts w:ascii="Times New Roman" w:cs="Times New Roman" w:eastAsia="Times New Roman" w:hAnsi="Times New Roman"/>
          <w:sz w:val="15"/>
          <w:szCs w:val="15"/>
          <w:b w:val="1"/>
          <w:bCs w:val="1"/>
          <w:i w:val="1"/>
          <w:iCs w:val="1"/>
          <w:color w:val="auto"/>
        </w:rPr>
        <w:t>Corporate Documents</w:t>
      </w:r>
      <w:r>
        <w:rPr>
          <w:rFonts w:ascii="Times New Roman" w:cs="Times New Roman" w:eastAsia="Times New Roman" w:hAnsi="Times New Roman"/>
          <w:sz w:val="15"/>
          <w:szCs w:val="15"/>
          <w:color w:val="auto"/>
        </w:rPr>
        <w:t>.</w:t>
      </w:r>
    </w:p>
    <w:p>
      <w:pPr>
        <w:ind w:left="385" w:right="320" w:hanging="385"/>
        <w:spacing w:after="0" w:line="284" w:lineRule="auto"/>
        <w:tabs>
          <w:tab w:leader="none" w:pos="385"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certificate dated 22 September 2025 provided by a director of the Company confirming certain matters to us which are relevant to our opinion (</w:t>
      </w:r>
      <w:r>
        <w:rPr>
          <w:rFonts w:ascii="Times New Roman" w:cs="Times New Roman" w:eastAsia="Times New Roman" w:hAnsi="Times New Roman"/>
          <w:sz w:val="15"/>
          <w:szCs w:val="15"/>
          <w:b w:val="1"/>
          <w:bCs w:val="1"/>
          <w:i w:val="1"/>
          <w:iCs w:val="1"/>
          <w:color w:val="auto"/>
        </w:rPr>
        <w:t>Director’s Certificate</w:t>
      </w:r>
      <w:r>
        <w:rPr>
          <w:rFonts w:ascii="Times New Roman" w:cs="Times New Roman" w:eastAsia="Times New Roman" w:hAnsi="Times New Roman"/>
          <w:sz w:val="15"/>
          <w:szCs w:val="15"/>
          <w:color w:val="auto"/>
        </w:rPr>
        <w:t>).</w:t>
      </w:r>
    </w:p>
    <w:p>
      <w:pPr>
        <w:spacing w:after="0" w:line="66" w:lineRule="exact"/>
        <w:rPr>
          <w:sz w:val="20"/>
          <w:szCs w:val="20"/>
          <w:color w:val="auto"/>
        </w:rPr>
      </w:pPr>
    </w:p>
    <w:p>
      <w:pPr>
        <w:ind w:left="385" w:hanging="385"/>
        <w:spacing w:after="0"/>
        <w:tabs>
          <w:tab w:leader="none" w:pos="385"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Statement.</w:t>
      </w:r>
    </w:p>
    <w:p>
      <w:pPr>
        <w:spacing w:after="0" w:line="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 xml:space="preserve">1 to 8 above are collectively referred to in this opinion as the </w:t>
      </w:r>
      <w:r>
        <w:rPr>
          <w:rFonts w:ascii="Times New Roman" w:cs="Times New Roman" w:eastAsia="Times New Roman" w:hAnsi="Times New Roman"/>
          <w:sz w:val="15"/>
          <w:szCs w:val="15"/>
          <w:b w:val="1"/>
          <w:bCs w:val="1"/>
          <w:i w:val="1"/>
          <w:iCs w:val="1"/>
          <w:color w:val="auto"/>
        </w:rPr>
        <w:t>Documents</w:t>
      </w:r>
      <w:r>
        <w:rPr>
          <w:rFonts w:ascii="Times New Roman" w:cs="Times New Roman" w:eastAsia="Times New Roman" w:hAnsi="Times New Roman"/>
          <w:sz w:val="15"/>
          <w:szCs w:val="15"/>
          <w:color w:val="auto"/>
        </w:rPr>
        <w:t>.</w:t>
      </w:r>
    </w:p>
    <w:p>
      <w:pPr>
        <w:spacing w:after="0" w:line="163"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5"/>
          <w:szCs w:val="15"/>
          <w:color w:val="auto"/>
        </w:rPr>
        <w:t>4</w:t>
      </w:r>
    </w:p>
    <w:p>
      <w:pPr>
        <w:sectPr>
          <w:pgSz w:w="11900" w:h="16840" w:orient="portrait"/>
          <w:cols w:equalWidth="0" w:num="1">
            <w:col w:w="9585"/>
          </w:cols>
          <w:pgMar w:left="1115" w:top="685" w:right="1200" w:bottom="1440" w:gutter="0" w:footer="0" w:header="0"/>
        </w:sectPr>
      </w:pPr>
    </w:p>
    <w:bookmarkStart w:id="321" w:name="page322"/>
    <w:bookmarkEnd w:id="321"/>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6749415" cy="35560"/>
                    </a:xfrm>
                    <a:prstGeom prst="rect">
                      <a:avLst/>
                    </a:prstGeom>
                    <a:noFill/>
                  </pic:spPr>
                </pic:pic>
              </a:graphicData>
            </a:graphic>
          </wp:anchor>
        </w:drawing>
        <w:t>SCHEDULE 2</w:t>
      </w:r>
    </w:p>
    <w:p>
      <w:pPr>
        <w:spacing w:after="0" w:line="199"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5"/>
          <w:szCs w:val="15"/>
          <w:color w:val="auto"/>
        </w:rPr>
        <w:t>Assumptions</w:t>
      </w:r>
    </w:p>
    <w:p>
      <w:pPr>
        <w:spacing w:after="0" w:line="226" w:lineRule="exact"/>
        <w:rPr>
          <w:sz w:val="20"/>
          <w:szCs w:val="20"/>
          <w:color w:val="auto"/>
        </w:rPr>
      </w:pPr>
    </w:p>
    <w:p>
      <w:pPr>
        <w:ind w:left="385" w:hanging="385"/>
        <w:spacing w:after="0"/>
        <w:tabs>
          <w:tab w:leader="none" w:pos="385"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Validity under Foreign Laws. </w:t>
      </w:r>
      <w:r>
        <w:rPr>
          <w:rFonts w:ascii="Times New Roman" w:cs="Times New Roman" w:eastAsia="Times New Roman" w:hAnsi="Times New Roman"/>
          <w:sz w:val="15"/>
          <w:szCs w:val="15"/>
          <w:color w:val="auto"/>
        </w:rPr>
        <w:t>That:</w:t>
      </w:r>
    </w:p>
    <w:p>
      <w:pPr>
        <w:spacing w:after="0" w:line="127" w:lineRule="exact"/>
        <w:rPr>
          <w:rFonts w:ascii="Times New Roman" w:cs="Times New Roman" w:eastAsia="Times New Roman" w:hAnsi="Times New Roman"/>
          <w:sz w:val="15"/>
          <w:szCs w:val="15"/>
          <w:color w:val="auto"/>
        </w:rPr>
      </w:pPr>
    </w:p>
    <w:p>
      <w:pPr>
        <w:ind w:left="845" w:hanging="466"/>
        <w:spacing w:after="0"/>
        <w:tabs>
          <w:tab w:leader="none" w:pos="845"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formalities required under any applicable laws (other than the laws of the Cayman Islands) have been complied with; and</w:t>
      </w:r>
    </w:p>
    <w:p>
      <w:pPr>
        <w:spacing w:after="0" w:line="123" w:lineRule="exact"/>
        <w:rPr>
          <w:rFonts w:ascii="Times New Roman" w:cs="Times New Roman" w:eastAsia="Times New Roman" w:hAnsi="Times New Roman"/>
          <w:sz w:val="15"/>
          <w:szCs w:val="15"/>
          <w:color w:val="auto"/>
        </w:rPr>
      </w:pPr>
    </w:p>
    <w:p>
      <w:pPr>
        <w:ind w:left="845" w:hanging="466"/>
        <w:spacing w:after="0"/>
        <w:tabs>
          <w:tab w:leader="none" w:pos="845"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other matters arising under any foreign law will affect the views expressed in this opinion.</w:t>
      </w:r>
    </w:p>
    <w:p>
      <w:pPr>
        <w:spacing w:after="0" w:line="120" w:lineRule="exact"/>
        <w:rPr>
          <w:sz w:val="20"/>
          <w:szCs w:val="20"/>
          <w:color w:val="auto"/>
        </w:rPr>
      </w:pPr>
    </w:p>
    <w:p>
      <w:pPr>
        <w:ind w:left="385" w:hanging="385"/>
        <w:spacing w:after="0" w:line="261" w:lineRule="auto"/>
        <w:tabs>
          <w:tab w:leader="none" w:pos="385"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Authenticity of Documents. </w:t>
      </w:r>
      <w:r>
        <w:rPr>
          <w:rFonts w:ascii="Times New Roman" w:cs="Times New Roman" w:eastAsia="Times New Roman" w:hAnsi="Times New Roman"/>
          <w:sz w:val="15"/>
          <w:szCs w:val="15"/>
          <w:color w:val="auto"/>
        </w:rPr>
        <w:t>All original Documents are authentic, all signatures, initials and seals are genuine, all copies of Documents are true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correct copies and the Registration Statement conforms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79" w:lineRule="exact"/>
        <w:rPr>
          <w:sz w:val="20"/>
          <w:szCs w:val="20"/>
          <w:color w:val="auto"/>
        </w:rPr>
      </w:pPr>
    </w:p>
    <w:p>
      <w:pPr>
        <w:ind w:left="385" w:right="40" w:hanging="385"/>
        <w:spacing w:after="0" w:line="268" w:lineRule="auto"/>
        <w:tabs>
          <w:tab w:leader="none" w:pos="385"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Corporate Documents. </w:t>
      </w:r>
      <w:r>
        <w:rPr>
          <w:rFonts w:ascii="Times New Roman" w:cs="Times New Roman" w:eastAsia="Times New Roman" w:hAnsi="Times New Roman"/>
          <w:sz w:val="15"/>
          <w:szCs w:val="15"/>
          <w:color w:val="auto"/>
        </w:rPr>
        <w:t>All matters required by law to be recorded in the Corporate Documents are so recorded, and all corporate minutes,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resolutions, certificates, documents and records which we have reviewed are accurate and complete, and all facts expressed in or implied thereby are accurate and complete.</w:t>
      </w:r>
    </w:p>
    <w:p>
      <w:pPr>
        <w:spacing w:after="0" w:line="74" w:lineRule="exact"/>
        <w:rPr>
          <w:sz w:val="20"/>
          <w:szCs w:val="20"/>
          <w:color w:val="auto"/>
        </w:rPr>
      </w:pPr>
    </w:p>
    <w:p>
      <w:pPr>
        <w:ind w:left="4785" w:right="2040" w:hanging="4785"/>
        <w:spacing w:after="0" w:line="372" w:lineRule="auto"/>
        <w:tabs>
          <w:tab w:leader="none" w:pos="373"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Director’s Certificate</w:t>
      </w:r>
      <w:r>
        <w:rPr>
          <w:rFonts w:ascii="Times New Roman" w:cs="Times New Roman" w:eastAsia="Times New Roman" w:hAnsi="Times New Roman"/>
          <w:sz w:val="15"/>
          <w:szCs w:val="15"/>
          <w:color w:val="auto"/>
        </w:rPr>
        <w:t>. The contents of the Director’s Certificate are true and accurate as at the date of this opinion.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5</w:t>
      </w:r>
    </w:p>
    <w:p>
      <w:pPr>
        <w:sectPr>
          <w:pgSz w:w="11900" w:h="16840" w:orient="portrait"/>
          <w:cols w:equalWidth="0" w:num="1">
            <w:col w:w="9565"/>
          </w:cols>
          <w:pgMar w:left="1115" w:top="685" w:right="1220" w:bottom="1440" w:gutter="0" w:footer="0" w:header="0"/>
        </w:sectPr>
      </w:pPr>
    </w:p>
    <w:bookmarkStart w:id="322" w:name="page323"/>
    <w:bookmarkEnd w:id="322"/>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6749415" cy="35560"/>
                    </a:xfrm>
                    <a:prstGeom prst="rect">
                      <a:avLst/>
                    </a:prstGeom>
                    <a:noFill/>
                  </pic:spPr>
                </pic:pic>
              </a:graphicData>
            </a:graphic>
          </wp:anchor>
        </w:drawing>
        <w:t>SCHEDULE 3</w:t>
      </w:r>
    </w:p>
    <w:p>
      <w:pPr>
        <w:spacing w:after="0" w:line="199"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5"/>
          <w:szCs w:val="15"/>
          <w:color w:val="auto"/>
        </w:rPr>
        <w:t>Qualifications</w:t>
      </w:r>
    </w:p>
    <w:p>
      <w:pPr>
        <w:spacing w:after="0" w:line="226" w:lineRule="exact"/>
        <w:rPr>
          <w:sz w:val="20"/>
          <w:szCs w:val="20"/>
          <w:color w:val="auto"/>
        </w:rPr>
      </w:pPr>
    </w:p>
    <w:p>
      <w:pPr>
        <w:ind w:left="385" w:hanging="385"/>
        <w:spacing w:after="0" w:line="261" w:lineRule="auto"/>
        <w:tabs>
          <w:tab w:leader="none" w:pos="385"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Non-assessable. </w:t>
      </w:r>
      <w:r>
        <w:rPr>
          <w:rFonts w:ascii="Times New Roman" w:cs="Times New Roman" w:eastAsia="Times New Roman" w:hAnsi="Times New Roman"/>
          <w:sz w:val="15"/>
          <w:szCs w:val="15"/>
          <w:color w:val="auto"/>
        </w:rPr>
        <w:t>The term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non-assessable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means, with respect to shares in the Company, that a shareholder shall not, solely by virtue of its status as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79" w:lineRule="exact"/>
        <w:rPr>
          <w:sz w:val="20"/>
          <w:szCs w:val="20"/>
          <w:color w:val="auto"/>
        </w:rPr>
      </w:pPr>
    </w:p>
    <w:p>
      <w:pPr>
        <w:ind w:left="385" w:hanging="385"/>
        <w:spacing w:after="0"/>
        <w:tabs>
          <w:tab w:leader="none" w:pos="385"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Foreign Statutes. </w:t>
      </w:r>
      <w:r>
        <w:rPr>
          <w:rFonts w:ascii="Times New Roman" w:cs="Times New Roman" w:eastAsia="Times New Roman" w:hAnsi="Times New Roman"/>
          <w:sz w:val="15"/>
          <w:szCs w:val="15"/>
          <w:color w:val="auto"/>
        </w:rPr>
        <w:t>We express no opinion in relation to provisions making reference to foreign statutes in the Registration Statement.</w:t>
      </w:r>
    </w:p>
    <w:p>
      <w:pPr>
        <w:spacing w:after="0" w:line="124" w:lineRule="exact"/>
        <w:rPr>
          <w:sz w:val="20"/>
          <w:szCs w:val="20"/>
          <w:color w:val="auto"/>
        </w:rPr>
      </w:pPr>
    </w:p>
    <w:p>
      <w:pPr>
        <w:jc w:val="both"/>
        <w:ind w:left="385" w:right="240" w:hanging="385"/>
        <w:spacing w:after="0" w:line="268" w:lineRule="auto"/>
        <w:tabs>
          <w:tab w:leader="none" w:pos="385"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Good Standing. </w:t>
      </w:r>
      <w:r>
        <w:rPr>
          <w:rFonts w:ascii="Times New Roman" w:cs="Times New Roman" w:eastAsia="Times New Roman" w:hAnsi="Times New Roman"/>
          <w:sz w:val="15"/>
          <w:szCs w:val="15"/>
          <w:color w:val="auto"/>
        </w:rPr>
        <w:t>The Company shall be deemed to be in good standing at any time if all fees (including annual filing fees) and penalties under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Companies Act have been paid and the Registrar of Companies in the Cayman Islands has no knowledge that the Company is in default under the Companies Act.</w:t>
      </w:r>
    </w:p>
    <w:p>
      <w:pPr>
        <w:spacing w:after="0" w:line="113"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5"/>
          <w:szCs w:val="15"/>
          <w:color w:val="auto"/>
        </w:rPr>
        <w:t>6</w:t>
      </w:r>
    </w:p>
    <w:p>
      <w:pPr>
        <w:sectPr>
          <w:pgSz w:w="11900" w:h="16840" w:orient="portrait"/>
          <w:cols w:equalWidth="0" w:num="1">
            <w:col w:w="9605"/>
          </w:cols>
          <w:pgMar w:left="1115" w:top="685" w:right="1180"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6749415" cy="35560"/>
                    </a:xfrm>
                    <a:prstGeom prst="rect">
                      <a:avLst/>
                    </a:prstGeom>
                    <a:noFill/>
                  </pic:spPr>
                </pic:pic>
              </a:graphicData>
            </a:graphic>
          </wp:anchor>
        </w:drawing>
        <w:t>GIGCAPITAL8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incorporated in the Cayman Islands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Company No. 423026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DIRECTOR’S CERTIFICATE</w:t>
      </w:r>
    </w:p>
    <w:p>
      <w:pPr>
        <w:spacing w:after="0" w:line="10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5"/>
          <w:szCs w:val="15"/>
          <w:color w:val="auto"/>
        </w:rPr>
        <w:t>I, the undersigned, being a director of the Company, am aware that you are being asked to provide an opinion letter (</w:t>
      </w:r>
      <w:r>
        <w:rPr>
          <w:rFonts w:ascii="Times New Roman" w:cs="Times New Roman" w:eastAsia="Times New Roman" w:hAnsi="Times New Roman"/>
          <w:sz w:val="15"/>
          <w:szCs w:val="15"/>
          <w:b w:val="1"/>
          <w:bCs w:val="1"/>
          <w:i w:val="1"/>
          <w:iCs w:val="1"/>
          <w:color w:val="auto"/>
        </w:rPr>
        <w:t>Opinion</w:t>
      </w:r>
      <w:r>
        <w:rPr>
          <w:rFonts w:ascii="Times New Roman" w:cs="Times New Roman" w:eastAsia="Times New Roman" w:hAnsi="Times New Roman"/>
          <w:sz w:val="15"/>
          <w:szCs w:val="15"/>
          <w:color w:val="auto"/>
        </w:rPr>
        <w:t>) in relation to the Registration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Unless otherwise defined herein, capitalised terms used in this certificate have the respective meanings given to them in the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hereby certify that:</w:t>
      </w:r>
    </w:p>
    <w:p>
      <w:pPr>
        <w:spacing w:after="0" w:line="124" w:lineRule="exact"/>
        <w:rPr>
          <w:sz w:val="20"/>
          <w:szCs w:val="20"/>
          <w:color w:val="auto"/>
        </w:rPr>
      </w:pPr>
    </w:p>
    <w:p>
      <w:pPr>
        <w:ind w:left="840" w:hanging="466"/>
        <w:spacing w:after="0"/>
        <w:tabs>
          <w:tab w:leader="none" w:pos="8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Mem &amp; Arts (as set out at Exhibit 2) remain in full force and effect.</w:t>
      </w:r>
    </w:p>
    <w:p>
      <w:pPr>
        <w:spacing w:after="0" w:line="123" w:lineRule="exact"/>
        <w:rPr>
          <w:rFonts w:ascii="Times New Roman" w:cs="Times New Roman" w:eastAsia="Times New Roman" w:hAnsi="Times New Roman"/>
          <w:sz w:val="15"/>
          <w:szCs w:val="15"/>
          <w:color w:val="auto"/>
        </w:rPr>
      </w:pPr>
    </w:p>
    <w:p>
      <w:pPr>
        <w:ind w:left="840" w:right="60" w:hanging="466"/>
        <w:spacing w:after="0" w:line="284" w:lineRule="auto"/>
        <w:tabs>
          <w:tab w:leader="none" w:pos="8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Resolutions (as set out at Exhibit 1) were duly passed in the manner prescribed in the Mem &amp; Arts and have not been amended, varied, or revoked in any respect.</w:t>
      </w:r>
    </w:p>
    <w:p>
      <w:pPr>
        <w:spacing w:after="0" w:line="65" w:lineRule="exact"/>
        <w:rPr>
          <w:rFonts w:ascii="Times New Roman" w:cs="Times New Roman" w:eastAsia="Times New Roman" w:hAnsi="Times New Roman"/>
          <w:sz w:val="15"/>
          <w:szCs w:val="15"/>
          <w:color w:val="auto"/>
        </w:rPr>
      </w:pPr>
    </w:p>
    <w:p>
      <w:pPr>
        <w:ind w:left="840" w:hanging="466"/>
        <w:spacing w:after="0"/>
        <w:tabs>
          <w:tab w:leader="none" w:pos="8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authorised share capital of the Company is US$ 22,100 divided into:</w:t>
      </w:r>
    </w:p>
    <w:p>
      <w:pPr>
        <w:spacing w:after="0" w:line="123" w:lineRule="exact"/>
        <w:rPr>
          <w:rFonts w:ascii="Times New Roman" w:cs="Times New Roman" w:eastAsia="Times New Roman" w:hAnsi="Times New Roman"/>
          <w:sz w:val="15"/>
          <w:szCs w:val="15"/>
          <w:color w:val="auto"/>
        </w:rPr>
      </w:pPr>
    </w:p>
    <w:p>
      <w:pPr>
        <w:ind w:left="1520" w:hanging="471"/>
        <w:spacing w:after="0"/>
        <w:tabs>
          <w:tab w:leader="none" w:pos="1520"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200,000,000 Class A Shares;</w:t>
      </w:r>
    </w:p>
    <w:p>
      <w:pPr>
        <w:spacing w:after="0" w:line="123" w:lineRule="exact"/>
        <w:rPr>
          <w:rFonts w:ascii="Times New Roman" w:cs="Times New Roman" w:eastAsia="Times New Roman" w:hAnsi="Times New Roman"/>
          <w:sz w:val="15"/>
          <w:szCs w:val="15"/>
          <w:color w:val="auto"/>
        </w:rPr>
      </w:pPr>
    </w:p>
    <w:p>
      <w:pPr>
        <w:ind w:left="1520" w:hanging="471"/>
        <w:spacing w:after="0"/>
        <w:tabs>
          <w:tab w:leader="none" w:pos="1520"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20,000,000 Class B Shares; and</w:t>
      </w:r>
    </w:p>
    <w:p>
      <w:pPr>
        <w:spacing w:after="0" w:line="123" w:lineRule="exact"/>
        <w:rPr>
          <w:rFonts w:ascii="Times New Roman" w:cs="Times New Roman" w:eastAsia="Times New Roman" w:hAnsi="Times New Roman"/>
          <w:sz w:val="15"/>
          <w:szCs w:val="15"/>
          <w:color w:val="auto"/>
        </w:rPr>
      </w:pPr>
    </w:p>
    <w:p>
      <w:pPr>
        <w:ind w:left="1520" w:hanging="471"/>
        <w:spacing w:after="0"/>
        <w:tabs>
          <w:tab w:leader="none" w:pos="1520"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1,000,000 Preference Shares.</w:t>
      </w:r>
    </w:p>
    <w:p>
      <w:pPr>
        <w:spacing w:after="0" w:line="123" w:lineRule="exact"/>
        <w:rPr>
          <w:rFonts w:ascii="Times New Roman" w:cs="Times New Roman" w:eastAsia="Times New Roman" w:hAnsi="Times New Roman"/>
          <w:sz w:val="15"/>
          <w:szCs w:val="15"/>
          <w:color w:val="auto"/>
        </w:rPr>
      </w:pPr>
    </w:p>
    <w:p>
      <w:pPr>
        <w:ind w:left="840" w:right="200" w:hanging="466"/>
        <w:spacing w:after="0" w:line="284" w:lineRule="auto"/>
        <w:tabs>
          <w:tab w:leader="none" w:pos="8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share will be issued for a price which is lower than its par value, and the Company will have sufficient authorised but unissued shares to issue the Class A Shares underlying the Units and the Rights.</w:t>
      </w:r>
    </w:p>
    <w:p>
      <w:pPr>
        <w:spacing w:after="0" w:line="61" w:lineRule="exact"/>
        <w:rPr>
          <w:rFonts w:ascii="Times New Roman" w:cs="Times New Roman" w:eastAsia="Times New Roman" w:hAnsi="Times New Roman"/>
          <w:sz w:val="15"/>
          <w:szCs w:val="15"/>
          <w:color w:val="auto"/>
        </w:rPr>
      </w:pPr>
    </w:p>
    <w:p>
      <w:pPr>
        <w:ind w:left="840" w:hanging="466"/>
        <w:spacing w:after="0"/>
        <w:tabs>
          <w:tab w:leader="none" w:pos="8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shareholders of the Company (</w:t>
      </w:r>
      <w:r>
        <w:rPr>
          <w:rFonts w:ascii="Times New Roman" w:cs="Times New Roman" w:eastAsia="Times New Roman" w:hAnsi="Times New Roman"/>
          <w:sz w:val="15"/>
          <w:szCs w:val="15"/>
          <w:b w:val="1"/>
          <w:bCs w:val="1"/>
          <w:i w:val="1"/>
          <w:iCs w:val="1"/>
          <w:color w:val="auto"/>
        </w:rPr>
        <w:t>Shareholders</w:t>
      </w:r>
      <w:r>
        <w:rPr>
          <w:rFonts w:ascii="Times New Roman" w:cs="Times New Roman" w:eastAsia="Times New Roman" w:hAnsi="Times New Roman"/>
          <w:sz w:val="15"/>
          <w:szCs w:val="15"/>
          <w:color w:val="auto"/>
        </w:rPr>
        <w:t>) have not restricted the powers of the Directors in any way.</w:t>
      </w:r>
    </w:p>
    <w:p>
      <w:pPr>
        <w:spacing w:after="0" w:line="127" w:lineRule="exact"/>
        <w:rPr>
          <w:rFonts w:ascii="Times New Roman" w:cs="Times New Roman" w:eastAsia="Times New Roman" w:hAnsi="Times New Roman"/>
          <w:sz w:val="15"/>
          <w:szCs w:val="15"/>
          <w:color w:val="auto"/>
        </w:rPr>
      </w:pPr>
    </w:p>
    <w:p>
      <w:pPr>
        <w:ind w:left="840" w:hanging="466"/>
        <w:spacing w:after="0"/>
        <w:tabs>
          <w:tab w:leader="none" w:pos="8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Directors at the date of the Resolutions, and at the date of this certificate, were, and are, as follows:</w:t>
      </w:r>
    </w:p>
    <w:p>
      <w:pPr>
        <w:spacing w:after="0" w:line="123" w:lineRule="exact"/>
        <w:rPr>
          <w:rFonts w:ascii="Times New Roman" w:cs="Times New Roman" w:eastAsia="Times New Roman" w:hAnsi="Times New Roman"/>
          <w:sz w:val="15"/>
          <w:szCs w:val="15"/>
          <w:color w:val="auto"/>
        </w:rPr>
      </w:pPr>
    </w:p>
    <w:p>
      <w:pPr>
        <w:ind w:left="1520" w:hanging="471"/>
        <w:spacing w:after="0"/>
        <w:tabs>
          <w:tab w:leader="none" w:pos="1520"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Avishay Katz; and</w:t>
      </w:r>
    </w:p>
    <w:p>
      <w:pPr>
        <w:spacing w:after="0" w:line="123" w:lineRule="exact"/>
        <w:rPr>
          <w:rFonts w:ascii="Times New Roman" w:cs="Times New Roman" w:eastAsia="Times New Roman" w:hAnsi="Times New Roman"/>
          <w:sz w:val="15"/>
          <w:szCs w:val="15"/>
          <w:color w:val="auto"/>
        </w:rPr>
      </w:pPr>
    </w:p>
    <w:p>
      <w:pPr>
        <w:ind w:left="1520" w:hanging="471"/>
        <w:spacing w:after="0"/>
        <w:tabs>
          <w:tab w:leader="none" w:pos="1520"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Raluca Dinu.</w:t>
      </w:r>
    </w:p>
    <w:p>
      <w:pPr>
        <w:spacing w:after="0" w:line="123" w:lineRule="exact"/>
        <w:rPr>
          <w:rFonts w:ascii="Times New Roman" w:cs="Times New Roman" w:eastAsia="Times New Roman" w:hAnsi="Times New Roman"/>
          <w:sz w:val="15"/>
          <w:szCs w:val="15"/>
          <w:color w:val="auto"/>
        </w:rPr>
      </w:pPr>
    </w:p>
    <w:p>
      <w:pPr>
        <w:jc w:val="both"/>
        <w:ind w:left="840" w:hanging="466"/>
        <w:spacing w:after="0" w:line="265" w:lineRule="auto"/>
        <w:tabs>
          <w:tab w:leader="none" w:pos="8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at the time of, and immediately following the approval of the transactions contemplated by the Resolutions, the Company was, or will be, able to pay its debts as they fell, or fall, due and has entered, or will enter, into the transactions contemplated by the Resolutions for proper value and not with an intention to defraud or wilfully defeat an obligation owed to any creditor or with a view to giving a creditor a preference.</w:t>
      </w:r>
    </w:p>
    <w:p>
      <w:pPr>
        <w:spacing w:after="0" w:line="80" w:lineRule="exact"/>
        <w:rPr>
          <w:rFonts w:ascii="Times New Roman" w:cs="Times New Roman" w:eastAsia="Times New Roman" w:hAnsi="Times New Roman"/>
          <w:sz w:val="15"/>
          <w:szCs w:val="15"/>
          <w:color w:val="auto"/>
        </w:rPr>
      </w:pPr>
    </w:p>
    <w:p>
      <w:pPr>
        <w:ind w:left="840" w:right="60" w:hanging="466"/>
        <w:spacing w:after="0" w:line="265" w:lineRule="auto"/>
        <w:tabs>
          <w:tab w:leader="none" w:pos="8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Director considers the transactions contemplated by the Resolutions to be of commercial benefit to the Company and has acted in good faith in the best interests of the Company, and for a proper purpose of the Company, in relation to the transactions which are the subject of the Opinion.</w:t>
      </w:r>
    </w:p>
    <w:p>
      <w:pPr>
        <w:spacing w:after="0" w:line="80" w:lineRule="exact"/>
        <w:rPr>
          <w:rFonts w:ascii="Times New Roman" w:cs="Times New Roman" w:eastAsia="Times New Roman" w:hAnsi="Times New Roman"/>
          <w:sz w:val="15"/>
          <w:szCs w:val="15"/>
          <w:color w:val="auto"/>
        </w:rPr>
      </w:pPr>
    </w:p>
    <w:p>
      <w:pPr>
        <w:ind w:left="840" w:right="40" w:hanging="466"/>
        <w:spacing w:after="0" w:line="284" w:lineRule="auto"/>
        <w:tabs>
          <w:tab w:leader="none" w:pos="8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Directors or Shareholders have not taken any steps to have the Company struck off or placed in liquidation, nor have any steps been taken to wind up the Company. Nor has any receiver been appointed over any of the Company’s property or assets.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40" w:orient="portrait"/>
          <w:cols w:equalWidth="0" w:num="1">
            <w:col w:w="9660"/>
          </w:cols>
          <w:pgMar w:left="1120" w:top="685" w:right="1120"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[X],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GigCapital8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1731 Embarcadero Rd., Suite 200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Palo Alto, CA 94303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 Boral Capital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590 Madison Avenue, 39th Floor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2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5"/>
          <w:szCs w:val="15"/>
          <w:color w:val="auto"/>
        </w:rPr>
        <w:t>Re:</w:t>
        <w:tab/>
        <w:t>Initial Public Offering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This letter agreement (this “</w:t>
      </w:r>
      <w:r>
        <w:rPr>
          <w:rFonts w:ascii="Times New Roman" w:cs="Times New Roman" w:eastAsia="Times New Roman" w:hAnsi="Times New Roman"/>
          <w:sz w:val="15"/>
          <w:szCs w:val="15"/>
          <w:b w:val="1"/>
          <w:bCs w:val="1"/>
          <w:i w:val="1"/>
          <w:iCs w:val="1"/>
          <w:color w:val="auto"/>
        </w:rPr>
        <w:t>Letter Agreement</w:t>
      </w:r>
      <w:r>
        <w:rPr>
          <w:rFonts w:ascii="Times New Roman" w:cs="Times New Roman" w:eastAsia="Times New Roman" w:hAnsi="Times New Roman"/>
          <w:sz w:val="15"/>
          <w:szCs w:val="15"/>
          <w:color w:val="auto"/>
        </w:rPr>
        <w:t>”) is being delivered to you in accordance with the Underwriting Agreement (the “</w:t>
      </w:r>
      <w:r>
        <w:rPr>
          <w:rFonts w:ascii="Times New Roman" w:cs="Times New Roman" w:eastAsia="Times New Roman" w:hAnsi="Times New Roman"/>
          <w:sz w:val="15"/>
          <w:szCs w:val="15"/>
          <w:b w:val="1"/>
          <w:bCs w:val="1"/>
          <w:i w:val="1"/>
          <w:iCs w:val="1"/>
          <w:color w:val="auto"/>
        </w:rPr>
        <w:t>Underwriting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entered into by and among GigCapital8 Corp., a Cayman Islands exempted company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D. Boral Capital LLC, 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representative (the “</w:t>
      </w:r>
      <w:r>
        <w:rPr>
          <w:rFonts w:ascii="Times New Roman" w:cs="Times New Roman" w:eastAsia="Times New Roman" w:hAnsi="Times New Roman"/>
          <w:sz w:val="15"/>
          <w:szCs w:val="15"/>
          <w:b w:val="1"/>
          <w:bCs w:val="1"/>
          <w:i w:val="1"/>
          <w:iCs w:val="1"/>
          <w:color w:val="auto"/>
        </w:rPr>
        <w:t>Representative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of the several underwriters named therein (the “</w:t>
      </w:r>
      <w:r>
        <w:rPr>
          <w:rFonts w:ascii="Times New Roman" w:cs="Times New Roman" w:eastAsia="Times New Roman" w:hAnsi="Times New Roman"/>
          <w:sz w:val="15"/>
          <w:szCs w:val="15"/>
          <w:b w:val="1"/>
          <w:bCs w:val="1"/>
          <w:i w:val="1"/>
          <w:iCs w:val="1"/>
          <w:color w:val="auto"/>
        </w:rPr>
        <w:t>Underwriter</w:t>
      </w:r>
      <w:r>
        <w:rPr>
          <w:rFonts w:ascii="Times New Roman" w:cs="Times New Roman" w:eastAsia="Times New Roman" w:hAnsi="Times New Roman"/>
          <w:sz w:val="15"/>
          <w:szCs w:val="15"/>
          <w:color w:val="auto"/>
        </w:rPr>
        <w:t>”), relating to an underwritten initial public offering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Public Offering</w:t>
      </w:r>
      <w:r>
        <w:rPr>
          <w:rFonts w:ascii="Times New Roman" w:cs="Times New Roman" w:eastAsia="Times New Roman" w:hAnsi="Times New Roman"/>
          <w:sz w:val="15"/>
          <w:szCs w:val="15"/>
          <w:color w:val="auto"/>
        </w:rPr>
        <w:t xml:space="preserve">”), of 22,000,000 units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Initial Units</w:t>
      </w:r>
      <w:r>
        <w:rPr>
          <w:rFonts w:ascii="Times New Roman" w:cs="Times New Roman" w:eastAsia="Times New Roman" w:hAnsi="Times New Roman"/>
          <w:sz w:val="15"/>
          <w:szCs w:val="15"/>
          <w:color w:val="auto"/>
        </w:rPr>
        <w:t>”) of the Company, and up to 3,300,000 Units that may be purchased to cover over-allotments, if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any (together with the Initial Units, the “</w:t>
      </w:r>
      <w:r>
        <w:rPr>
          <w:rFonts w:ascii="Times New Roman" w:cs="Times New Roman" w:eastAsia="Times New Roman" w:hAnsi="Times New Roman"/>
          <w:sz w:val="15"/>
          <w:szCs w:val="15"/>
          <w:b w:val="1"/>
          <w:bCs w:val="1"/>
          <w:i w:val="1"/>
          <w:iCs w:val="1"/>
          <w:color w:val="auto"/>
        </w:rPr>
        <w:t>Units</w:t>
      </w:r>
      <w:r>
        <w:rPr>
          <w:rFonts w:ascii="Times New Roman" w:cs="Times New Roman" w:eastAsia="Times New Roman" w:hAnsi="Times New Roman"/>
          <w:sz w:val="15"/>
          <w:szCs w:val="15"/>
          <w:color w:val="auto"/>
        </w:rPr>
        <w:t>”), each comprised of one Class A ordinary share of the Company, par value $0.0001 per share (each,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Class A Ordinary Share</w:t>
      </w:r>
      <w:r>
        <w:rPr>
          <w:rFonts w:ascii="Times New Roman" w:cs="Times New Roman" w:eastAsia="Times New Roman" w:hAnsi="Times New Roman"/>
          <w:sz w:val="15"/>
          <w:szCs w:val="15"/>
          <w:color w:val="auto"/>
        </w:rPr>
        <w:t>” and such shares included in the Units, the “</w:t>
      </w:r>
      <w:r>
        <w:rPr>
          <w:rFonts w:ascii="Times New Roman" w:cs="Times New Roman" w:eastAsia="Times New Roman" w:hAnsi="Times New Roman"/>
          <w:sz w:val="15"/>
          <w:szCs w:val="15"/>
          <w:b w:val="1"/>
          <w:bCs w:val="1"/>
          <w:i w:val="1"/>
          <w:iCs w:val="1"/>
          <w:color w:val="auto"/>
        </w:rPr>
        <w:t>Offering Shares</w:t>
      </w:r>
      <w:r>
        <w:rPr>
          <w:rFonts w:ascii="Times New Roman" w:cs="Times New Roman" w:eastAsia="Times New Roman" w:hAnsi="Times New Roman"/>
          <w:sz w:val="15"/>
          <w:szCs w:val="15"/>
          <w:color w:val="auto"/>
        </w:rPr>
        <w:t>”), and one right to receive one-tenth of one Class A Ordinary Share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i w:val="1"/>
          <w:iCs w:val="1"/>
          <w:color w:val="auto"/>
        </w:rPr>
        <w:t>Right</w:t>
      </w:r>
      <w:r>
        <w:rPr>
          <w:rFonts w:ascii="Times New Roman" w:cs="Times New Roman" w:eastAsia="Times New Roman" w:hAnsi="Times New Roman"/>
          <w:sz w:val="15"/>
          <w:szCs w:val="15"/>
          <w:color w:val="auto"/>
        </w:rPr>
        <w:t>” and the Rights included in the Units sold, the “</w:t>
      </w:r>
      <w:r>
        <w:rPr>
          <w:rFonts w:ascii="Times New Roman" w:cs="Times New Roman" w:eastAsia="Times New Roman" w:hAnsi="Times New Roman"/>
          <w:sz w:val="15"/>
          <w:szCs w:val="15"/>
          <w:b w:val="1"/>
          <w:bCs w:val="1"/>
          <w:i w:val="1"/>
          <w:iCs w:val="1"/>
          <w:color w:val="auto"/>
        </w:rPr>
        <w:t>Offering Rights</w:t>
      </w:r>
      <w:r>
        <w:rPr>
          <w:rFonts w:ascii="Times New Roman" w:cs="Times New Roman" w:eastAsia="Times New Roman" w:hAnsi="Times New Roman"/>
          <w:sz w:val="15"/>
          <w:szCs w:val="15"/>
          <w:color w:val="auto"/>
        </w:rPr>
        <w:t>”). Each ten rights entitles the holder thereof to receive one Class A Ordinary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 upon the consummation of our business combination. The Units shall be sold in the Public Offering pursuant to a registration statement on Form S-1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a prospectus (the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 filed by the Company with the Securities and Exchange Commission (the “</w:t>
      </w:r>
      <w:r>
        <w:rPr>
          <w:rFonts w:ascii="Times New Roman" w:cs="Times New Roman" w:eastAsia="Times New Roman" w:hAnsi="Times New Roman"/>
          <w:sz w:val="15"/>
          <w:szCs w:val="15"/>
          <w:b w:val="1"/>
          <w:bCs w:val="1"/>
          <w:i w:val="1"/>
          <w:iCs w:val="1"/>
          <w:color w:val="auto"/>
        </w:rPr>
        <w:t>Commission</w:t>
      </w:r>
      <w:r>
        <w:rPr>
          <w:rFonts w:ascii="Times New Roman" w:cs="Times New Roman" w:eastAsia="Times New Roman" w:hAnsi="Times New Roman"/>
          <w:sz w:val="15"/>
          <w:szCs w:val="15"/>
          <w:color w:val="auto"/>
        </w:rPr>
        <w:t>”). Certain capitalized terms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used herein are defined in paragraph 13 hereof.</w:t>
      </w:r>
    </w:p>
    <w:p>
      <w:pPr>
        <w:spacing w:after="0" w:line="179" w:lineRule="exact"/>
        <w:rPr>
          <w:sz w:val="20"/>
          <w:szCs w:val="20"/>
          <w:color w:val="auto"/>
        </w:rPr>
      </w:pPr>
    </w:p>
    <w:p>
      <w:pPr>
        <w:ind w:right="80" w:firstLine="379"/>
        <w:spacing w:after="0" w:line="253" w:lineRule="auto"/>
        <w:rPr>
          <w:sz w:val="20"/>
          <w:szCs w:val="20"/>
          <w:color w:val="auto"/>
        </w:rPr>
      </w:pPr>
      <w:r>
        <w:rPr>
          <w:rFonts w:ascii="Times New Roman" w:cs="Times New Roman" w:eastAsia="Times New Roman" w:hAnsi="Times New Roman"/>
          <w:sz w:val="15"/>
          <w:szCs w:val="15"/>
          <w:color w:val="auto"/>
        </w:rPr>
        <w:t>In order to induce the Company and the Underwriters to enter into the Underwriting Agreement and to proceed with the Public Offering and for other good and valuable consideration, the receipt and sufficiency of which are hereby acknowledged, (i) GigAcquisitions8 Corp., a Cayman Islands exempted company (the “</w:t>
      </w:r>
      <w:r>
        <w:rPr>
          <w:rFonts w:ascii="Times New Roman" w:cs="Times New Roman" w:eastAsia="Times New Roman" w:hAnsi="Times New Roman"/>
          <w:sz w:val="15"/>
          <w:szCs w:val="15"/>
          <w:b w:val="1"/>
          <w:bCs w:val="1"/>
          <w:i w:val="1"/>
          <w:iCs w:val="1"/>
          <w:color w:val="auto"/>
        </w:rPr>
        <w:t>Sponsor</w:t>
      </w:r>
      <w:r>
        <w:rPr>
          <w:rFonts w:ascii="Times New Roman" w:cs="Times New Roman" w:eastAsia="Times New Roman" w:hAnsi="Times New Roman"/>
          <w:sz w:val="15"/>
          <w:szCs w:val="15"/>
          <w:color w:val="auto"/>
        </w:rPr>
        <w:t>”), (ii) Lynrock Lake Master Fund LP as a transferee of Founder Shares from the Sponsor (“</w:t>
      </w:r>
      <w:r>
        <w:rPr>
          <w:rFonts w:ascii="Times New Roman" w:cs="Times New Roman" w:eastAsia="Times New Roman" w:hAnsi="Times New Roman"/>
          <w:sz w:val="15"/>
          <w:szCs w:val="15"/>
          <w:b w:val="1"/>
          <w:bCs w:val="1"/>
          <w:i w:val="1"/>
          <w:iCs w:val="1"/>
          <w:color w:val="auto"/>
        </w:rPr>
        <w:t>Lynrock Lake</w:t>
      </w:r>
      <w:r>
        <w:rPr>
          <w:rFonts w:ascii="Times New Roman" w:cs="Times New Roman" w:eastAsia="Times New Roman" w:hAnsi="Times New Roman"/>
          <w:sz w:val="15"/>
          <w:szCs w:val="15"/>
          <w:color w:val="auto"/>
        </w:rPr>
        <w:t>”) and (iii) each of the undersigned individuals, being an executive officer, director or director nominee of the Company (certain of which are also transferees of Founder Shares from the Sponsor) and signing this Letter Agreement in his or her personal capacity and not on behalf of the Company (each individal in (iii), an “</w:t>
      </w:r>
      <w:r>
        <w:rPr>
          <w:rFonts w:ascii="Times New Roman" w:cs="Times New Roman" w:eastAsia="Times New Roman" w:hAnsi="Times New Roman"/>
          <w:sz w:val="15"/>
          <w:szCs w:val="15"/>
          <w:b w:val="1"/>
          <w:bCs w:val="1"/>
          <w:i w:val="1"/>
          <w:iCs w:val="1"/>
          <w:color w:val="auto"/>
        </w:rPr>
        <w:t>Insider</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b w:val="1"/>
          <w:bCs w:val="1"/>
          <w:i w:val="1"/>
          <w:iCs w:val="1"/>
          <w:color w:val="auto"/>
        </w:rPr>
        <w:t>Insiders</w:t>
      </w:r>
      <w:r>
        <w:rPr>
          <w:rFonts w:ascii="Times New Roman" w:cs="Times New Roman" w:eastAsia="Times New Roman" w:hAnsi="Times New Roman"/>
          <w:sz w:val="15"/>
          <w:szCs w:val="15"/>
          <w:color w:val="auto"/>
        </w:rPr>
        <w:t>”), hereby agrees with the Company as follows (for the avoidance of doubt, Lynrock Lake shall not be a Sponsor nor an Insider under this Letter Agreement):</w:t>
      </w:r>
    </w:p>
    <w:p>
      <w:pPr>
        <w:spacing w:after="0" w:line="160" w:lineRule="exact"/>
        <w:rPr>
          <w:sz w:val="20"/>
          <w:szCs w:val="20"/>
          <w:color w:val="auto"/>
        </w:rPr>
      </w:pPr>
    </w:p>
    <w:p>
      <w:pPr>
        <w:ind w:left="520" w:hanging="146"/>
        <w:spacing w:after="0"/>
        <w:tabs>
          <w:tab w:leader="none" w:pos="52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shareholder votes and associated conversion rights,</w:t>
      </w:r>
    </w:p>
    <w:p>
      <w:pPr>
        <w:spacing w:after="0" w:line="194" w:lineRule="exact"/>
        <w:rPr>
          <w:rFonts w:ascii="Times New Roman" w:cs="Times New Roman" w:eastAsia="Times New Roman" w:hAnsi="Times New Roman"/>
          <w:sz w:val="15"/>
          <w:szCs w:val="15"/>
          <w:color w:val="auto"/>
        </w:rPr>
      </w:pPr>
    </w:p>
    <w:p>
      <w:pPr>
        <w:ind w:right="120" w:firstLine="860"/>
        <w:spacing w:after="0" w:line="252" w:lineRule="auto"/>
        <w:tabs>
          <w:tab w:leader="none" w:pos="1074" w:val="left"/>
        </w:tabs>
        <w:numPr>
          <w:ilvl w:val="1"/>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Company solicits shareholder approval of a Business Combination via a proxy solicitation, then the undersigned will vote all then outstanding Ordinary Shares beneficially owned by him, her or it in favor of such Business Combination (including any proposals recommended by the Company’s board of directors in connection with such Business Combination);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 the undersigned acknowledges and agrees that prior to entering into a Business Combination with a target business that is affiliated with the Sponsor or any Insiders, such transaction must be approved by a majority of the Company’s disinterested independent directors and the Company must obtain an opinion from an independent investment banking firm, or another independent entity that commonly renders valuation opinions on the type of target business the Company is seeking to acquire, that such Business Combination is fair to the Company’s unaffiliated shareholders from a financial point of view, and (ii) neither the Sponsor, nor any Insider, will be entitled to receive or accept a finder’s fee or any other compensation in the event such Insider originates a Business Combination;</w:t>
      </w:r>
    </w:p>
    <w:p>
      <w:pPr>
        <w:spacing w:after="0" w:line="161" w:lineRule="exact"/>
        <w:rPr>
          <w:rFonts w:ascii="Times New Roman" w:cs="Times New Roman" w:eastAsia="Times New Roman" w:hAnsi="Times New Roman"/>
          <w:sz w:val="15"/>
          <w:szCs w:val="15"/>
          <w:color w:val="auto"/>
        </w:rPr>
      </w:pPr>
    </w:p>
    <w:p>
      <w:pPr>
        <w:ind w:right="100" w:firstLine="860"/>
        <w:spacing w:after="0" w:line="254" w:lineRule="auto"/>
        <w:tabs>
          <w:tab w:leader="none" w:pos="1083" w:val="left"/>
        </w:tabs>
        <w:numPr>
          <w:ilvl w:val="1"/>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hereby agrees not to propose for a shareholder approval any amendment to the Amended and Restated Memorandum and Articles of Association that would (i) affect the substance or timing of the Company’s obligation to redeem 100% of the Offering Shares if the Company does not complete a Business Combination within 24 months of the closing of the Public Offering (or such longer period set forth in the Company’s Amended and Restated Memorandum and Articles of Association, as may be amended from time to time), or (ii) alter its provisions relating to the Company’s pre-Business Combination activity or the related shareholders’ rights prior to the consummation of such Business Combination, unless, in each case, the Company provides the holders of any</w:t>
      </w:r>
    </w:p>
    <w:p>
      <w:pPr>
        <w:sectPr>
          <w:pgSz w:w="11900" w:h="16840" w:orient="portrait"/>
          <w:cols w:equalWidth="0" w:num="1">
            <w:col w:w="9660"/>
          </w:cols>
          <w:pgMar w:left="1120" w:top="554" w:right="1120" w:bottom="1440" w:gutter="0" w:footer="0" w:header="0"/>
        </w:sectPr>
      </w:pPr>
    </w:p>
    <w:bookmarkStart w:id="325" w:name="page326"/>
    <w:bookmarkEnd w:id="325"/>
    <w:p>
      <w:pPr>
        <w:ind w:left="5" w:right="240"/>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6749415" cy="35560"/>
                    </a:xfrm>
                    <a:prstGeom prst="rect">
                      <a:avLst/>
                    </a:prstGeom>
                    <a:noFill/>
                  </pic:spPr>
                </pic:pic>
              </a:graphicData>
            </a:graphic>
          </wp:anchor>
        </w:drawing>
        <w:t>Offering Shares with the opportunity to redeem their Offering Shares upon the approval of any such amendment. Such redemption must be at a per-share price, payable in cash, equal to the aggregate amount then on deposit in the Trust Account including interest (which interest shall be net of Permitted Withdrawals (as defined below)), divided by the number of then outstanding Offering Shares; and</w:t>
      </w:r>
    </w:p>
    <w:p>
      <w:pPr>
        <w:spacing w:after="0" w:line="151" w:lineRule="exact"/>
        <w:rPr>
          <w:sz w:val="20"/>
          <w:szCs w:val="20"/>
          <w:color w:val="auto"/>
        </w:rPr>
      </w:pPr>
    </w:p>
    <w:p>
      <w:pPr>
        <w:ind w:left="5" w:right="120" w:firstLine="860"/>
        <w:spacing w:after="0" w:line="265" w:lineRule="auto"/>
        <w:tabs>
          <w:tab w:leader="none" w:pos="1079"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will not redeem any Founder Shares beneficially owned by him, her or it in connection with a solicitation for shareholder approval described in either of clauses (a) or (b) above, or sell any such Founder Shares in a tender offer undertaken by the Company in connection with a Business Combination.</w:t>
      </w:r>
    </w:p>
    <w:p>
      <w:pPr>
        <w:spacing w:after="0" w:line="151" w:lineRule="exact"/>
        <w:rPr>
          <w:rFonts w:ascii="Times New Roman" w:cs="Times New Roman" w:eastAsia="Times New Roman" w:hAnsi="Times New Roman"/>
          <w:sz w:val="15"/>
          <w:szCs w:val="15"/>
          <w:color w:val="auto"/>
        </w:rPr>
      </w:pPr>
    </w:p>
    <w:p>
      <w:pPr>
        <w:ind w:left="5" w:right="20" w:firstLine="374"/>
        <w:spacing w:after="0" w:line="254" w:lineRule="auto"/>
        <w:tabs>
          <w:tab w:leader="none" w:pos="538"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fails to consummate a Business Combination within 24 months of the completion of the Public Offering (or such longer period set forth in the Company’s Amended and Restated Memorandum and Articles of Association, as may be amended from time to time), the Sponsor and each Insider will cause the Company to (i) cease all operations except for the purpose of winding up, (ii) as promptly as reasonably possible but not more than ten</w:t>
      </w:r>
    </w:p>
    <w:p>
      <w:pPr>
        <w:spacing w:after="0" w:line="1" w:lineRule="exact"/>
        <w:rPr>
          <w:rFonts w:ascii="Times New Roman" w:cs="Times New Roman" w:eastAsia="Times New Roman" w:hAnsi="Times New Roman"/>
          <w:sz w:val="15"/>
          <w:szCs w:val="15"/>
          <w:color w:val="auto"/>
        </w:rPr>
      </w:pPr>
    </w:p>
    <w:p>
      <w:pPr>
        <w:ind w:left="5" w:right="40" w:hanging="5"/>
        <w:spacing w:after="0" w:line="249" w:lineRule="auto"/>
        <w:tabs>
          <w:tab w:leader="none" w:pos="30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thereafter, redeem the outstanding Offering Shares, at a per share price, payable in cash, equal to the aggregate amount then on deposit in the Trust Account, including interest (which interest shall be net of (x) amounts withdrawn to fund the Company’s working capital requirements, subject to an annual limit of $1,000,000, and (y) taxes payable by the Company (“</w:t>
      </w:r>
      <w:r>
        <w:rPr>
          <w:rFonts w:ascii="Times New Roman" w:cs="Times New Roman" w:eastAsia="Times New Roman" w:hAnsi="Times New Roman"/>
          <w:sz w:val="15"/>
          <w:szCs w:val="15"/>
          <w:b w:val="1"/>
          <w:bCs w:val="1"/>
          <w:i w:val="1"/>
          <w:iCs w:val="1"/>
          <w:color w:val="auto"/>
        </w:rPr>
        <w:t>Permitted Withdrawals</w:t>
      </w:r>
      <w:r>
        <w:rPr>
          <w:rFonts w:ascii="Times New Roman" w:cs="Times New Roman" w:eastAsia="Times New Roman" w:hAnsi="Times New Roman"/>
          <w:sz w:val="15"/>
          <w:szCs w:val="15"/>
          <w:color w:val="auto"/>
        </w:rPr>
        <w:t>”), plus up to $100,000 of interest to pay dissolution expenses), divided by the number of then issued and outstanding Offering Shares, which redemption will completely extinguish all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liquidate and dissolve, subject in each case to the Company’s obligations under Cayman Islands law to provide for claims of creditors and the requirements of other applicable law.</w:t>
      </w:r>
    </w:p>
    <w:p>
      <w:pPr>
        <w:spacing w:after="0" w:line="164" w:lineRule="exact"/>
        <w:rPr>
          <w:rFonts w:ascii="Times New Roman" w:cs="Times New Roman" w:eastAsia="Times New Roman" w:hAnsi="Times New Roman"/>
          <w:sz w:val="15"/>
          <w:szCs w:val="15"/>
          <w:color w:val="auto"/>
        </w:rPr>
      </w:pPr>
    </w:p>
    <w:p>
      <w:pPr>
        <w:ind w:left="5" w:right="160" w:firstLine="374"/>
        <w:spacing w:after="0" w:line="252" w:lineRule="auto"/>
        <w:tabs>
          <w:tab w:leader="none" w:pos="538"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of the undersigned hereby waives any and all right, title, interest or claim of any kind the undersigned may have in the future in or to any distribution of the Trust Account and any remaining assets of the Company as a result of, or arising out of, any contracts or agreements with the Company and will not seek recourse against the Trust Account for any reason whatsoever;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foregoing waiver shall not apply with respect to liquidating distributions from the Trust Account made in connection with any Offering Shares purchased by the undersigned or its Affiliates during the Public Offering or on the open market after the completion of the Public Offering if the Company fails to complete a Business Combination within 24 months of the closing of the Public Offering (or such longer period set forth in the Company’s Amended and Restated Memorandum and Articles of Association, as may be amended from time to time). Each of the undersigned acknowledges and agrees that there will be no distribution from the Trust Account with respect to any of the Offering Rights, all rights of which will terminate upon the Company’s liquidation.</w:t>
      </w:r>
    </w:p>
    <w:p>
      <w:pPr>
        <w:spacing w:after="0" w:line="161" w:lineRule="exact"/>
        <w:rPr>
          <w:rFonts w:ascii="Times New Roman" w:cs="Times New Roman" w:eastAsia="Times New Roman" w:hAnsi="Times New Roman"/>
          <w:sz w:val="15"/>
          <w:szCs w:val="15"/>
          <w:color w:val="auto"/>
        </w:rPr>
      </w:pPr>
    </w:p>
    <w:p>
      <w:pPr>
        <w:ind w:left="5" w:right="60" w:firstLine="374"/>
        <w:spacing w:after="0" w:line="256" w:lineRule="auto"/>
        <w:tabs>
          <w:tab w:leader="none" w:pos="538"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to minimize potential conflicts of interest that may arise from multiple corporate affiliations, each of the Sponsor and the Insiders shall present to the Company for its consideration, prior to presentation to any other entity, any target business in the aerospace and defense services, cybersecurity and secured communications and quantum-based command and control systems, or artificial intelligence and machine-learning industries that has a fair market value of at least 80% of the assets held in the Trust Account (excluding Permitted Withdrawals), subject to any pre-existing fiduciary or contractual obligations the undersigned might have.</w:t>
      </w:r>
    </w:p>
    <w:p>
      <w:pPr>
        <w:spacing w:after="0" w:line="157" w:lineRule="exact"/>
        <w:rPr>
          <w:rFonts w:ascii="Times New Roman" w:cs="Times New Roman" w:eastAsia="Times New Roman" w:hAnsi="Times New Roman"/>
          <w:sz w:val="15"/>
          <w:szCs w:val="15"/>
          <w:color w:val="auto"/>
        </w:rPr>
      </w:pPr>
    </w:p>
    <w:p>
      <w:pPr>
        <w:ind w:left="5" w:right="200" w:firstLine="374"/>
        <w:spacing w:after="0" w:line="256" w:lineRule="auto"/>
        <w:tabs>
          <w:tab w:leader="none" w:pos="538"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undersigned hereby acknowledges and agrees that (i) the Underwriters and the Company may be irreparably injured in the event of a breach of any of the obligations contained in this Letter Agreement, (ii) monetary damages may not be an adequate remedy for such breach, and (iii) the non-breaching party shall be entitled to injunctive relief, in addition to any other remedy that such party may have in law or in equity, in the event of such breach. Notwithstanding anything to the contrary herein, Lynrock Lake shall only be subject to Section 1, Section 3 and Section 10 hereof and shall only have liability hereunder for its breach of such sections.</w:t>
      </w:r>
    </w:p>
    <w:p>
      <w:pPr>
        <w:spacing w:after="0" w:line="157" w:lineRule="exact"/>
        <w:rPr>
          <w:rFonts w:ascii="Times New Roman" w:cs="Times New Roman" w:eastAsia="Times New Roman" w:hAnsi="Times New Roman"/>
          <w:sz w:val="15"/>
          <w:szCs w:val="15"/>
          <w:color w:val="auto"/>
        </w:rPr>
      </w:pPr>
    </w:p>
    <w:p>
      <w:pPr>
        <w:ind w:left="5" w:firstLine="374"/>
        <w:spacing w:after="0" w:line="284" w:lineRule="auto"/>
        <w:tabs>
          <w:tab w:leader="none" w:pos="538"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undersigned or any of their Affiliates will be entitled to receive, and none of them may accept, any compensation or other cash payment prior to, or for services rendered in order to effectuate, the consummation of the Business Combination, except for the following:</w:t>
      </w:r>
    </w:p>
    <w:p>
      <w:pPr>
        <w:spacing w:after="0" w:line="136" w:lineRule="exact"/>
        <w:rPr>
          <w:rFonts w:ascii="Times New Roman" w:cs="Times New Roman" w:eastAsia="Times New Roman" w:hAnsi="Times New Roman"/>
          <w:sz w:val="15"/>
          <w:szCs w:val="15"/>
          <w:color w:val="auto"/>
        </w:rPr>
      </w:pPr>
    </w:p>
    <w:p>
      <w:pPr>
        <w:jc w:val="both"/>
        <w:ind w:left="5" w:right="180" w:firstLine="860"/>
        <w:spacing w:after="0" w:line="265" w:lineRule="auto"/>
        <w:tabs>
          <w:tab w:leader="none" w:pos="1079" w:val="left"/>
        </w:tabs>
        <w:numPr>
          <w:ilvl w:val="2"/>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GigManagement, LLC, a Delaware limited liability company and an affiliate of the Sponsor, may receive compensation for office space, utilities, secretarial and administrative services, as provided for under that certain Administrative Services Agreement, dated as of [X], 2025, between the Company and GigManagement, LLC;</w:t>
      </w:r>
    </w:p>
    <w:p>
      <w:pPr>
        <w:spacing w:after="0" w:line="11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5"/>
          <w:szCs w:val="15"/>
          <w:color w:val="auto"/>
        </w:rPr>
        <w:t>2</w:t>
      </w:r>
    </w:p>
    <w:p>
      <w:pPr>
        <w:sectPr>
          <w:pgSz w:w="11900" w:h="16840" w:orient="portrait"/>
          <w:cols w:equalWidth="0" w:num="1">
            <w:col w:w="9665"/>
          </w:cols>
          <w:pgMar w:left="1115" w:top="689" w:right="1120" w:bottom="1440" w:gutter="0" w:footer="0" w:header="0"/>
        </w:sectPr>
      </w:pPr>
    </w:p>
    <w:bookmarkStart w:id="326" w:name="page327"/>
    <w:bookmarkEnd w:id="326"/>
    <w:p>
      <w:pPr>
        <w:ind w:left="1080" w:hanging="220"/>
        <w:spacing w:after="0"/>
        <w:tabs>
          <w:tab w:leader="none" w:pos="1080"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6749415" cy="35560"/>
                    </a:xfrm>
                    <a:prstGeom prst="rect">
                      <a:avLst/>
                    </a:prstGeom>
                    <a:noFill/>
                  </pic:spPr>
                </pic:pic>
              </a:graphicData>
            </a:graphic>
          </wp:anchor>
        </w:drawing>
        <w:t>The Chief Financial Officer of the Company will receive monthly payments of $15,000 per month; and</w:t>
      </w:r>
    </w:p>
    <w:p>
      <w:pPr>
        <w:spacing w:after="0" w:line="194" w:lineRule="exact"/>
        <w:rPr>
          <w:rFonts w:ascii="Times New Roman" w:cs="Times New Roman" w:eastAsia="Times New Roman" w:hAnsi="Times New Roman"/>
          <w:sz w:val="15"/>
          <w:szCs w:val="15"/>
          <w:color w:val="auto"/>
        </w:rPr>
      </w:pPr>
    </w:p>
    <w:p>
      <w:pPr>
        <w:ind w:right="100" w:firstLine="860"/>
        <w:spacing w:after="0" w:line="253" w:lineRule="auto"/>
        <w:tabs>
          <w:tab w:leader="none" w:pos="1074"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the Sponsor or Insiders and their Affiliates may receive reimbursement of out-of-pocket expenses incurred by them in connection with certain activities on behalf of the Company, such as identifying and investigating possible business targets and business combinations, as well as advisory fees to directors pertaining to board committee service and extraordinary administrative and analytical services, and repayment upon consummation of a Business Combination of any loans which may be made by them or by their Affiliates to finance transaction costs in connection with an intended Business Combination. While the terms of any such loans have not been determined nor have any written agreements been executed with respect thereto, it is acknowledged and agreed that up to $1,500,000 of any such loans may be convertible into private placement units at a price of $10.00 per unit at the option of the lender.</w:t>
      </w:r>
    </w:p>
    <w:p>
      <w:pPr>
        <w:spacing w:after="0" w:line="342" w:lineRule="exact"/>
        <w:rPr>
          <w:rFonts w:ascii="Times New Roman" w:cs="Times New Roman" w:eastAsia="Times New Roman" w:hAnsi="Times New Roman"/>
          <w:sz w:val="15"/>
          <w:szCs w:val="15"/>
          <w:color w:val="auto"/>
        </w:rPr>
      </w:pPr>
    </w:p>
    <w:p>
      <w:pPr>
        <w:ind w:right="220" w:firstLine="374"/>
        <w:spacing w:after="0" w:line="251" w:lineRule="auto"/>
        <w:tabs>
          <w:tab w:leader="none" w:pos="533"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Company receives either payment of a termination fee in connection with a Business Combination that is not consummated pursuant to a termination fee provision in a business combination agreement, or a settlement of a potential claim or dispute relating to a business combination (“</w:t>
      </w:r>
      <w:r>
        <w:rPr>
          <w:rFonts w:ascii="Times New Roman" w:cs="Times New Roman" w:eastAsia="Times New Roman" w:hAnsi="Times New Roman"/>
          <w:sz w:val="15"/>
          <w:szCs w:val="15"/>
          <w:b w:val="1"/>
          <w:bCs w:val="1"/>
          <w:i w:val="1"/>
          <w:iCs w:val="1"/>
          <w:color w:val="auto"/>
        </w:rPr>
        <w:t>Termination Assets</w:t>
      </w:r>
      <w:r>
        <w:rPr>
          <w:rFonts w:ascii="Times New Roman" w:cs="Times New Roman" w:eastAsia="Times New Roman" w:hAnsi="Times New Roman"/>
          <w:sz w:val="15"/>
          <w:szCs w:val="15"/>
          <w:color w:val="auto"/>
        </w:rPr>
        <w:t>”), the board of directors will, in fulfillment of their fiduciary duties, be empowered to determine whether to use such funds to pursue a different Business Combination, including by way of funding contributions to the Trust Account for the purpose of amending the Company’s Amended and Restated Memorandum and Articles of Association to allow for a longer period of time to close a Business Combination, or to liquidate or wind up the Company. If the board of directors determines to liquidate and wind up the Company and any Termination Assets are held by the Company outside of the Trust Account, then the undersigned agree that they will not act to cause the board of directors to not distribute such Termination Assets to all holders of Ordinary Shares as of the date of the determination of the board of directors to liquidate and wind up the Company, on a pro rata basis equal to the number of shares held by such holder of Ordinary Shares divided by the total number of Ordinary Shares as of such date.</w:t>
      </w:r>
    </w:p>
    <w:p>
      <w:pPr>
        <w:spacing w:after="0" w:line="164" w:lineRule="exact"/>
        <w:rPr>
          <w:rFonts w:ascii="Times New Roman" w:cs="Times New Roman" w:eastAsia="Times New Roman" w:hAnsi="Times New Roman"/>
          <w:sz w:val="15"/>
          <w:szCs w:val="15"/>
          <w:color w:val="auto"/>
        </w:rPr>
      </w:pPr>
    </w:p>
    <w:p>
      <w:pPr>
        <w:ind w:right="100" w:firstLine="374"/>
        <w:spacing w:after="0" w:line="259" w:lineRule="auto"/>
        <w:tabs>
          <w:tab w:leader="none" w:pos="533"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biographical information of the undersigned individual Insiders previously furnished to the Company and the Representative is true and accurate in all respects, does not omit any material information with respect to the undersigned’s background and contains all of the information required to be disclosed pursuant to Item 401 of Regulation S-K, promulgated under the Securities Act. Each undersigned Insiders’ FINRA Questionnaire previously furnished to the Company and the Representative is also true and accurate in all respects.</w:t>
      </w:r>
    </w:p>
    <w:p>
      <w:pPr>
        <w:spacing w:after="0" w:line="155" w:lineRule="exact"/>
        <w:rPr>
          <w:rFonts w:ascii="Times New Roman" w:cs="Times New Roman" w:eastAsia="Times New Roman" w:hAnsi="Times New Roman"/>
          <w:sz w:val="15"/>
          <w:szCs w:val="15"/>
          <w:color w:val="auto"/>
        </w:rPr>
      </w:pPr>
    </w:p>
    <w:p>
      <w:pPr>
        <w:ind w:left="520" w:hanging="146"/>
        <w:spacing w:after="0"/>
        <w:tabs>
          <w:tab w:leader="none" w:pos="52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undersigned represents and warrants that (i) he, she or it is not subject to, or a respondent in, any legal action for any injunction,</w:t>
      </w:r>
    </w:p>
    <w:p>
      <w:pPr>
        <w:spacing w:after="0" w:line="2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5"/>
          <w:szCs w:val="15"/>
          <w:color w:val="auto"/>
        </w:rPr>
        <w:t>cease-and-desist order, or order or stipulation to desist or refrain from any act or practice relating to the offering of securities in any jurisdiction; (ii) he, she or it has never been convicted of or pleaded guilty to any crime involving any fraud, relating to any financial transaction or handling of funds of another person, or pertaining to any dealings in any securities and he, she or it is not currently a defendant in any such criminal proceeding; and (iii) he, she or it has never been suspended or expelled from membership in any securities or commodities exchange or association, or had a securities or commodities license or registration denied, suspended or revoked.</w:t>
      </w:r>
    </w:p>
    <w:p>
      <w:pPr>
        <w:spacing w:after="0" w:line="163" w:lineRule="exact"/>
        <w:rPr>
          <w:sz w:val="20"/>
          <w:szCs w:val="20"/>
          <w:color w:val="auto"/>
        </w:rPr>
      </w:pPr>
    </w:p>
    <w:p>
      <w:pPr>
        <w:ind w:firstLine="374"/>
        <w:spacing w:after="0" w:line="251" w:lineRule="auto"/>
        <w:tabs>
          <w:tab w:leader="none" w:pos="61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undersigned agrees that he, she or it shall not Transfer (as defined below): (i) with respect to any Founder Shares or, except for the Ordinary Shares that are underlying the Private Placement Units or any Offering Shares that the undersigned acquires, any other Ordinary Shares of the Company held by him, her, it or by their Affiliates until the earlier of (A) six months after the completion of a Business Combination or (B) the date on which, subsequent to a Business Combination, (x) the last sale price of the Class A Ordinary Shares equals or exceeds $11.50 per share (as adjusted for stock splits, stock dividends, reorganizations, recapitalizations and the like) for any 20 trading days within any 30-trading day period commencing at least 90 days after a business combination or (y) the SPAC completes a liquidation, merger, stock exchange or other similar transaction that results in all of the SPAC’s shareholders having the right to exchange their Class B Ordinary Shares for cash, securities or other property and (ii) in the case of the Private Placement Units or any securities underlying the Private Placement Units, until 30 days after the completion of a business combination (clauses (i) and (ii) collectively, the “</w:t>
      </w:r>
      <w:r>
        <w:rPr>
          <w:rFonts w:ascii="Times New Roman" w:cs="Times New Roman" w:eastAsia="Times New Roman" w:hAnsi="Times New Roman"/>
          <w:sz w:val="15"/>
          <w:szCs w:val="15"/>
          <w:b w:val="1"/>
          <w:bCs w:val="1"/>
          <w:i w:val="1"/>
          <w:iCs w:val="1"/>
          <w:color w:val="auto"/>
        </w:rPr>
        <w:t>Lock-up Period</w:t>
      </w:r>
      <w:r>
        <w:rPr>
          <w:rFonts w:ascii="Times New Roman" w:cs="Times New Roman" w:eastAsia="Times New Roman" w:hAnsi="Times New Roman"/>
          <w:sz w:val="15"/>
          <w:szCs w:val="15"/>
          <w:color w:val="auto"/>
        </w:rPr>
        <w:t>”). Notwithstanding the foregoing, during the Lock-up Period, Transfers of Founder Shares or, except for any Offering</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w:t>
      </w:r>
    </w:p>
    <w:p>
      <w:pPr>
        <w:sectPr>
          <w:pgSz w:w="11900" w:h="16840" w:orient="portrait"/>
          <w:cols w:equalWidth="0" w:num="1">
            <w:col w:w="9680"/>
          </w:cols>
          <w:pgMar w:left="1120" w:top="689" w:right="1100" w:bottom="1440" w:gutter="0" w:footer="0" w:header="0"/>
        </w:sectPr>
      </w:pPr>
    </w:p>
    <w:bookmarkStart w:id="327" w:name="page328"/>
    <w:bookmarkEnd w:id="327"/>
    <w:p>
      <w:pPr>
        <w:ind w:left="5"/>
        <w:spacing w:after="0" w:line="24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Shares, any other Ordinary Shares of the Company, the Private Placement Rights and Ordinary Shares issued or issuable upon the conversion of the Private Placement Rights or the Founder Shares, are permitted to be made (a) amongst such of the undersigned holding such securities and their Affiliates, to the Company’s executive officers or directors, or to any Affiliate or family member of any of the Company’s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the Company’s securities; (f) through private sales or transfers made in connection with the consummation of a Business Combination at prices no greater than the price at which such securities were originally purchased; (g) to the Company for no value for cancellation in connection with the consummation of a Business Combination; (h) in the event of the Company’s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the Company’s completion of a liquidation, merger, share exchange, reorganization or other similar transaction which results in all of the Company’s shareholders having the right to exchange their Ordinary Shares for cash, securities or other property subsequent to the completion of the Company’s initial Business Combination;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case of clauses</w:t>
      </w:r>
    </w:p>
    <w:p>
      <w:pPr>
        <w:spacing w:after="0" w:line="7" w:lineRule="exact"/>
        <w:rPr>
          <w:sz w:val="20"/>
          <w:szCs w:val="20"/>
          <w:color w:val="auto"/>
        </w:rPr>
      </w:pPr>
    </w:p>
    <w:p>
      <w:pPr>
        <w:ind w:left="5" w:right="500" w:hanging="5"/>
        <w:spacing w:after="0" w:line="262" w:lineRule="auto"/>
        <w:tabs>
          <w:tab w:leader="none" w:pos="215"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(f), these permitted transferees must enter into a written agreement agreeing to be bound by these transfer restrictions and the other terms described in this Letter Agreement to the extent and for the duration that such terms remain in effect at the time of the Transfer.</w:t>
      </w:r>
    </w:p>
    <w:p>
      <w:pPr>
        <w:spacing w:after="0" w:line="152" w:lineRule="exact"/>
        <w:rPr>
          <w:rFonts w:ascii="Times New Roman" w:cs="Times New Roman" w:eastAsia="Times New Roman" w:hAnsi="Times New Roman"/>
          <w:sz w:val="15"/>
          <w:szCs w:val="15"/>
          <w:color w:val="auto"/>
        </w:rPr>
      </w:pPr>
    </w:p>
    <w:p>
      <w:pPr>
        <w:ind w:left="5" w:right="100" w:firstLine="374"/>
        <w:spacing w:after="0" w:line="251" w:lineRule="auto"/>
        <w:tabs>
          <w:tab w:leader="none" w:pos="615"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paragraph 10, each of the undersigned agrees that during the period commencing on the effective date of the Underwriting Agreement and ending 180 days after such date, none of them nor any of their Affiliates, may, without the prior written approval of the Underwriters, offer, sell, contract to sell, pledge, or otherwise dispose of, directly or indirectly, or hedge the Company’s Units, Rights, Ordinary Shares or any other securities convertible into or exchangeable or exercisable for Ordinary Shares, or publicly announce an intention to effect any such transaction. The foregoing sentence shall not apply to (i) the registration of the offer and sale of Units contemplated by the Underwriting Agreement, (ii) the sale of the Units to the Underwriters, and (iii) the forfeiture of any Founder Shares pursuant to their terms or any transfer of Founder Shares to any current or future independent director of the Company (as long as such current or future independent director transferee is subject to this Letter Agreement or executes an agreement substantially identical to the terms of this Letter Agreement, as applicable to directors and officers at the time of such transfer; and as long as, to the extent any Section 16 reporting obligation is triggered as a result of such transfer, any related Section 16 filing includes a practical explanation as to the nature of the transfer).</w:t>
      </w:r>
    </w:p>
    <w:p>
      <w:pPr>
        <w:spacing w:after="0" w:line="158" w:lineRule="exact"/>
        <w:rPr>
          <w:rFonts w:ascii="Times New Roman" w:cs="Times New Roman" w:eastAsia="Times New Roman" w:hAnsi="Times New Roman"/>
          <w:sz w:val="15"/>
          <w:szCs w:val="15"/>
          <w:color w:val="auto"/>
        </w:rPr>
      </w:pPr>
    </w:p>
    <w:p>
      <w:pPr>
        <w:ind w:left="5" w:right="40" w:firstLine="374"/>
        <w:spacing w:after="0" w:line="251" w:lineRule="auto"/>
        <w:tabs>
          <w:tab w:leader="none" w:pos="615"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the liquidation of the Trust Account, Sponsor (the “</w:t>
      </w:r>
      <w:r>
        <w:rPr>
          <w:rFonts w:ascii="Times New Roman" w:cs="Times New Roman" w:eastAsia="Times New Roman" w:hAnsi="Times New Roman"/>
          <w:sz w:val="15"/>
          <w:szCs w:val="15"/>
          <w:b w:val="1"/>
          <w:bCs w:val="1"/>
          <w:i w:val="1"/>
          <w:iCs w:val="1"/>
          <w:color w:val="auto"/>
        </w:rPr>
        <w:t>Indemnitor</w:t>
      </w:r>
      <w:r>
        <w:rPr>
          <w:rFonts w:ascii="Times New Roman" w:cs="Times New Roman" w:eastAsia="Times New Roman" w:hAnsi="Times New Roman"/>
          <w:sz w:val="15"/>
          <w:szCs w:val="15"/>
          <w:color w:val="auto"/>
        </w:rPr>
        <w:t xml:space="preserve">”)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the Company may become subject as a result of any claim by (i) any third party for services rendered or products sold to the Company, or (ii) a prospective target business with which the Company has entered into an acquisition agreement;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such indemnification of the Company by the Indemnitor shall apply only to the extent necessary to ensure that such claims by a third party for services rendered (other than the Company’s independent public accountants) or products sold to the Company or a target do not reduce the amount of funds in the Trust Account to below the lesser of (i) $10.00 per share of the Offering Shares, or</w:t>
      </w:r>
    </w:p>
    <w:p>
      <w:pPr>
        <w:ind w:left="5" w:right="140" w:hanging="5"/>
        <w:spacing w:after="0" w:line="249" w:lineRule="auto"/>
        <w:tabs>
          <w:tab w:leader="none" w:pos="232"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lesser amount per share of the Offering Shares held in the Trust Account due to reductions in the value of the trust assets as of the date of the liquidation of the Trust Account, in each case, net of the amount of interest earned on the property in the Trust Account which may be withdrawn as a Permitted Withdrawal, except as to any claims by a third party who executed a waiver of any and all rights to seek access to the Trust Account (whether or not such agreement is enforceable) and as to any claims under the Company’s indemnity of the Underwriters against certain liabilities, including liabilities under the Securities Act. In the event that any such executed waiver is deemed to be unenforceable against such third party, the Indemnitor shall not be responsible for any liability as a result of any such third-party claims. The Indemnitor shall have the right to defend against any such claim with counsel of its choice reasonably satisfactory to the Company if, within fifteen (15) days following written receipt of notice of the claim to the Indemnitor, the Indemnitor notifies the Company in writing that it shall undertake such defense.</w:t>
      </w:r>
    </w:p>
    <w:p>
      <w:pPr>
        <w:spacing w:after="0" w:line="12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5"/>
          <w:szCs w:val="15"/>
          <w:color w:val="auto"/>
        </w:rPr>
        <w:t>4</w:t>
      </w:r>
    </w:p>
    <w:p>
      <w:pPr>
        <w:sectPr>
          <w:pgSz w:w="11900" w:h="16840" w:orient="portrait"/>
          <w:cols w:equalWidth="0" w:num="1">
            <w:col w:w="9665"/>
          </w:cols>
          <w:pgMar w:left="1115" w:top="689" w:right="1120" w:bottom="1440" w:gutter="0" w:footer="0" w:header="0"/>
        </w:sectPr>
      </w:pPr>
    </w:p>
    <w:bookmarkStart w:id="328" w:name="page329"/>
    <w:bookmarkEnd w:id="328"/>
    <w:p>
      <w:pPr>
        <w:jc w:val="both"/>
        <w:ind w:right="20" w:firstLine="374"/>
        <w:spacing w:after="0" w:line="259" w:lineRule="auto"/>
        <w:tabs>
          <w:tab w:leader="none" w:pos="61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6749415" cy="35560"/>
                    </a:xfrm>
                    <a:prstGeom prst="rect">
                      <a:avLst/>
                    </a:prstGeom>
                    <a:noFill/>
                  </pic:spPr>
                </pic:pic>
              </a:graphicData>
            </a:graphic>
          </wp:anchor>
        </w:drawing>
        <w:t>Sponsor has full right and power, without violating any agreement by which it is bound, to enter into this Letter Agreement. Lynrock Lake has full right and power, without violating any agreement by which it is bound, to enter into this Letter Agreement. Each of the undersigned individuals has full right and power, without violating any agreement by which he or she is bound, to enter into this Letter Agreement and to serve as an executive officer and/or director of the Company (if applicable).</w:t>
      </w:r>
    </w:p>
    <w:p>
      <w:pPr>
        <w:spacing w:after="0" w:line="151" w:lineRule="exact"/>
        <w:rPr>
          <w:rFonts w:ascii="Times New Roman" w:cs="Times New Roman" w:eastAsia="Times New Roman" w:hAnsi="Times New Roman"/>
          <w:sz w:val="15"/>
          <w:szCs w:val="15"/>
          <w:color w:val="auto"/>
        </w:rPr>
      </w:pPr>
    </w:p>
    <w:p>
      <w:pPr>
        <w:ind w:firstLine="374"/>
        <w:spacing w:after="0" w:line="250" w:lineRule="auto"/>
        <w:tabs>
          <w:tab w:leader="none" w:pos="61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used herein, (i) “</w:t>
      </w:r>
      <w:r>
        <w:rPr>
          <w:rFonts w:ascii="Times New Roman" w:cs="Times New Roman" w:eastAsia="Times New Roman" w:hAnsi="Times New Roman"/>
          <w:sz w:val="15"/>
          <w:szCs w:val="15"/>
          <w:b w:val="1"/>
          <w:bCs w:val="1"/>
          <w:i w:val="1"/>
          <w:iCs w:val="1"/>
          <w:color w:val="auto"/>
        </w:rPr>
        <w:t>Affiliate</w:t>
      </w:r>
      <w:r>
        <w:rPr>
          <w:rFonts w:ascii="Times New Roman" w:cs="Times New Roman" w:eastAsia="Times New Roman" w:hAnsi="Times New Roman"/>
          <w:sz w:val="15"/>
          <w:szCs w:val="15"/>
          <w:color w:val="auto"/>
        </w:rPr>
        <w:t>” has the meaning set forth in Rule 144(a)(1) under the Securities Act; (ii) “</w:t>
      </w:r>
      <w:r>
        <w:rPr>
          <w:rFonts w:ascii="Times New Roman" w:cs="Times New Roman" w:eastAsia="Times New Roman" w:hAnsi="Times New Roman"/>
          <w:sz w:val="15"/>
          <w:szCs w:val="15"/>
          <w:b w:val="1"/>
          <w:bCs w:val="1"/>
          <w:i w:val="1"/>
          <w:iCs w:val="1"/>
          <w:color w:val="auto"/>
        </w:rPr>
        <w:t>Business Combination</w:t>
      </w:r>
      <w:r>
        <w:rPr>
          <w:rFonts w:ascii="Times New Roman" w:cs="Times New Roman" w:eastAsia="Times New Roman" w:hAnsi="Times New Roman"/>
          <w:sz w:val="15"/>
          <w:szCs w:val="15"/>
          <w:color w:val="auto"/>
        </w:rPr>
        <w:t>” shall mean a merger, share exchange, asset acquisition, share purchase, reorganization or similar business combination, involving the Company and one or more businesses; (ii) “</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 (iii) “</w:t>
      </w:r>
      <w:r>
        <w:rPr>
          <w:rFonts w:ascii="Times New Roman" w:cs="Times New Roman" w:eastAsia="Times New Roman" w:hAnsi="Times New Roman"/>
          <w:sz w:val="15"/>
          <w:szCs w:val="15"/>
          <w:b w:val="1"/>
          <w:bCs w:val="1"/>
          <w:i w:val="1"/>
          <w:iCs w:val="1"/>
          <w:color w:val="auto"/>
        </w:rPr>
        <w:t>Founder Shares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shall mean the 7,850,229 Class B ordinary shares, par value $0.0001 per share, issued and outstanding immediately prior to the consummation of the Public Offering, and initially held by the Sponsor, and any Class A ordinary shares issuable upon conversion thereof; (iv) “</w:t>
      </w:r>
      <w:r>
        <w:rPr>
          <w:rFonts w:ascii="Times New Roman" w:cs="Times New Roman" w:eastAsia="Times New Roman" w:hAnsi="Times New Roman"/>
          <w:sz w:val="15"/>
          <w:szCs w:val="15"/>
          <w:b w:val="1"/>
          <w:bCs w:val="1"/>
          <w:i w:val="1"/>
          <w:iCs w:val="1"/>
          <w:color w:val="auto"/>
        </w:rPr>
        <w:t>Ordinary Shares</w:t>
      </w:r>
      <w:r>
        <w:rPr>
          <w:rFonts w:ascii="Times New Roman" w:cs="Times New Roman" w:eastAsia="Times New Roman" w:hAnsi="Times New Roman"/>
          <w:sz w:val="15"/>
          <w:szCs w:val="15"/>
          <w:color w:val="auto"/>
        </w:rPr>
        <w:t>” shall mean Class A Ordinary Shares and Class B ordinary shares of the Company; (v) “</w:t>
      </w:r>
      <w:r>
        <w:rPr>
          <w:rFonts w:ascii="Times New Roman" w:cs="Times New Roman" w:eastAsia="Times New Roman" w:hAnsi="Times New Roman"/>
          <w:sz w:val="15"/>
          <w:szCs w:val="15"/>
          <w:b w:val="1"/>
          <w:bCs w:val="1"/>
          <w:i w:val="1"/>
          <w:iCs w:val="1"/>
          <w:color w:val="auto"/>
        </w:rPr>
        <w:t>Private Placement Rights</w:t>
      </w:r>
      <w:r>
        <w:rPr>
          <w:rFonts w:ascii="Times New Roman" w:cs="Times New Roman" w:eastAsia="Times New Roman" w:hAnsi="Times New Roman"/>
          <w:sz w:val="15"/>
          <w:szCs w:val="15"/>
          <w:color w:val="auto"/>
        </w:rPr>
        <w:t>” shall mean the rights to receive one-tenth of one Class A ordinary share upon the consummation of an initial business combination included in the private placement units; (vi) “</w:t>
      </w:r>
      <w:r>
        <w:rPr>
          <w:rFonts w:ascii="Times New Roman" w:cs="Times New Roman" w:eastAsia="Times New Roman" w:hAnsi="Times New Roman"/>
          <w:sz w:val="15"/>
          <w:szCs w:val="15"/>
          <w:b w:val="1"/>
          <w:bCs w:val="1"/>
          <w:i w:val="1"/>
          <w:iCs w:val="1"/>
          <w:color w:val="auto"/>
        </w:rPr>
        <w:t>Public Shareholders</w:t>
      </w:r>
      <w:r>
        <w:rPr>
          <w:rFonts w:ascii="Times New Roman" w:cs="Times New Roman" w:eastAsia="Times New Roman" w:hAnsi="Times New Roman"/>
          <w:sz w:val="15"/>
          <w:szCs w:val="15"/>
          <w:color w:val="auto"/>
        </w:rPr>
        <w:t>” shall mean the holders of securities issued in the Public Offering; (vii) “</w:t>
      </w:r>
      <w:r>
        <w:rPr>
          <w:rFonts w:ascii="Times New Roman" w:cs="Times New Roman" w:eastAsia="Times New Roman" w:hAnsi="Times New Roman"/>
          <w:sz w:val="15"/>
          <w:szCs w:val="15"/>
          <w:b w:val="1"/>
          <w:bCs w:val="1"/>
          <w:i w:val="1"/>
          <w:iCs w:val="1"/>
          <w:color w:val="auto"/>
        </w:rPr>
        <w:t>Registration Statement</w:t>
      </w:r>
      <w:r>
        <w:rPr>
          <w:rFonts w:ascii="Times New Roman" w:cs="Times New Roman" w:eastAsia="Times New Roman" w:hAnsi="Times New Roman"/>
          <w:sz w:val="15"/>
          <w:szCs w:val="15"/>
          <w:color w:val="auto"/>
        </w:rPr>
        <w:t>” shall mean the Registration Statement on Form S-1 (Registration No. 333-280015) filed by the Company with the SEC in connection with the Public Offering, as the same may be amended or supplemented; (viii) the “</w:t>
      </w:r>
      <w:r>
        <w:rPr>
          <w:rFonts w:ascii="Times New Roman" w:cs="Times New Roman" w:eastAsia="Times New Roman" w:hAnsi="Times New Roman"/>
          <w:sz w:val="15"/>
          <w:szCs w:val="15"/>
          <w:b w:val="1"/>
          <w:bCs w:val="1"/>
          <w:i w:val="1"/>
          <w:iCs w:val="1"/>
          <w:color w:val="auto"/>
        </w:rPr>
        <w:t>SEC</w:t>
      </w:r>
      <w:r>
        <w:rPr>
          <w:rFonts w:ascii="Times New Roman" w:cs="Times New Roman" w:eastAsia="Times New Roman" w:hAnsi="Times New Roman"/>
          <w:sz w:val="15"/>
          <w:szCs w:val="15"/>
          <w:color w:val="auto"/>
        </w:rPr>
        <w:t>” means the United States Securities and Exchange Commission; (ix)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Securities Act of 1933, as amended; (x) “</w:t>
      </w:r>
      <w:r>
        <w:rPr>
          <w:rFonts w:ascii="Times New Roman" w:cs="Times New Roman" w:eastAsia="Times New Roman" w:hAnsi="Times New Roman"/>
          <w:sz w:val="15"/>
          <w:szCs w:val="15"/>
          <w:b w:val="1"/>
          <w:bCs w:val="1"/>
          <w:i w:val="1"/>
          <w:iCs w:val="1"/>
          <w:color w:val="auto"/>
        </w:rPr>
        <w:t>Transfer</w:t>
      </w:r>
      <w:r>
        <w:rPr>
          <w:rFonts w:ascii="Times New Roman" w:cs="Times New Roman" w:eastAsia="Times New Roman" w:hAnsi="Times New Roman"/>
          <w:sz w:val="15"/>
          <w:szCs w:val="15"/>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(xi) “</w:t>
      </w:r>
      <w:r>
        <w:rPr>
          <w:rFonts w:ascii="Times New Roman" w:cs="Times New Roman" w:eastAsia="Times New Roman" w:hAnsi="Times New Roman"/>
          <w:sz w:val="15"/>
          <w:szCs w:val="15"/>
          <w:b w:val="1"/>
          <w:bCs w:val="1"/>
          <w:i w:val="1"/>
          <w:iCs w:val="1"/>
          <w:color w:val="auto"/>
        </w:rPr>
        <w:t>Trust Account</w:t>
      </w:r>
      <w:r>
        <w:rPr>
          <w:rFonts w:ascii="Times New Roman" w:cs="Times New Roman" w:eastAsia="Times New Roman" w:hAnsi="Times New Roman"/>
          <w:sz w:val="15"/>
          <w:szCs w:val="15"/>
          <w:color w:val="auto"/>
        </w:rPr>
        <w:t>” shall mean the trust fund into which a portion of the net proceeds of the Public Offering shall be deposited.</w:t>
      </w:r>
    </w:p>
    <w:p>
      <w:pPr>
        <w:spacing w:after="0" w:line="341" w:lineRule="exact"/>
        <w:rPr>
          <w:rFonts w:ascii="Times New Roman" w:cs="Times New Roman" w:eastAsia="Times New Roman" w:hAnsi="Times New Roman"/>
          <w:sz w:val="15"/>
          <w:szCs w:val="15"/>
          <w:color w:val="auto"/>
        </w:rPr>
      </w:pPr>
    </w:p>
    <w:p>
      <w:pPr>
        <w:ind w:right="60" w:firstLine="374"/>
        <w:spacing w:after="0" w:line="251" w:lineRule="auto"/>
        <w:tabs>
          <w:tab w:leader="none" w:pos="61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undersigned hereby (i) agrees that any action, proceeding or claim against him, her or it arising out of or relating in any way to this Letter Agreement (a “</w:t>
      </w:r>
      <w:r>
        <w:rPr>
          <w:rFonts w:ascii="Times New Roman" w:cs="Times New Roman" w:eastAsia="Times New Roman" w:hAnsi="Times New Roman"/>
          <w:sz w:val="15"/>
          <w:szCs w:val="15"/>
          <w:b w:val="1"/>
          <w:bCs w:val="1"/>
          <w:i w:val="1"/>
          <w:iCs w:val="1"/>
          <w:color w:val="auto"/>
        </w:rPr>
        <w:t>Proceeding</w:t>
      </w:r>
      <w:r>
        <w:rPr>
          <w:rFonts w:ascii="Times New Roman" w:cs="Times New Roman" w:eastAsia="Times New Roman" w:hAnsi="Times New Roman"/>
          <w:sz w:val="15"/>
          <w:szCs w:val="15"/>
          <w:color w:val="auto"/>
        </w:rPr>
        <w:t>”) shall be brought and enforced in the courts of the State of New York of the United States of America for the Southern District of New York, and irrevocably submits to such jurisdiction, which jurisdiction shall be exclusive, (ii) waives any objection to such exclusive jurisdiction and that such courts represent an inconvenient forum, and (iii) irrevocably agrees to appoint DLA Piper LLP (US) as agent for the service of process in the State of New York to receive, for the undersigned and on his, her or its behalf, service of process in any Proceeding. If for any reason such agent is unable to act as such, the undersigned will promptly notify the Company and the Representative and appoint a substitute agent acceptable to each of the Company and the Representative within 30 days and nothing in this Letter Agreement will affect the right of either party to serve process in any other manner permitted by law.</w:t>
      </w:r>
    </w:p>
    <w:p>
      <w:pPr>
        <w:spacing w:after="0" w:line="164" w:lineRule="exact"/>
        <w:rPr>
          <w:rFonts w:ascii="Times New Roman" w:cs="Times New Roman" w:eastAsia="Times New Roman" w:hAnsi="Times New Roman"/>
          <w:sz w:val="15"/>
          <w:szCs w:val="15"/>
          <w:color w:val="auto"/>
        </w:rPr>
      </w:pPr>
    </w:p>
    <w:p>
      <w:pPr>
        <w:ind w:right="80" w:firstLine="374"/>
        <w:spacing w:after="0" w:line="259" w:lineRule="auto"/>
        <w:tabs>
          <w:tab w:leader="none" w:pos="61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55" w:lineRule="exact"/>
        <w:rPr>
          <w:rFonts w:ascii="Times New Roman" w:cs="Times New Roman" w:eastAsia="Times New Roman" w:hAnsi="Times New Roman"/>
          <w:sz w:val="15"/>
          <w:szCs w:val="15"/>
          <w:color w:val="auto"/>
        </w:rPr>
      </w:pPr>
    </w:p>
    <w:p>
      <w:pPr>
        <w:ind w:right="100" w:firstLine="374"/>
        <w:spacing w:after="0" w:line="265" w:lineRule="auto"/>
        <w:tabs>
          <w:tab w:leader="none" w:pos="61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acknowledges and understands that the Underwriters and the Company will rely upon the agreements, representations and warranties set forth herein in proceeding with the Public Offering. Nothing contained herein shall be deemed to render the Underwriters a representative of, or a fiduciary with respect to, the Company, its shareholders or any creditor or vendor of the Company with respect to the subject matter hereof.</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w:t>
      </w:r>
    </w:p>
    <w:p>
      <w:pPr>
        <w:sectPr>
          <w:pgSz w:w="11900" w:h="16840" w:orient="portrait"/>
          <w:cols w:equalWidth="0" w:num="1">
            <w:col w:w="9680"/>
          </w:cols>
          <w:pgMar w:left="1120" w:top="689" w:right="1100" w:bottom="1440" w:gutter="0" w:footer="0" w:header="0"/>
        </w:sectPr>
      </w:pPr>
    </w:p>
    <w:bookmarkStart w:id="329" w:name="page330"/>
    <w:bookmarkEnd w:id="329"/>
    <w:p>
      <w:pPr>
        <w:ind w:right="40" w:firstLine="374"/>
        <w:spacing w:after="0" w:line="265" w:lineRule="auto"/>
        <w:tabs>
          <w:tab w:leader="none" w:pos="61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6749415" cy="35560"/>
                    </a:xfrm>
                    <a:prstGeom prst="rect">
                      <a:avLst/>
                    </a:prstGeom>
                    <a:noFill/>
                  </pic:spPr>
                </pic:pic>
              </a:graphicData>
            </a:graphic>
          </wp:anchor>
        </w:drawing>
        <w:t xml:space="preserve">This Letter Agreement shall be binding on the undersigned and such person’s respective successors, heirs, personal representatives and assigns. This Letter Agreement shall terminate on the earlier of (i) the Company’s consummation of a Business Combination, or (ii) the liquidation of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such termination shall not relieve the undersigned from liability for any breach of this agreement prior to its termination.</w:t>
      </w:r>
    </w:p>
    <w:p>
      <w:pPr>
        <w:spacing w:after="0" w:line="151" w:lineRule="exact"/>
        <w:rPr>
          <w:rFonts w:ascii="Times New Roman" w:cs="Times New Roman" w:eastAsia="Times New Roman" w:hAnsi="Times New Roman"/>
          <w:sz w:val="15"/>
          <w:szCs w:val="15"/>
          <w:color w:val="auto"/>
        </w:rPr>
      </w:pPr>
    </w:p>
    <w:p>
      <w:pPr>
        <w:ind w:firstLine="374"/>
        <w:spacing w:after="0" w:line="252" w:lineRule="auto"/>
        <w:tabs>
          <w:tab w:leader="none" w:pos="61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Letter Agreement may be executed in counterparts, each of which when so executed shall be deemed to be an original and all of which when taken together shall constitute one and the same instrument. The words “execution,” signed,” “signature,” and words of like import in this Letter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[Signature page follows]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40" w:orient="portrait"/>
          <w:cols w:equalWidth="0" w:num="1">
            <w:col w:w="9640"/>
          </w:cols>
          <w:pgMar w:left="1120" w:top="689" w:right="1140"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6749415" cy="35560"/>
                    </a:xfrm>
                    <a:prstGeom prst="rect">
                      <a:avLst/>
                    </a:prstGeom>
                    <a:noFill/>
                  </pic:spPr>
                </pic:pic>
              </a:graphicData>
            </a:graphic>
          </wp:anchor>
        </w:drawing>
        <w:t>INSIDERS: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Christine Marshall</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3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Avi Katz</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Executive Officer and Chairman of the Board</w:t>
            </w:r>
          </w:p>
        </w:tc>
      </w:tr>
      <w:tr>
        <w:trPr>
          <w:trHeight w:val="3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Raluca Dinu</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3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Raanan Horowitz</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3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Adrian Zuckerman</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3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David Ben-Bashat</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3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Omri Dagul</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3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Luis Machuca</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3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Bryan Timm</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3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3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170"/>
        </w:trPr>
        <w:tc>
          <w:tcPr>
            <w:tcW w:w="5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color w:val="auto"/>
              </w:rPr>
              <w:t>James Greene</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 Nominee</w:t>
            </w:r>
          </w:p>
        </w:tc>
      </w:tr>
      <w:tr>
        <w:trPr>
          <w:trHeight w:val="557"/>
        </w:trPr>
        <w:tc>
          <w:tcPr>
            <w:tcW w:w="540" w:type="dxa"/>
            <w:vAlign w:val="bottom"/>
          </w:tcPr>
          <w:p>
            <w:pPr>
              <w:spacing w:after="0"/>
              <w:rPr>
                <w:sz w:val="24"/>
                <w:szCs w:val="24"/>
                <w:color w:val="auto"/>
              </w:rPr>
            </w:pPr>
          </w:p>
        </w:tc>
        <w:tc>
          <w:tcPr>
            <w:tcW w:w="5460" w:type="dxa"/>
            <w:vAlign w:val="bottom"/>
            <w:gridSpan w:val="2"/>
          </w:tcPr>
          <w:p>
            <w:pPr>
              <w:ind w:left="3120"/>
              <w:spacing w:after="0"/>
              <w:rPr>
                <w:sz w:val="20"/>
                <w:szCs w:val="20"/>
                <w:color w:val="auto"/>
              </w:rPr>
            </w:pPr>
            <w:r>
              <w:rPr>
                <w:rFonts w:ascii="Times New Roman" w:cs="Times New Roman" w:eastAsia="Times New Roman" w:hAnsi="Times New Roman"/>
                <w:sz w:val="15"/>
                <w:szCs w:val="15"/>
                <w:i w:val="1"/>
                <w:iCs w:val="1"/>
                <w:color w:val="auto"/>
              </w:rPr>
              <w:t>[Signature Page to Letter Agreement]</w:t>
            </w:r>
          </w:p>
        </w:tc>
      </w:tr>
    </w:tbl>
    <w:p>
      <w:pPr>
        <w:sectPr>
          <w:pgSz w:w="11900" w:h="16840" w:orient="portrait"/>
          <w:cols w:equalWidth="0" w:num="1">
            <w:col w:w="9340"/>
          </w:cols>
          <w:pgMar w:left="1120" w:top="685" w:right="1440"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409575</wp:posOffset>
            </wp:positionH>
            <wp:positionV relativeFrom="page">
              <wp:posOffset>361950</wp:posOffset>
            </wp:positionV>
            <wp:extent cx="6749415" cy="355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6749415" cy="35560"/>
                    </a:xfrm>
                    <a:prstGeom prst="rect">
                      <a:avLst/>
                    </a:prstGeom>
                    <a:noFill/>
                  </pic:spPr>
                </pic:pic>
              </a:graphicData>
            </a:graphic>
          </wp:anchor>
        </w:drawing>
        <w:t>SPONSOR: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GIGACQUISTIONS8 CORP.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10160</wp:posOffset>
            </wp:positionV>
            <wp:extent cx="210629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2106295" cy="7620"/>
                    </a:xfrm>
                    <a:prstGeom prst="rect">
                      <a:avLst/>
                    </a:prstGeom>
                    <a:noFill/>
                  </pic:spPr>
                </pic:pic>
              </a:graphicData>
            </a:graphic>
          </wp:anchor>
        </w:drawing>
      </w:r>
    </w:p>
    <w:p>
      <w:pPr>
        <w:spacing w:after="0" w:line="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Name:</w:t>
        <w:tab/>
        <w:t>Avi S. Katz</w:t>
      </w:r>
    </w:p>
    <w:p>
      <w:pPr>
        <w:spacing w:after="0" w:line="2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Title:</w:t>
        <w:tab/>
        <w:t>Managing Member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LYNROCK LAKE: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LYNROCK LAKE MASTER FUND LP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10160</wp:posOffset>
            </wp:positionV>
            <wp:extent cx="210629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2106295" cy="76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Acknowledged and Agreed: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GIGCAPITAL8 CORP.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10160</wp:posOffset>
            </wp:positionV>
            <wp:extent cx="210629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2106295" cy="7620"/>
                    </a:xfrm>
                    <a:prstGeom prst="rect">
                      <a:avLst/>
                    </a:prstGeom>
                    <a:noFill/>
                  </pic:spPr>
                </pic:pic>
              </a:graphicData>
            </a:graphic>
          </wp:anchor>
        </w:drawing>
      </w:r>
    </w:p>
    <w:p>
      <w:pPr>
        <w:spacing w:after="0" w:line="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Name:</w:t>
        <w:tab/>
        <w:t>Dr. Avi Katz</w:t>
      </w:r>
    </w:p>
    <w:p>
      <w:pPr>
        <w:spacing w:after="0" w:line="2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Title:</w:t>
        <w:tab/>
        <w:t>Chief Executive Officer and Chairman of the Board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 BORAL CAPITAL LLC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10160</wp:posOffset>
            </wp:positionV>
            <wp:extent cx="2106295"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2106295" cy="76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i w:val="1"/>
          <w:iCs w:val="1"/>
          <w:color w:val="auto"/>
        </w:rPr>
        <w:t>[Signature Page to Letter Agreement]</w:t>
      </w:r>
    </w:p>
    <w:p>
      <w:pPr>
        <w:sectPr>
          <w:pgSz w:w="11900" w:h="16840" w:orient="portrait"/>
          <w:cols w:equalWidth="0" w:num="1">
            <w:col w:w="9340"/>
          </w:cols>
          <w:pgMar w:left="1120" w:top="874" w:right="1440"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9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We hereby consent to the use in this Amendment No. 3 to the Registration Statement onForm S-1 of our report (which contains an explanatory paragraph relating to the Company’s ability to continue as a going concern as described in Note 1 to the financial statements) dated September 29, 2025, relating to the financial statements of GigCapital8 Corp., which appears in such Registration Statement. We also consent to the reference to us under the heading “Experts” in such Registration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BPM LLP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Jose,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September 29, 2025</w:t>
      </w:r>
    </w:p>
    <w:p>
      <w:pPr>
        <w:sectPr>
          <w:pgSz w:w="11900" w:h="16840" w:orient="portrait"/>
          <w:cols w:equalWidth="0" w:num="1">
            <w:col w:w="9660"/>
          </w:cols>
          <w:pgMar w:left="1120" w:top="554" w:right="1120" w:bottom="1440" w:gutter="0" w:footer="0" w:header="0"/>
        </w:sectPr>
      </w:pPr>
    </w:p>
    <w:bookmarkStart w:id="333" w:name="page334"/>
    <w:bookmarkEnd w:id="33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1)"/>
      <w:numFmt w:val="decimal"/>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
      <w:numFmt w:val="bullet"/>
      <w:start w:val="1"/>
    </w:lvl>
    <w:lvl w:ilvl="1">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1)"/>
      <w:numFmt w:val="decimal"/>
      <w:start w:val="2"/>
    </w:lvl>
  </w:abstractNum>
  <w:abstractNum w:abstractNumId="12">
    <w:nsid w:val="73A1821B"/>
    <w:multiLevelType w:val="hybridMultilevel"/>
    <w:lvl w:ilvl="0">
      <w:lvlJc w:val="left"/>
      <w:lvlText w:val="(%1)"/>
      <w:numFmt w:val="decimal"/>
      <w:start w:val="2"/>
    </w:lvl>
  </w:abstractNum>
  <w:abstractNum w:abstractNumId="13">
    <w:nsid w:val="7DE67713"/>
    <w:multiLevelType w:val="hybridMultilevel"/>
    <w:lvl w:ilvl="0">
      <w:lvlJc w:val="left"/>
      <w:lvlText w:val="(%1)"/>
      <w:numFmt w:val="decimal"/>
      <w:start w:val="1"/>
    </w:lvl>
  </w:abstractNum>
  <w:abstractNum w:abstractNumId="14">
    <w:nsid w:val="555C55B5"/>
    <w:multiLevelType w:val="hybridMultilevel"/>
    <w:lvl w:ilvl="0">
      <w:lvlJc w:val="left"/>
      <w:lvlText w:val="(%1)"/>
      <w:numFmt w:val="decimal"/>
      <w:start w:val="3"/>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1)"/>
      <w:numFmt w:val="decimal"/>
      <w:start w:val="1"/>
    </w:lvl>
  </w:abstractNum>
  <w:abstractNum w:abstractNumId="18">
    <w:nsid w:val="71C91298"/>
    <w:multiLevelType w:val="hybridMultilevel"/>
    <w:lvl w:ilvl="0">
      <w:lvlJc w:val="left"/>
      <w:lvlText w:val="(%1)"/>
      <w:numFmt w:val="lowerRoman"/>
      <w:start w:val="2"/>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1)"/>
      <w:numFmt w:val="decimal"/>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1)"/>
      <w:numFmt w:val="decimal"/>
      <w:start w:val="1"/>
    </w:lvl>
  </w:abstractNum>
  <w:abstractNum w:abstractNumId="23">
    <w:nsid w:val="1D545C4D"/>
    <w:multiLevelType w:val="hybridMultilevel"/>
    <w:lvl w:ilvl="0">
      <w:lvlJc w:val="left"/>
      <w:lvlText w:val="(%1)"/>
      <w:numFmt w:val="decimal"/>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
      <w:numFmt w:val="bullet"/>
      <w:start w:val="1"/>
    </w:lvl>
  </w:abstractNum>
  <w:abstractNum w:abstractNumId="27">
    <w:nsid w:val="1D9F6E5F"/>
    <w:multiLevelType w:val="hybridMultilevel"/>
    <w:lvl w:ilvl="0">
      <w:lvlJc w:val="left"/>
      <w:lvlText w:val="•"/>
      <w:numFmt w:val="bullet"/>
      <w:start w:val="1"/>
    </w:lvl>
  </w:abstractNum>
  <w:abstractNum w:abstractNumId="28">
    <w:nsid w:val="97E1B4E"/>
    <w:multiLevelType w:val="hybridMultilevel"/>
    <w:lvl w:ilvl="0">
      <w:lvlJc w:val="left"/>
      <w:lvlText w:val="(%1)"/>
      <w:numFmt w:val="decimal"/>
      <w:start w:val="1"/>
    </w:lvl>
  </w:abstractNum>
  <w:abstractNum w:abstractNumId="29">
    <w:nsid w:val="51088277"/>
    <w:multiLevelType w:val="hybridMultilevel"/>
    <w:lvl w:ilvl="0">
      <w:lvlJc w:val="left"/>
      <w:lvlText w:val="(%1)"/>
      <w:numFmt w:val="decimal"/>
      <w:start w:val="2"/>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1)"/>
      <w:numFmt w:val="lowerRoman"/>
      <w:start w:val="3"/>
    </w:lvl>
  </w:abstractNum>
  <w:abstractNum w:abstractNumId="32">
    <w:nsid w:val="415E286C"/>
    <w:multiLevelType w:val="hybridMultilevel"/>
    <w:lvl w:ilvl="0">
      <w:lvlJc w:val="left"/>
      <w:lvlText w:val="•"/>
      <w:numFmt w:val="bullet"/>
      <w:start w:val="1"/>
    </w:lvl>
  </w:abstractNum>
  <w:abstractNum w:abstractNumId="33">
    <w:nsid w:val="7C58FD05"/>
    <w:multiLevelType w:val="hybridMultilevel"/>
    <w:lvl w:ilvl="0">
      <w:lvlJc w:val="left"/>
      <w:lvlText w:val="•"/>
      <w:numFmt w:val="bullet"/>
      <w:start w:val="1"/>
    </w:lvl>
  </w:abstractNum>
  <w:abstractNum w:abstractNumId="34">
    <w:nsid w:val="23D86AAC"/>
    <w:multiLevelType w:val="hybridMultilevel"/>
    <w:lvl w:ilvl="0">
      <w:lvlJc w:val="left"/>
      <w:lvlText w:val="•"/>
      <w:numFmt w:val="bullet"/>
      <w:start w:val="1"/>
    </w:lvl>
  </w:abstractNum>
  <w:abstractNum w:abstractNumId="35">
    <w:nsid w:val="45E6D486"/>
    <w:multiLevelType w:val="hybridMultilevel"/>
    <w:lvl w:ilvl="0">
      <w:lvlJc w:val="left"/>
      <w:lvlText w:val="•"/>
      <w:numFmt w:val="bullet"/>
      <w:start w:val="1"/>
    </w:lvl>
  </w:abstractNum>
  <w:abstractNum w:abstractNumId="36">
    <w:nsid w:val="5C10FE21"/>
    <w:multiLevelType w:val="hybridMultilevel"/>
    <w:lvl w:ilvl="0">
      <w:lvlJc w:val="left"/>
      <w:lvlText w:val="•"/>
      <w:numFmt w:val="bullet"/>
      <w:start w:val="1"/>
    </w:lvl>
  </w:abstractNum>
  <w:abstractNum w:abstractNumId="37">
    <w:nsid w:val="E7FFA2B"/>
    <w:multiLevelType w:val="hybridMultilevel"/>
    <w:lvl w:ilvl="0">
      <w:lvlJc w:val="left"/>
      <w:lvlText w:val="(%1)"/>
      <w:numFmt w:val="lowerRoman"/>
      <w:start w:val="2"/>
    </w:lvl>
  </w:abstractNum>
  <w:abstractNum w:abstractNumId="38">
    <w:nsid w:val="3C5991AA"/>
    <w:multiLevelType w:val="hybridMultilevel"/>
    <w:lvl w:ilvl="0">
      <w:lvlJc w:val="left"/>
      <w:lvlText w:val="•"/>
      <w:numFmt w:val="bullet"/>
      <w:start w:val="1"/>
    </w:lvl>
  </w:abstractNum>
  <w:abstractNum w:abstractNumId="39">
    <w:nsid w:val="4BD8591A"/>
    <w:multiLevelType w:val="hybridMultilevel"/>
    <w:lvl w:ilvl="0">
      <w:lvlJc w:val="left"/>
      <w:lvlText w:val="•"/>
      <w:numFmt w:val="bullet"/>
      <w:start w:val="1"/>
    </w:lvl>
  </w:abstractNum>
  <w:abstractNum w:abstractNumId="40">
    <w:nsid w:val="78DF6A55"/>
    <w:multiLevelType w:val="hybridMultilevel"/>
    <w:lvl w:ilvl="0">
      <w:lvlJc w:val="left"/>
      <w:lvlText w:val="•"/>
      <w:numFmt w:val="bullet"/>
      <w:start w:val="1"/>
    </w:lvl>
  </w:abstractNum>
  <w:abstractNum w:abstractNumId="41">
    <w:nsid w:val="39B7AAA2"/>
    <w:multiLevelType w:val="hybridMultilevel"/>
    <w:lvl w:ilvl="0">
      <w:lvlJc w:val="left"/>
      <w:lvlText w:val="$"/>
      <w:numFmt w:val="bullet"/>
      <w:start w:val="1"/>
    </w:lvl>
  </w:abstractNum>
  <w:abstractNum w:abstractNumId="42">
    <w:nsid w:val="2B0D8DBE"/>
    <w:multiLevelType w:val="hybridMultilevel"/>
    <w:lvl w:ilvl="0">
      <w:lvlJc w:val="left"/>
      <w:lvlText w:val="(%1)"/>
      <w:numFmt w:val="decimal"/>
      <w:start w:val="1"/>
    </w:lvl>
  </w:abstractNum>
  <w:abstractNum w:abstractNumId="43">
    <w:nsid w:val="6C80EC70"/>
    <w:multiLevelType w:val="hybridMultilevel"/>
    <w:lvl w:ilvl="0">
      <w:lvlJc w:val="left"/>
      <w:lvlText w:val="•"/>
      <w:numFmt w:val="bullet"/>
      <w:start w:val="1"/>
    </w:lvl>
  </w:abstractNum>
  <w:abstractNum w:abstractNumId="44">
    <w:nsid w:val="379E21B5"/>
    <w:multiLevelType w:val="hybridMultilevel"/>
    <w:lvl w:ilvl="0">
      <w:lvlJc w:val="left"/>
      <w:lvlText w:val="(%1)"/>
      <w:numFmt w:val="lowerRoman"/>
      <w:start w:val="2"/>
    </w:lvl>
  </w:abstractNum>
  <w:abstractNum w:abstractNumId="45">
    <w:nsid w:val="69E373"/>
    <w:multiLevelType w:val="hybridMultilevel"/>
    <w:lvl w:ilvl="0">
      <w:lvlJc w:val="left"/>
      <w:lvlText w:val="•"/>
      <w:numFmt w:val="bullet"/>
      <w:start w:val="1"/>
    </w:lvl>
  </w:abstractNum>
  <w:abstractNum w:abstractNumId="46">
    <w:nsid w:val="2C27173B"/>
    <w:multiLevelType w:val="hybridMultilevel"/>
    <w:lvl w:ilvl="0">
      <w:lvlJc w:val="left"/>
      <w:lvlText w:val="(%1)"/>
      <w:numFmt w:val="decimal"/>
      <w:start w:val="1"/>
    </w:lvl>
  </w:abstractNum>
  <w:abstractNum w:abstractNumId="47">
    <w:nsid w:val="4C9B0904"/>
    <w:multiLevelType w:val="hybridMultilevel"/>
    <w:lvl w:ilvl="0">
      <w:lvlJc w:val="left"/>
      <w:lvlText w:val="(%1)"/>
      <w:numFmt w:val="decimal"/>
      <w:start w:val="3"/>
    </w:lvl>
  </w:abstractNum>
  <w:abstractNum w:abstractNumId="48">
    <w:nsid w:val="6AA7B75C"/>
    <w:multiLevelType w:val="hybridMultilevel"/>
    <w:lvl w:ilvl="0">
      <w:lvlJc w:val="left"/>
      <w:lvlText w:val="(%1)"/>
      <w:numFmt w:val="upperLetter"/>
      <w:start w:val="2"/>
    </w:lvl>
  </w:abstractNum>
  <w:abstractNum w:abstractNumId="49">
    <w:nsid w:val="1DF029D3"/>
    <w:multiLevelType w:val="hybridMultilevel"/>
    <w:lvl w:ilvl="0">
      <w:lvlJc w:val="left"/>
      <w:lvlText w:val="(%1)"/>
      <w:numFmt w:val="decimal"/>
      <w:start w:val="1"/>
    </w:lvl>
  </w:abstractNum>
  <w:abstractNum w:abstractNumId="50">
    <w:nsid w:val="5675FF36"/>
    <w:multiLevelType w:val="hybridMultilevel"/>
    <w:lvl w:ilvl="0">
      <w:lvlJc w:val="left"/>
      <w:lvlText w:val="(%1)"/>
      <w:numFmt w:val="decimal"/>
      <w:start w:val="2"/>
    </w:lvl>
  </w:abstractNum>
  <w:abstractNum w:abstractNumId="51">
    <w:nsid w:val="3DD15094"/>
    <w:multiLevelType w:val="hybridMultilevel"/>
    <w:lvl w:ilvl="0">
      <w:lvlJc w:val="left"/>
      <w:lvlText w:val="(%1)"/>
      <w:numFmt w:val="decimal"/>
      <w:start w:val="1"/>
    </w:lvl>
  </w:abstractNum>
  <w:abstractNum w:abstractNumId="52">
    <w:nsid w:val="3DB012B3"/>
    <w:multiLevelType w:val="hybridMultilevel"/>
    <w:lvl w:ilvl="0">
      <w:lvlJc w:val="left"/>
      <w:lvlText w:val="(%1)"/>
      <w:numFmt w:val="decimal"/>
      <w:start w:val="4"/>
    </w:lvl>
  </w:abstractNum>
  <w:abstractNum w:abstractNumId="53">
    <w:nsid w:val="2708C9AF"/>
    <w:multiLevelType w:val="hybridMultilevel"/>
    <w:lvl w:ilvl="0">
      <w:lvlJc w:val="left"/>
      <w:lvlText w:val="•"/>
      <w:numFmt w:val="bullet"/>
      <w:start w:val="1"/>
    </w:lvl>
  </w:abstractNum>
  <w:abstractNum w:abstractNumId="54">
    <w:nsid w:val="5B25ACE2"/>
    <w:multiLevelType w:val="hybridMultilevel"/>
    <w:lvl w:ilvl="0">
      <w:lvlJc w:val="left"/>
      <w:lvlText w:val="1"/>
      <w:numFmt w:val="bullet"/>
      <w:start w:val="1"/>
    </w:lvl>
  </w:abstractNum>
  <w:abstractNum w:abstractNumId="55">
    <w:nsid w:val="175DFCF0"/>
    <w:multiLevelType w:val="hybridMultilevel"/>
    <w:lvl w:ilvl="0">
      <w:lvlJc w:val="left"/>
      <w:lvlText w:val="2"/>
      <w:numFmt w:val="bullet"/>
      <w:start w:val="1"/>
    </w:lvl>
  </w:abstractNum>
  <w:abstractNum w:abstractNumId="56">
    <w:nsid w:val="4F97E3E4"/>
    <w:multiLevelType w:val="hybridMultilevel"/>
    <w:lvl w:ilvl="0">
      <w:lvlJc w:val="left"/>
      <w:lvlText w:val="3"/>
      <w:numFmt w:val="bullet"/>
      <w:start w:val="1"/>
    </w:lvl>
  </w:abstractNum>
  <w:abstractNum w:abstractNumId="57">
    <w:nsid w:val="53B0A9E"/>
    <w:multiLevelType w:val="hybridMultilevel"/>
    <w:lvl w:ilvl="0">
      <w:lvlJc w:val="left"/>
      <w:lvlText w:val="4"/>
      <w:numFmt w:val="bullet"/>
      <w:start w:val="1"/>
    </w:lvl>
  </w:abstractNum>
  <w:abstractNum w:abstractNumId="58">
    <w:nsid w:val="34FD6B4F"/>
    <w:multiLevelType w:val="hybridMultilevel"/>
    <w:lvl w:ilvl="0">
      <w:lvlJc w:val="left"/>
      <w:lvlText w:val="•"/>
      <w:numFmt w:val="bullet"/>
      <w:start w:val="1"/>
    </w:lvl>
  </w:abstractNum>
  <w:abstractNum w:abstractNumId="59">
    <w:nsid w:val="5915FF32"/>
    <w:multiLevelType w:val="hybridMultilevel"/>
    <w:lvl w:ilvl="0">
      <w:lvlJc w:val="left"/>
      <w:lvlText w:val="•"/>
      <w:numFmt w:val="bullet"/>
      <w:start w:val="1"/>
    </w:lvl>
  </w:abstractNum>
  <w:abstractNum w:abstractNumId="60">
    <w:nsid w:val="56438D15"/>
    <w:multiLevelType w:val="hybridMultilevel"/>
    <w:lvl w:ilvl="0">
      <w:lvlJc w:val="left"/>
      <w:lvlText w:val="•"/>
      <w:numFmt w:val="bullet"/>
      <w:start w:val="1"/>
    </w:lvl>
  </w:abstractNum>
  <w:abstractNum w:abstractNumId="61">
    <w:nsid w:val="519E3149"/>
    <w:multiLevelType w:val="hybridMultilevel"/>
    <w:lvl w:ilvl="0">
      <w:lvlJc w:val="left"/>
      <w:lvlText w:val="•"/>
      <w:numFmt w:val="bullet"/>
      <w:start w:val="1"/>
    </w:lvl>
    <w:lvl w:ilvl="1">
      <w:lvlJc w:val="left"/>
      <w:lvlText w:val="•"/>
      <w:numFmt w:val="bullet"/>
      <w:start w:val="1"/>
    </w:lvl>
  </w:abstractNum>
  <w:abstractNum w:abstractNumId="62">
    <w:nsid w:val="2C6E4AFD"/>
    <w:multiLevelType w:val="hybridMultilevel"/>
    <w:lvl w:ilvl="0">
      <w:lvlJc w:val="left"/>
      <w:lvlText w:val="•"/>
      <w:numFmt w:val="bullet"/>
      <w:start w:val="1"/>
    </w:lvl>
  </w:abstractNum>
  <w:abstractNum w:abstractNumId="63">
    <w:nsid w:val="17A1B582"/>
    <w:multiLevelType w:val="hybridMultilevel"/>
    <w:lvl w:ilvl="0">
      <w:lvlJc w:val="left"/>
      <w:lvlText w:val="(%1)"/>
      <w:numFmt w:val="decimal"/>
      <w:start w:val="1"/>
    </w:lvl>
  </w:abstractNum>
  <w:abstractNum w:abstractNumId="64">
    <w:nsid w:val="4DF72E4E"/>
    <w:multiLevelType w:val="hybridMultilevel"/>
    <w:lvl w:ilvl="0">
      <w:lvlJc w:val="left"/>
      <w:lvlText w:val="•"/>
      <w:numFmt w:val="bullet"/>
      <w:start w:val="1"/>
    </w:lvl>
  </w:abstractNum>
  <w:abstractNum w:abstractNumId="65">
    <w:nsid w:val="5046B5A9"/>
    <w:multiLevelType w:val="hybridMultilevel"/>
    <w:lvl w:ilvl="0">
      <w:lvlJc w:val="left"/>
      <w:lvlText w:val="•"/>
      <w:numFmt w:val="bullet"/>
      <w:start w:val="1"/>
    </w:lvl>
  </w:abstractNum>
  <w:abstractNum w:abstractNumId="66">
    <w:nsid w:val="5D888A08"/>
    <w:multiLevelType w:val="hybridMultilevel"/>
    <w:lvl w:ilvl="0">
      <w:lvlJc w:val="left"/>
      <w:lvlText w:val="•"/>
      <w:numFmt w:val="bullet"/>
      <w:start w:val="1"/>
    </w:lvl>
  </w:abstractNum>
  <w:abstractNum w:abstractNumId="67">
    <w:nsid w:val="2A082C70"/>
    <w:multiLevelType w:val="hybridMultilevel"/>
    <w:lvl w:ilvl="0">
      <w:lvlJc w:val="left"/>
      <w:lvlText w:val="•"/>
      <w:numFmt w:val="bullet"/>
      <w:start w:val="1"/>
    </w:lvl>
  </w:abstractNum>
  <w:abstractNum w:abstractNumId="68">
    <w:nsid w:val="5EC6AFD4"/>
    <w:multiLevelType w:val="hybridMultilevel"/>
    <w:lvl w:ilvl="0">
      <w:lvlJc w:val="left"/>
      <w:lvlText w:val="(%1)"/>
      <w:numFmt w:val="lowerRoman"/>
      <w:start w:val="3"/>
    </w:lvl>
  </w:abstractNum>
  <w:abstractNum w:abstractNumId="69">
    <w:nsid w:val="19E21BB2"/>
    <w:multiLevelType w:val="hybridMultilevel"/>
    <w:lvl w:ilvl="0">
      <w:lvlJc w:val="left"/>
      <w:lvlText w:val="•"/>
      <w:numFmt w:val="bullet"/>
      <w:start w:val="1"/>
    </w:lvl>
  </w:abstractNum>
  <w:abstractNum w:abstractNumId="70">
    <w:nsid w:val="75E0858A"/>
    <w:multiLevelType w:val="hybridMultilevel"/>
    <w:lvl w:ilvl="0">
      <w:lvlJc w:val="left"/>
      <w:lvlText w:val="•"/>
      <w:numFmt w:val="bullet"/>
      <w:start w:val="1"/>
    </w:lvl>
  </w:abstractNum>
  <w:abstractNum w:abstractNumId="71">
    <w:nsid w:val="57A61A29"/>
    <w:multiLevelType w:val="hybridMultilevel"/>
    <w:lvl w:ilvl="0">
      <w:lvlJc w:val="left"/>
      <w:lvlText w:val="•"/>
      <w:numFmt w:val="bullet"/>
      <w:start w:val="1"/>
    </w:lvl>
  </w:abstractNum>
  <w:abstractNum w:abstractNumId="72">
    <w:nsid w:val="5399C654"/>
    <w:multiLevelType w:val="hybridMultilevel"/>
    <w:lvl w:ilvl="0">
      <w:lvlJc w:val="left"/>
      <w:lvlText w:val="•"/>
      <w:numFmt w:val="bullet"/>
      <w:start w:val="1"/>
    </w:lvl>
  </w:abstractNum>
  <w:abstractNum w:abstractNumId="73">
    <w:nsid w:val="20EE1348"/>
    <w:multiLevelType w:val="hybridMultilevel"/>
    <w:lvl w:ilvl="0">
      <w:lvlJc w:val="left"/>
      <w:lvlText w:val="•"/>
      <w:numFmt w:val="bullet"/>
      <w:start w:val="1"/>
    </w:lvl>
  </w:abstractNum>
  <w:abstractNum w:abstractNumId="74">
    <w:nsid w:val="4427069A"/>
    <w:multiLevelType w:val="hybridMultilevel"/>
    <w:lvl w:ilvl="0">
      <w:lvlJc w:val="left"/>
      <w:lvlText w:val="(%1)"/>
      <w:numFmt w:val="lowerRoman"/>
      <w:start w:val="3"/>
    </w:lvl>
  </w:abstractNum>
  <w:abstractNum w:abstractNumId="75">
    <w:nsid w:val="B37E80A"/>
    <w:multiLevelType w:val="hybridMultilevel"/>
    <w:lvl w:ilvl="0">
      <w:lvlJc w:val="left"/>
      <w:lvlText w:val="(%1)"/>
      <w:numFmt w:val="lowerRoman"/>
      <w:start w:val="3"/>
    </w:lvl>
  </w:abstractNum>
  <w:abstractNum w:abstractNumId="76">
    <w:nsid w:val="2157F6BC"/>
    <w:multiLevelType w:val="hybridMultilevel"/>
    <w:lvl w:ilvl="0">
      <w:lvlJc w:val="left"/>
      <w:lvlText w:val="•"/>
      <w:numFmt w:val="bullet"/>
      <w:start w:val="1"/>
    </w:lvl>
  </w:abstractNum>
  <w:abstractNum w:abstractNumId="77">
    <w:nsid w:val="704E1DD5"/>
    <w:multiLevelType w:val="hybridMultilevel"/>
    <w:lvl w:ilvl="0">
      <w:lvlJc w:val="left"/>
      <w:lvlText w:val="•"/>
      <w:numFmt w:val="bullet"/>
      <w:start w:val="1"/>
    </w:lvl>
  </w:abstractNum>
  <w:abstractNum w:abstractNumId="78">
    <w:nsid w:val="57D2F10E"/>
    <w:multiLevelType w:val="hybridMultilevel"/>
    <w:lvl w:ilvl="0">
      <w:lvlJc w:val="left"/>
      <w:lvlText w:val="•"/>
      <w:numFmt w:val="bullet"/>
      <w:start w:val="1"/>
    </w:lvl>
  </w:abstractNum>
  <w:abstractNum w:abstractNumId="79">
    <w:nsid w:val="BFFAE18"/>
    <w:multiLevelType w:val="hybridMultilevel"/>
    <w:lvl w:ilvl="0">
      <w:lvlJc w:val="left"/>
      <w:lvlText w:val="(%1)"/>
      <w:numFmt w:val="upperLetter"/>
      <w:start w:val="2"/>
    </w:lvl>
  </w:abstractNum>
  <w:abstractNum w:abstractNumId="80">
    <w:nsid w:val="E3E47A8"/>
    <w:multiLevelType w:val="hybridMultilevel"/>
    <w:lvl w:ilvl="0">
      <w:lvlJc w:val="left"/>
      <w:lvlText w:val="\emdash "/>
      <w:numFmt w:val="bullet"/>
      <w:start w:val="1"/>
    </w:lvl>
  </w:abstractNum>
  <w:abstractNum w:abstractNumId="81">
    <w:nsid w:val="2E48F044"/>
    <w:multiLevelType w:val="hybridMultilevel"/>
    <w:lvl w:ilvl="0">
      <w:lvlJc w:val="left"/>
      <w:lvlText w:val="•"/>
      <w:numFmt w:val="bullet"/>
      <w:start w:val="1"/>
    </w:lvl>
  </w:abstractNum>
  <w:abstractNum w:abstractNumId="82">
    <w:nsid w:val="49D0FEAC"/>
    <w:multiLevelType w:val="hybridMultilevel"/>
    <w:lvl w:ilvl="0">
      <w:lvlJc w:val="left"/>
      <w:lvlText w:val="•"/>
      <w:numFmt w:val="bullet"/>
      <w:start w:val="1"/>
    </w:lvl>
  </w:abstractNum>
  <w:abstractNum w:abstractNumId="83">
    <w:nsid w:val="4BEE5A5B"/>
    <w:multiLevelType w:val="hybridMultilevel"/>
    <w:lvl w:ilvl="0">
      <w:lvlJc w:val="left"/>
      <w:lvlText w:val="•"/>
      <w:numFmt w:val="bullet"/>
      <w:start w:val="1"/>
    </w:lvl>
  </w:abstractNum>
  <w:abstractNum w:abstractNumId="84">
    <w:nsid w:val="5551B9F3"/>
    <w:multiLevelType w:val="hybridMultilevel"/>
    <w:lvl w:ilvl="0">
      <w:lvlJc w:val="left"/>
      <w:lvlText w:val="•"/>
      <w:numFmt w:val="bullet"/>
      <w:start w:val="1"/>
    </w:lvl>
  </w:abstractNum>
  <w:abstractNum w:abstractNumId="85">
    <w:nsid w:val="24F6AB8E"/>
    <w:multiLevelType w:val="hybridMultilevel"/>
    <w:lvl w:ilvl="0">
      <w:lvlJc w:val="left"/>
      <w:lvlText w:val="•"/>
      <w:numFmt w:val="bullet"/>
      <w:start w:val="1"/>
    </w:lvl>
  </w:abstractNum>
  <w:abstractNum w:abstractNumId="86">
    <w:nsid w:val="634C574C"/>
    <w:multiLevelType w:val="hybridMultilevel"/>
    <w:lvl w:ilvl="0">
      <w:lvlJc w:val="left"/>
      <w:lvlText w:val="•"/>
      <w:numFmt w:val="bullet"/>
      <w:start w:val="1"/>
    </w:lvl>
  </w:abstractNum>
  <w:abstractNum w:abstractNumId="87">
    <w:nsid w:val="24E99DD7"/>
    <w:multiLevelType w:val="hybridMultilevel"/>
    <w:lvl w:ilvl="0">
      <w:lvlJc w:val="left"/>
      <w:lvlText w:val="•"/>
      <w:numFmt w:val="bullet"/>
      <w:start w:val="1"/>
    </w:lvl>
  </w:abstractNum>
  <w:abstractNum w:abstractNumId="88">
    <w:nsid w:val="2A31B62D"/>
    <w:multiLevelType w:val="hybridMultilevel"/>
    <w:lvl w:ilvl="0">
      <w:lvlJc w:val="left"/>
      <w:lvlText w:val="*"/>
      <w:numFmt w:val="bullet"/>
      <w:start w:val="1"/>
    </w:lvl>
  </w:abstractNum>
  <w:abstractNum w:abstractNumId="89">
    <w:nsid w:val="1849C29B"/>
    <w:multiLevelType w:val="hybridMultilevel"/>
    <w:lvl w:ilvl="0">
      <w:lvlJc w:val="left"/>
      <w:lvlText w:val="(%1)"/>
      <w:numFmt w:val="decimal"/>
      <w:start w:val="1"/>
    </w:lvl>
  </w:abstractNum>
  <w:abstractNum w:abstractNumId="90">
    <w:nsid w:val="7DFF9D09"/>
    <w:multiLevelType w:val="hybridMultilevel"/>
    <w:lvl w:ilvl="0">
      <w:lvlJc w:val="left"/>
      <w:lvlText w:val="(%1)"/>
      <w:numFmt w:val="decimal"/>
      <w:start w:val="2"/>
    </w:lvl>
  </w:abstractNum>
  <w:abstractNum w:abstractNumId="91">
    <w:nsid w:val="754342"/>
    <w:multiLevelType w:val="hybridMultilevel"/>
    <w:lvl w:ilvl="0">
      <w:lvlJc w:val="left"/>
      <w:lvlText w:val="(%1)"/>
      <w:numFmt w:val="decimal"/>
      <w:start w:val="5"/>
    </w:lvl>
  </w:abstractNum>
  <w:abstractNum w:abstractNumId="92">
    <w:nsid w:val="69E7F3E5"/>
    <w:multiLevelType w:val="hybridMultilevel"/>
    <w:lvl w:ilvl="0">
      <w:lvlJc w:val="left"/>
      <w:lvlText w:val="(%1)"/>
      <w:numFmt w:val="lowerRoman"/>
      <w:start w:val="3"/>
    </w:lvl>
  </w:abstractNum>
  <w:abstractNum w:abstractNumId="93">
    <w:nsid w:val="2A6DE806"/>
    <w:multiLevelType w:val="hybridMultilevel"/>
    <w:lvl w:ilvl="0">
      <w:lvlJc w:val="left"/>
      <w:lvlText w:val="(%1)"/>
      <w:numFmt w:val="lowerRoman"/>
      <w:start w:val="4"/>
    </w:lvl>
  </w:abstractNum>
  <w:abstractNum w:abstractNumId="94">
    <w:nsid w:val="1816F8C4"/>
    <w:multiLevelType w:val="hybridMultilevel"/>
    <w:lvl w:ilvl="0">
      <w:lvlJc w:val="left"/>
      <w:lvlText w:val="•"/>
      <w:numFmt w:val="bullet"/>
      <w:start w:val="1"/>
    </w:lvl>
  </w:abstractNum>
  <w:abstractNum w:abstractNumId="95">
    <w:nsid w:val="37DF2233"/>
    <w:multiLevelType w:val="hybridMultilevel"/>
    <w:lvl w:ilvl="0">
      <w:lvlJc w:val="left"/>
      <w:lvlText w:val="•"/>
      <w:numFmt w:val="bullet"/>
      <w:start w:val="1"/>
    </w:lvl>
  </w:abstractNum>
  <w:abstractNum w:abstractNumId="96">
    <w:nsid w:val="7AB49DAF"/>
    <w:multiLevelType w:val="hybridMultilevel"/>
    <w:lvl w:ilvl="0">
      <w:lvlJc w:val="left"/>
      <w:lvlText w:val="(%1)"/>
      <w:numFmt w:val="lowerLetter"/>
      <w:start w:val="2"/>
    </w:lvl>
  </w:abstractNum>
  <w:abstractNum w:abstractNumId="97">
    <w:nsid w:val="759F82CD"/>
    <w:multiLevelType w:val="hybridMultilevel"/>
    <w:lvl w:ilvl="0">
      <w:lvlJc w:val="left"/>
      <w:lvlText w:val="(%1)"/>
      <w:numFmt w:val="lowerLetter"/>
      <w:start w:val="1"/>
    </w:lvl>
  </w:abstractNum>
  <w:abstractNum w:abstractNumId="98">
    <w:nsid w:val="61E74EA3"/>
    <w:multiLevelType w:val="hybridMultilevel"/>
    <w:lvl w:ilvl="0">
      <w:lvlJc w:val="left"/>
      <w:lvlText w:val="(%1)"/>
      <w:numFmt w:val="lowerLetter"/>
      <w:start w:val="2"/>
    </w:lvl>
  </w:abstractNum>
  <w:abstractNum w:abstractNumId="99">
    <w:nsid w:val="597B4D84"/>
    <w:multiLevelType w:val="hybridMultilevel"/>
    <w:lvl w:ilvl="0">
      <w:lvlJc w:val="left"/>
      <w:lvlText w:val="•"/>
      <w:numFmt w:val="bullet"/>
      <w:start w:val="1"/>
    </w:lvl>
  </w:abstractNum>
  <w:abstractNum w:abstractNumId="100">
    <w:nsid w:val="F819E7F"/>
    <w:multiLevelType w:val="hybridMultilevel"/>
    <w:lvl w:ilvl="0">
      <w:lvlJc w:val="left"/>
      <w:lvlText w:val="•"/>
      <w:numFmt w:val="bullet"/>
      <w:start w:val="1"/>
    </w:lvl>
  </w:abstractNum>
  <w:abstractNum w:abstractNumId="101">
    <w:nsid w:val="57C7D42D"/>
    <w:multiLevelType w:val="hybridMultilevel"/>
    <w:lvl w:ilvl="0">
      <w:lvlJc w:val="left"/>
      <w:lvlText w:val="(%1)"/>
      <w:numFmt w:val="lowerRoman"/>
      <w:start w:val="2"/>
    </w:lvl>
  </w:abstractNum>
  <w:abstractNum w:abstractNumId="102">
    <w:nsid w:val="312167AD"/>
    <w:multiLevelType w:val="hybridMultilevel"/>
    <w:lvl w:ilvl="0">
      <w:lvlJc w:val="left"/>
      <w:lvlText w:val="•"/>
      <w:numFmt w:val="bullet"/>
      <w:start w:val="1"/>
    </w:lvl>
  </w:abstractNum>
  <w:abstractNum w:abstractNumId="103">
    <w:nsid w:val="631B64D4"/>
    <w:multiLevelType w:val="hybridMultilevel"/>
    <w:lvl w:ilvl="0">
      <w:lvlJc w:val="left"/>
      <w:lvlText w:val="•"/>
      <w:numFmt w:val="bullet"/>
      <w:start w:val="1"/>
    </w:lvl>
  </w:abstractNum>
  <w:abstractNum w:abstractNumId="104">
    <w:nsid w:val="78B5E776"/>
    <w:multiLevelType w:val="hybridMultilevel"/>
    <w:lvl w:ilvl="0">
      <w:lvlJc w:val="left"/>
      <w:lvlText w:val="•"/>
      <w:numFmt w:val="bullet"/>
      <w:start w:val="1"/>
    </w:lvl>
  </w:abstractNum>
  <w:abstractNum w:abstractNumId="105">
    <w:nsid w:val="75486E47"/>
    <w:multiLevelType w:val="hybridMultilevel"/>
    <w:lvl w:ilvl="0">
      <w:lvlJc w:val="left"/>
      <w:lvlText w:val="(%1)"/>
      <w:numFmt w:val="lowerLetter"/>
      <w:start w:val="1"/>
    </w:lvl>
  </w:abstractNum>
  <w:abstractNum w:abstractNumId="106">
    <w:nsid w:val="6E534CDE"/>
    <w:multiLevelType w:val="hybridMultilevel"/>
    <w:lvl w:ilvl="0">
      <w:lvlJc w:val="left"/>
      <w:lvlText w:val="•"/>
      <w:numFmt w:val="bullet"/>
      <w:start w:val="1"/>
    </w:lvl>
  </w:abstractNum>
  <w:abstractNum w:abstractNumId="107">
    <w:nsid w:val="1A0DDE32"/>
    <w:multiLevelType w:val="hybridMultilevel"/>
    <w:lvl w:ilvl="0">
      <w:lvlJc w:val="left"/>
      <w:lvlText w:val="•"/>
      <w:numFmt w:val="bullet"/>
      <w:start w:val="1"/>
    </w:lvl>
  </w:abstractNum>
  <w:abstractNum w:abstractNumId="108">
    <w:nsid w:val="65968C1C"/>
    <w:multiLevelType w:val="hybridMultilevel"/>
    <w:lvl w:ilvl="0">
      <w:lvlJc w:val="left"/>
      <w:lvlText w:val="(%1)"/>
      <w:numFmt w:val="lowerLetter"/>
      <w:start w:val="25"/>
    </w:lvl>
  </w:abstractNum>
  <w:abstractNum w:abstractNumId="109">
    <w:nsid w:val="46263DEC"/>
    <w:multiLevelType w:val="hybridMultilevel"/>
    <w:lvl w:ilvl="0">
      <w:lvlJc w:val="left"/>
      <w:lvlText w:val="(%1)"/>
      <w:numFmt w:val="lowerRoman"/>
      <w:start w:val="2"/>
    </w:lvl>
  </w:abstractNum>
  <w:abstractNum w:abstractNumId="110">
    <w:nsid w:val="260D8C4A"/>
    <w:multiLevelType w:val="hybridMultilevel"/>
    <w:lvl w:ilvl="0">
      <w:lvlJc w:val="left"/>
      <w:lvlText w:val="•"/>
      <w:numFmt w:val="bullet"/>
      <w:start w:val="1"/>
    </w:lvl>
  </w:abstractNum>
  <w:abstractNum w:abstractNumId="111">
    <w:nsid w:val="73D4D3C4"/>
    <w:multiLevelType w:val="hybridMultilevel"/>
    <w:lvl w:ilvl="0">
      <w:lvlJc w:val="left"/>
      <w:lvlText w:val="•"/>
      <w:numFmt w:val="bullet"/>
      <w:start w:val="1"/>
    </w:lvl>
  </w:abstractNum>
  <w:abstractNum w:abstractNumId="112">
    <w:nsid w:val="746F2E30"/>
    <w:multiLevelType w:val="hybridMultilevel"/>
    <w:lvl w:ilvl="0">
      <w:lvlJc w:val="left"/>
      <w:lvlText w:val="(%1)"/>
      <w:numFmt w:val="decimal"/>
      <w:start w:val="1"/>
    </w:lvl>
  </w:abstractNum>
  <w:abstractNum w:abstractNumId="113">
    <w:nsid w:val="6FDE8AF6"/>
    <w:multiLevelType w:val="hybridMultilevel"/>
    <w:lvl w:ilvl="0">
      <w:lvlJc w:val="left"/>
      <w:lvlText w:val="%1."/>
      <w:numFmt w:val="decimal"/>
      <w:start w:val="1"/>
    </w:lvl>
  </w:abstractNum>
  <w:abstractNum w:abstractNumId="114">
    <w:nsid w:val="3FC32E20"/>
    <w:multiLevelType w:val="hybridMultilevel"/>
    <w:lvl w:ilvl="0">
      <w:lvlJc w:val="left"/>
      <w:lvlText w:val="%1."/>
      <w:numFmt w:val="decimal"/>
      <w:start w:val="2"/>
    </w:lvl>
  </w:abstractNum>
  <w:abstractNum w:abstractNumId="115">
    <w:nsid w:val="49C0E823"/>
    <w:multiLevelType w:val="hybridMultilevel"/>
    <w:lvl w:ilvl="0">
      <w:lvlJc w:val="left"/>
      <w:lvlText w:val="•"/>
      <w:numFmt w:val="bullet"/>
      <w:start w:val="1"/>
    </w:lvl>
  </w:abstractNum>
  <w:abstractNum w:abstractNumId="116">
    <w:nsid w:val="14D53685"/>
    <w:multiLevelType w:val="hybridMultilevel"/>
    <w:lvl w:ilvl="0">
      <w:lvlJc w:val="left"/>
      <w:lvlText w:val="•"/>
      <w:numFmt w:val="bullet"/>
      <w:start w:val="1"/>
    </w:lvl>
  </w:abstractNum>
  <w:abstractNum w:abstractNumId="117">
    <w:nsid w:val="230F856C"/>
    <w:multiLevelType w:val="hybridMultilevel"/>
    <w:lvl w:ilvl="0">
      <w:lvlJc w:val="left"/>
      <w:lvlText w:val="•"/>
      <w:numFmt w:val="bullet"/>
      <w:start w:val="1"/>
    </w:lvl>
  </w:abstractNum>
  <w:abstractNum w:abstractNumId="118">
    <w:nsid w:val="6EAA85FB"/>
    <w:multiLevelType w:val="hybridMultilevel"/>
    <w:lvl w:ilvl="0">
      <w:lvlJc w:val="left"/>
      <w:lvlText w:val="•"/>
      <w:numFmt w:val="bullet"/>
      <w:start w:val="1"/>
    </w:lvl>
  </w:abstractNum>
  <w:abstractNum w:abstractNumId="119">
    <w:nsid w:val="3F06ECB2"/>
    <w:multiLevelType w:val="hybridMultilevel"/>
    <w:lvl w:ilvl="0">
      <w:lvlJc w:val="left"/>
      <w:lvlText w:val="•"/>
      <w:numFmt w:val="bullet"/>
      <w:start w:val="1"/>
    </w:lvl>
  </w:abstractNum>
  <w:abstractNum w:abstractNumId="120">
    <w:nsid w:val="3B594807"/>
    <w:multiLevelType w:val="hybridMultilevel"/>
    <w:lvl w:ilvl="0">
      <w:lvlJc w:val="left"/>
      <w:lvlText w:val="•"/>
      <w:numFmt w:val="bullet"/>
      <w:start w:val="1"/>
    </w:lvl>
  </w:abstractNum>
  <w:abstractNum w:abstractNumId="121">
    <w:nsid w:val="6CAA2304"/>
    <w:multiLevelType w:val="hybridMultilevel"/>
    <w:lvl w:ilvl="0">
      <w:lvlJc w:val="left"/>
      <w:lvlText w:val="•"/>
      <w:numFmt w:val="bullet"/>
      <w:start w:val="1"/>
    </w:lvl>
  </w:abstractNum>
  <w:abstractNum w:abstractNumId="122">
    <w:nsid w:val="3F7C2FF4"/>
    <w:multiLevelType w:val="hybridMultilevel"/>
    <w:lvl w:ilvl="0">
      <w:lvlJc w:val="left"/>
      <w:lvlText w:val="(%1)"/>
      <w:numFmt w:val="decimal"/>
      <w:start w:val="1"/>
    </w:lvl>
  </w:abstractNum>
  <w:abstractNum w:abstractNumId="123">
    <w:nsid w:val="25413BEC"/>
    <w:multiLevelType w:val="hybridMultilevel"/>
    <w:lvl w:ilvl="0">
      <w:lvlJc w:val="left"/>
      <w:lvlText w:val="•"/>
      <w:numFmt w:val="bullet"/>
      <w:start w:val="1"/>
    </w:lvl>
  </w:abstractNum>
  <w:abstractNum w:abstractNumId="124">
    <w:nsid w:val="17180B0B"/>
    <w:multiLevelType w:val="hybridMultilevel"/>
    <w:lvl w:ilvl="0">
      <w:lvlJc w:val="left"/>
      <w:lvlText w:val="•"/>
      <w:numFmt w:val="bullet"/>
      <w:start w:val="1"/>
    </w:lvl>
  </w:abstractNum>
  <w:abstractNum w:abstractNumId="125">
    <w:nsid w:val="579328B9"/>
    <w:multiLevelType w:val="hybridMultilevel"/>
    <w:lvl w:ilvl="0">
      <w:lvlJc w:val="left"/>
      <w:lvlText w:val="(%1)"/>
      <w:numFmt w:val="lowerLetter"/>
      <w:start w:val="1"/>
    </w:lvl>
  </w:abstractNum>
  <w:abstractNum w:abstractNumId="126">
    <w:nsid w:val="5D205E20"/>
    <w:multiLevelType w:val="hybridMultilevel"/>
    <w:lvl w:ilvl="0">
      <w:lvlJc w:val="left"/>
      <w:lvlText w:val="•"/>
      <w:numFmt w:val="bullet"/>
      <w:start w:val="1"/>
    </w:lvl>
  </w:abstractNum>
  <w:abstractNum w:abstractNumId="127">
    <w:nsid w:val="11CCA8BA"/>
    <w:multiLevelType w:val="hybridMultilevel"/>
    <w:lvl w:ilvl="0">
      <w:lvlJc w:val="left"/>
      <w:lvlText w:val="•"/>
      <w:numFmt w:val="bullet"/>
      <w:start w:val="1"/>
    </w:lvl>
  </w:abstractNum>
  <w:abstractNum w:abstractNumId="128">
    <w:nsid w:val="4D32AB86"/>
    <w:multiLevelType w:val="hybridMultilevel"/>
    <w:lvl w:ilvl="0">
      <w:lvlJc w:val="left"/>
      <w:lvlText w:val="•"/>
      <w:numFmt w:val="bullet"/>
      <w:start w:val="1"/>
    </w:lvl>
    <w:lvl w:ilvl="1">
      <w:lvlJc w:val="left"/>
      <w:lvlText w:val="(%2)"/>
      <w:numFmt w:val="lowerRoman"/>
      <w:start w:val="1"/>
    </w:lvl>
  </w:abstractNum>
  <w:abstractNum w:abstractNumId="129">
    <w:nsid w:val="3F07ACC3"/>
    <w:multiLevelType w:val="hybridMultilevel"/>
    <w:lvl w:ilvl="0">
      <w:lvlJc w:val="left"/>
      <w:lvlText w:val="(%1)"/>
      <w:numFmt w:val="decimal"/>
      <w:start w:val="1"/>
    </w:lvl>
  </w:abstractNum>
  <w:abstractNum w:abstractNumId="130">
    <w:nsid w:val="6B47F63E"/>
    <w:multiLevelType w:val="hybridMultilevel"/>
    <w:lvl w:ilvl="0">
      <w:lvlJc w:val="left"/>
      <w:lvlText w:val="(%1)"/>
      <w:numFmt w:val="decimal"/>
      <w:start w:val="1"/>
    </w:lvl>
  </w:abstractNum>
  <w:abstractNum w:abstractNumId="131">
    <w:nsid w:val="5CB44A05"/>
    <w:multiLevelType w:val="hybridMultilevel"/>
    <w:lvl w:ilvl="0">
      <w:lvlJc w:val="left"/>
      <w:lvlText w:val="(%1)"/>
      <w:numFmt w:val="decimal"/>
      <w:start w:val="1"/>
    </w:lvl>
  </w:abstractNum>
  <w:abstractNum w:abstractNumId="132">
    <w:nsid w:val="16CF80F1"/>
    <w:multiLevelType w:val="hybridMultilevel"/>
    <w:lvl w:ilvl="0">
      <w:lvlJc w:val="left"/>
      <w:lvlText w:val="%1."/>
      <w:numFmt w:val="decimal"/>
      <w:start w:val="1"/>
    </w:lvl>
  </w:abstractNum>
  <w:abstractNum w:abstractNumId="133">
    <w:nsid w:val="1C695DEC"/>
    <w:multiLevelType w:val="hybridMultilevel"/>
    <w:lvl w:ilvl="0">
      <w:lvlJc w:val="left"/>
      <w:lvlText w:val="(%1)"/>
      <w:numFmt w:val="decimal"/>
      <w:start w:val="1"/>
    </w:lvl>
  </w:abstractNum>
  <w:abstractNum w:abstractNumId="134">
    <w:nsid w:val="3FCFAED9"/>
    <w:multiLevelType w:val="hybridMultilevel"/>
    <w:lvl w:ilvl="0">
      <w:lvlJc w:val="left"/>
      <w:lvlText w:val="%1."/>
      <w:numFmt w:val="decimal"/>
      <w:start w:val="2"/>
    </w:lvl>
  </w:abstractNum>
  <w:abstractNum w:abstractNumId="135">
    <w:nsid w:val="F856867"/>
    <w:multiLevelType w:val="hybridMultilevel"/>
    <w:lvl w:ilvl="0">
      <w:lvlJc w:val="left"/>
      <w:lvlText w:val="%1."/>
      <w:numFmt w:val="decimal"/>
      <w:start w:val="4"/>
    </w:lvl>
  </w:abstractNum>
  <w:abstractNum w:abstractNumId="136">
    <w:nsid w:val="11B1CC33"/>
    <w:multiLevelType w:val="hybridMultilevel"/>
    <w:lvl w:ilvl="0">
      <w:lvlJc w:val="left"/>
      <w:lvlText w:val="%1."/>
      <w:numFmt w:val="decimal"/>
      <w:start w:val="5"/>
    </w:lvl>
  </w:abstractNum>
  <w:abstractNum w:abstractNumId="137">
    <w:nsid w:val="2E22FBB7"/>
    <w:multiLevelType w:val="hybridMultilevel"/>
    <w:lvl w:ilvl="0">
      <w:lvlJc w:val="left"/>
      <w:lvlText w:val="(%1)"/>
      <w:numFmt w:val="decimal"/>
      <w:start w:val="1"/>
    </w:lvl>
  </w:abstractNum>
  <w:abstractNum w:abstractNumId="138">
    <w:nsid w:val="29934699"/>
    <w:multiLevelType w:val="hybridMultilevel"/>
    <w:lvl w:ilvl="0">
      <w:lvlJc w:val="left"/>
      <w:lvlText w:val="(%1)"/>
      <w:numFmt w:val="lowerLetter"/>
      <w:start w:val="1"/>
    </w:lvl>
  </w:abstractNum>
  <w:abstractNum w:abstractNumId="139">
    <w:nsid w:val="77485850"/>
    <w:multiLevelType w:val="hybridMultilevel"/>
    <w:lvl w:ilvl="0">
      <w:lvlJc w:val="left"/>
      <w:lvlText w:val="(%1)"/>
      <w:numFmt w:val="lowerLetter"/>
      <w:start w:val="1"/>
    </w:lvl>
  </w:abstractNum>
  <w:abstractNum w:abstractNumId="140">
    <w:nsid w:val="744939A3"/>
    <w:multiLevelType w:val="hybridMultilevel"/>
    <w:lvl w:ilvl="0">
      <w:lvlJc w:val="left"/>
      <w:lvlText w:val="(%1)"/>
      <w:numFmt w:val="decimal"/>
      <w:start w:val="1"/>
    </w:lvl>
  </w:abstractNum>
  <w:abstractNum w:abstractNumId="141">
    <w:nsid w:val="4FA0D2E3"/>
    <w:multiLevelType w:val="hybridMultilevel"/>
    <w:lvl w:ilvl="0">
      <w:lvlJc w:val="left"/>
      <w:lvlText w:val="(%1)"/>
      <w:numFmt w:val="decimal"/>
      <w:start w:val="3"/>
    </w:lvl>
  </w:abstractNum>
  <w:abstractNum w:abstractNumId="142">
    <w:nsid w:val="6B1D2C14"/>
    <w:multiLevelType w:val="hybridMultilevel"/>
    <w:lvl w:ilvl="0">
      <w:lvlJc w:val="left"/>
      <w:lvlText w:val="(%1)"/>
      <w:numFmt w:val="lowerRoman"/>
      <w:start w:val="1"/>
    </w:lvl>
  </w:abstractNum>
  <w:abstractNum w:abstractNumId="143">
    <w:nsid w:val="68B867D3"/>
    <w:multiLevelType w:val="hybridMultilevel"/>
    <w:lvl w:ilvl="0">
      <w:lvlJc w:val="left"/>
      <w:lvlText w:val="(%1)"/>
      <w:numFmt w:val="decimal"/>
      <w:start w:val="1"/>
    </w:lvl>
  </w:abstractNum>
  <w:abstractNum w:abstractNumId="144">
    <w:nsid w:val="3F7F5DD9"/>
    <w:multiLevelType w:val="hybridMultilevel"/>
    <w:lvl w:ilvl="0">
      <w:lvlJc w:val="left"/>
      <w:lvlText w:val="(%1)"/>
      <w:numFmt w:val="lowerRoman"/>
      <w:start w:val="2"/>
    </w:lvl>
  </w:abstractNum>
  <w:abstractNum w:abstractNumId="145">
    <w:nsid w:val="2AE05A34"/>
    <w:multiLevelType w:val="hybridMultilevel"/>
    <w:lvl w:ilvl="0">
      <w:lvlJc w:val="left"/>
      <w:lvlText w:val="(%1)"/>
      <w:numFmt w:val="lowerLetter"/>
      <w:start w:val="1"/>
    </w:lvl>
  </w:abstractNum>
  <w:abstractNum w:abstractNumId="146">
    <w:nsid w:val="32794FF7"/>
    <w:multiLevelType w:val="hybridMultilevel"/>
    <w:lvl w:ilvl="0">
      <w:lvlJc w:val="left"/>
      <w:lvlText w:val="(%1)"/>
      <w:numFmt w:val="lowerLetter"/>
      <w:start w:val="2"/>
    </w:lvl>
  </w:abstractNum>
  <w:abstractNum w:abstractNumId="147">
    <w:nsid w:val="5454945E"/>
    <w:multiLevelType w:val="hybridMultilevel"/>
    <w:lvl w:ilvl="0">
      <w:lvlJc w:val="left"/>
      <w:lvlText w:val="(%1)"/>
      <w:numFmt w:val="lowerRoman"/>
      <w:start w:val="2"/>
    </w:lvl>
  </w:abstractNum>
  <w:abstractNum w:abstractNumId="148">
    <w:nsid w:val="4DEFDFA0"/>
    <w:multiLevelType w:val="hybridMultilevel"/>
    <w:lvl w:ilvl="0">
      <w:lvlJc w:val="left"/>
      <w:lvlText w:val="(%1)"/>
      <w:numFmt w:val="lowerRoman"/>
      <w:start w:val="2"/>
    </w:lvl>
  </w:abstractNum>
  <w:abstractNum w:abstractNumId="149">
    <w:nsid w:val="2123D5F2"/>
    <w:multiLevelType w:val="hybridMultilevel"/>
    <w:lvl w:ilvl="0">
      <w:lvlJc w:val="left"/>
      <w:lvlText w:val="(%1)"/>
      <w:numFmt w:val="lowerLetter"/>
      <w:start w:val="1"/>
    </w:lvl>
  </w:abstractNum>
  <w:abstractNum w:abstractNumId="150">
    <w:nsid w:val="135B8110"/>
    <w:multiLevelType w:val="hybridMultilevel"/>
    <w:lvl w:ilvl="0">
      <w:lvlJc w:val="left"/>
      <w:lvlText w:val="(%1)"/>
      <w:numFmt w:val="decimal"/>
      <w:start w:val="1"/>
    </w:lvl>
  </w:abstractNum>
  <w:abstractNum w:abstractNumId="151">
    <w:nsid w:val="94927A8"/>
    <w:multiLevelType w:val="hybridMultilevel"/>
    <w:lvl w:ilvl="0">
      <w:lvlJc w:val="left"/>
      <w:lvlText w:val="(%1)"/>
      <w:numFmt w:val="lowerLetter"/>
      <w:start w:val="1"/>
    </w:lvl>
  </w:abstractNum>
  <w:abstractNum w:abstractNumId="152">
    <w:nsid w:val="DCDF8F6"/>
    <w:multiLevelType w:val="hybridMultilevel"/>
    <w:lvl w:ilvl="0">
      <w:lvlJc w:val="left"/>
      <w:lvlText w:val="%1"/>
      <w:numFmt w:val="lowerLetter"/>
      <w:start w:val="1"/>
    </w:lvl>
    <w:lvl w:ilvl="1">
      <w:lvlJc w:val="left"/>
      <w:lvlText w:val="(%2)"/>
      <w:numFmt w:val="lowerLetter"/>
      <w:start w:val="6"/>
    </w:lvl>
  </w:abstractNum>
  <w:abstractNum w:abstractNumId="153">
    <w:nsid w:val="52D7B105"/>
    <w:multiLevelType w:val="hybridMultilevel"/>
    <w:lvl w:ilvl="0">
      <w:lvlJc w:val="left"/>
      <w:lvlText w:val="(%1)"/>
      <w:numFmt w:val="lowerLetter"/>
      <w:start w:val="9"/>
    </w:lvl>
    <w:lvl w:ilvl="1">
      <w:lvlJc w:val="left"/>
      <w:lvlText w:val="%2"/>
      <w:numFmt w:val="lowerLetter"/>
      <w:start w:val="1"/>
    </w:lvl>
  </w:abstractNum>
  <w:abstractNum w:abstractNumId="154">
    <w:nsid w:val="2E8A6394"/>
    <w:multiLevelType w:val="hybridMultilevel"/>
    <w:lvl w:ilvl="0">
      <w:lvlJc w:val="left"/>
      <w:lvlText w:val="(%1)"/>
      <w:numFmt w:val="lowerLetter"/>
      <w:start w:val="1"/>
    </w:lvl>
  </w:abstractNum>
  <w:abstractNum w:abstractNumId="155">
    <w:nsid w:val="24E60401"/>
    <w:multiLevelType w:val="hybridMultilevel"/>
    <w:lvl w:ilvl="0">
      <w:lvlJc w:val="left"/>
      <w:lvlText w:val="%1."/>
      <w:numFmt w:val="upperLetter"/>
      <w:start w:val="1"/>
    </w:lvl>
    <w:lvl w:ilvl="1">
      <w:lvlJc w:val="left"/>
      <w:lvlText w:val="%2."/>
      <w:numFmt w:val="lowerLetter"/>
      <w:start w:val="1"/>
    </w:lvl>
  </w:abstractNum>
  <w:abstractNum w:abstractNumId="156">
    <w:nsid w:val="2A6AD9BE"/>
    <w:multiLevelType w:val="hybridMultilevel"/>
    <w:lvl w:ilvl="0">
      <w:lvlJc w:val="left"/>
      <w:lvlText w:val="1"/>
      <w:numFmt w:val="bullet"/>
      <w:start w:val="1"/>
    </w:lvl>
  </w:abstractNum>
  <w:abstractNum w:abstractNumId="157">
    <w:nsid w:val="BAAC1B4"/>
    <w:multiLevelType w:val="hybridMultilevel"/>
    <w:lvl w:ilvl="0">
      <w:lvlJc w:val="left"/>
      <w:lvlText w:val="2"/>
      <w:numFmt w:val="bullet"/>
      <w:start w:val="1"/>
    </w:lvl>
  </w:abstractNum>
  <w:abstractNum w:abstractNumId="158">
    <w:nsid w:val="36B2ACBC"/>
    <w:multiLevelType w:val="hybridMultilevel"/>
    <w:lvl w:ilvl="0">
      <w:lvlJc w:val="left"/>
      <w:lvlText w:val="3"/>
      <w:numFmt w:val="bullet"/>
      <w:start w:val="1"/>
    </w:lvl>
    <w:lvl w:ilvl="1">
      <w:lvlJc w:val="left"/>
      <w:lvlText w:val="(%2)"/>
      <w:numFmt w:val="lowerLetter"/>
      <w:start w:val="1"/>
    </w:lvl>
  </w:abstractNum>
  <w:abstractNum w:abstractNumId="159">
    <w:nsid w:val="779D8544"/>
    <w:multiLevelType w:val="hybridMultilevel"/>
    <w:lvl w:ilvl="0">
      <w:lvlJc w:val="left"/>
      <w:lvlText w:val="4"/>
      <w:numFmt w:val="bullet"/>
      <w:start w:val="1"/>
    </w:lvl>
    <w:lvl w:ilvl="1">
      <w:lvlJc w:val="left"/>
      <w:lvlText w:val="(%2)"/>
      <w:numFmt w:val="lowerLetter"/>
      <w:start w:val="1"/>
    </w:lvl>
  </w:abstractNum>
  <w:abstractNum w:abstractNumId="160">
    <w:nsid w:val="4AB26E78"/>
    <w:multiLevelType w:val="hybridMultilevel"/>
    <w:lvl w:ilvl="0">
      <w:lvlJc w:val="left"/>
      <w:lvlText w:val="5"/>
      <w:numFmt w:val="bullet"/>
      <w:start w:val="1"/>
    </w:lvl>
  </w:abstractNum>
  <w:abstractNum w:abstractNumId="161">
    <w:nsid w:val="21FAA2FA"/>
    <w:multiLevelType w:val="hybridMultilevel"/>
    <w:lvl w:ilvl="0">
      <w:lvlJc w:val="left"/>
      <w:lvlText w:val="6"/>
      <w:numFmt w:val="bullet"/>
      <w:start w:val="1"/>
    </w:lvl>
  </w:abstractNum>
  <w:abstractNum w:abstractNumId="162">
    <w:nsid w:val="5451CF49"/>
    <w:multiLevelType w:val="hybridMultilevel"/>
    <w:lvl w:ilvl="0">
      <w:lvlJc w:val="left"/>
      <w:lvlText w:val="7"/>
      <w:numFmt w:val="bullet"/>
      <w:start w:val="1"/>
    </w:lvl>
  </w:abstractNum>
  <w:abstractNum w:abstractNumId="163">
    <w:nsid w:val="6181EF69"/>
    <w:multiLevelType w:val="hybridMultilevel"/>
    <w:lvl w:ilvl="0">
      <w:lvlJc w:val="left"/>
      <w:lvlText w:val="1"/>
      <w:numFmt w:val="bullet"/>
      <w:start w:val="1"/>
    </w:lvl>
  </w:abstractNum>
  <w:abstractNum w:abstractNumId="164">
    <w:nsid w:val="3E6400E6"/>
    <w:multiLevelType w:val="hybridMultilevel"/>
    <w:lvl w:ilvl="0">
      <w:lvlJc w:val="left"/>
      <w:lvlText w:val="2"/>
      <w:numFmt w:val="bullet"/>
      <w:start w:val="1"/>
    </w:lvl>
  </w:abstractNum>
  <w:abstractNum w:abstractNumId="165">
    <w:nsid w:val="14217E23"/>
    <w:multiLevelType w:val="hybridMultilevel"/>
    <w:lvl w:ilvl="0">
      <w:lvlJc w:val="left"/>
      <w:lvlText w:val="3"/>
      <w:numFmt w:val="bullet"/>
      <w:start w:val="1"/>
    </w:lvl>
  </w:abstractNum>
  <w:abstractNum w:abstractNumId="166">
    <w:nsid w:val="710757D0"/>
    <w:multiLevelType w:val="hybridMultilevel"/>
    <w:lvl w:ilvl="0">
      <w:lvlJc w:val="left"/>
      <w:lvlText w:val="4"/>
      <w:numFmt w:val="bullet"/>
      <w:start w:val="1"/>
    </w:lvl>
  </w:abstractNum>
  <w:abstractNum w:abstractNumId="167">
    <w:nsid w:val="5015CD1A"/>
    <w:multiLevelType w:val="hybridMultilevel"/>
    <w:lvl w:ilvl="0">
      <w:lvlJc w:val="left"/>
      <w:lvlText w:val="5"/>
      <w:numFmt w:val="bullet"/>
      <w:start w:val="1"/>
    </w:lvl>
  </w:abstractNum>
  <w:abstractNum w:abstractNumId="168">
    <w:nsid w:val="424479DA"/>
    <w:multiLevelType w:val="hybridMultilevel"/>
    <w:lvl w:ilvl="0">
      <w:lvlJc w:val="left"/>
      <w:lvlText w:val="6"/>
      <w:numFmt w:val="bullet"/>
      <w:start w:val="1"/>
    </w:lvl>
  </w:abstractNum>
  <w:abstractNum w:abstractNumId="169">
    <w:nsid w:val="1A9A9E69"/>
    <w:multiLevelType w:val="hybridMultilevel"/>
    <w:lvl w:ilvl="0">
      <w:lvlJc w:val="left"/>
      <w:lvlText w:val="7"/>
      <w:numFmt w:val="bullet"/>
      <w:start w:val="1"/>
    </w:lvl>
  </w:abstractNum>
  <w:abstractNum w:abstractNumId="170">
    <w:nsid w:val="475E256A"/>
    <w:multiLevelType w:val="hybridMultilevel"/>
    <w:lvl w:ilvl="0">
      <w:lvlJc w:val="left"/>
      <w:lvlText w:val="8"/>
      <w:numFmt w:val="bullet"/>
      <w:start w:val="1"/>
    </w:lvl>
  </w:abstractNum>
  <w:abstractNum w:abstractNumId="171">
    <w:nsid w:val="368DB37E"/>
    <w:multiLevelType w:val="hybridMultilevel"/>
    <w:lvl w:ilvl="0">
      <w:lvlJc w:val="left"/>
      <w:lvlText w:val="1"/>
      <w:numFmt w:val="bullet"/>
      <w:start w:val="1"/>
    </w:lvl>
    <w:lvl w:ilvl="1">
      <w:lvlJc w:val="left"/>
      <w:lvlText w:val="(%2)"/>
      <w:numFmt w:val="lowerLetter"/>
      <w:start w:val="1"/>
    </w:lvl>
  </w:abstractNum>
  <w:abstractNum w:abstractNumId="172">
    <w:nsid w:val="6A3B714C"/>
    <w:multiLevelType w:val="hybridMultilevel"/>
    <w:lvl w:ilvl="0">
      <w:lvlJc w:val="left"/>
      <w:lvlText w:val="2"/>
      <w:numFmt w:val="bullet"/>
      <w:start w:val="1"/>
    </w:lvl>
  </w:abstractNum>
  <w:abstractNum w:abstractNumId="173">
    <w:nsid w:val="327B517E"/>
    <w:multiLevelType w:val="hybridMultilevel"/>
    <w:lvl w:ilvl="0">
      <w:lvlJc w:val="left"/>
      <w:lvlText w:val="3"/>
      <w:numFmt w:val="bullet"/>
      <w:start w:val="1"/>
    </w:lvl>
  </w:abstractNum>
  <w:abstractNum w:abstractNumId="174">
    <w:nsid w:val="1F461B51"/>
    <w:multiLevelType w:val="hybridMultilevel"/>
    <w:lvl w:ilvl="0">
      <w:lvlJc w:val="left"/>
      <w:lvlText w:val="4"/>
      <w:numFmt w:val="bullet"/>
      <w:start w:val="1"/>
    </w:lvl>
  </w:abstractNum>
  <w:abstractNum w:abstractNumId="175">
    <w:nsid w:val="29BACF25"/>
    <w:multiLevelType w:val="hybridMultilevel"/>
    <w:lvl w:ilvl="0">
      <w:lvlJc w:val="left"/>
      <w:lvlText w:val="1"/>
      <w:numFmt w:val="bullet"/>
      <w:start w:val="1"/>
    </w:lvl>
  </w:abstractNum>
  <w:abstractNum w:abstractNumId="176">
    <w:nsid w:val="5D5BABB3"/>
    <w:multiLevelType w:val="hybridMultilevel"/>
    <w:lvl w:ilvl="0">
      <w:lvlJc w:val="left"/>
      <w:lvlText w:val="2"/>
      <w:numFmt w:val="bullet"/>
      <w:start w:val="1"/>
    </w:lvl>
  </w:abstractNum>
  <w:abstractNum w:abstractNumId="177">
    <w:nsid w:val="51BF6B48"/>
    <w:multiLevelType w:val="hybridMultilevel"/>
    <w:lvl w:ilvl="0">
      <w:lvlJc w:val="left"/>
      <w:lvlText w:val="3"/>
      <w:numFmt w:val="bullet"/>
      <w:start w:val="1"/>
    </w:lvl>
  </w:abstractNum>
  <w:abstractNum w:abstractNumId="178">
    <w:nsid w:val="7E0F6384"/>
    <w:multiLevelType w:val="hybridMultilevel"/>
    <w:lvl w:ilvl="0">
      <w:lvlJc w:val="left"/>
      <w:lvlText w:val="%1."/>
      <w:numFmt w:val="decimal"/>
      <w:start w:val="1"/>
    </w:lvl>
    <w:lvl w:ilvl="1">
      <w:lvlJc w:val="left"/>
      <w:lvlText w:val="%2."/>
      <w:numFmt w:val="lowerLetter"/>
      <w:start w:val="1"/>
    </w:lvl>
  </w:abstractNum>
  <w:abstractNum w:abstractNumId="179">
    <w:nsid w:val="2B4B8B53"/>
    <w:multiLevelType w:val="hybridMultilevel"/>
    <w:lvl w:ilvl="0">
      <w:lvlJc w:val="left"/>
      <w:lvlText w:val="%1."/>
      <w:numFmt w:val="decimal"/>
      <w:start w:val="1"/>
    </w:lvl>
    <w:lvl w:ilvl="1">
      <w:lvlJc w:val="left"/>
      <w:lvlText w:val="(%2)"/>
      <w:numFmt w:val="lowerLetter"/>
      <w:start w:val="1"/>
    </w:lvl>
  </w:abstractNum>
  <w:abstractNum w:abstractNumId="180">
    <w:nsid w:val="72E341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81">
    <w:nsid w:val="116AE49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82">
    <w:nsid w:val="3494B2FB"/>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183">
    <w:nsid w:val="B13A31"/>
    <w:multiLevelType w:val="hybridMultilevel"/>
    <w:lvl w:ilvl="0">
      <w:lvlJc w:val="left"/>
      <w:lvlText w:val="%1"/>
      <w:numFmt w:val="decimal"/>
      <w:start w:val="1"/>
    </w:lvl>
    <w:lvl w:ilvl="1">
      <w:lvlJc w:val="left"/>
      <w:lvlText w:val="(%2)"/>
      <w:numFmt w:val="lowerLetter"/>
      <w:start w:val="2"/>
    </w:lvl>
  </w:abstractNum>
  <w:abstractNum w:abstractNumId="184">
    <w:nsid w:val="64429599"/>
    <w:multiLevelType w:val="hybridMultilevel"/>
    <w:lvl w:ilvl="0">
      <w:lvlJc w:val="left"/>
      <w:lvlText w:val="%1."/>
      <w:numFmt w:val="decimal"/>
      <w:start w:val="7"/>
    </w:lvl>
    <w:lvl w:ilvl="1">
      <w:lvlJc w:val="left"/>
      <w:lvlText w:val="%2"/>
      <w:numFmt w:val="lowerLetter"/>
      <w:start w:val="1"/>
    </w:lvl>
  </w:abstractNum>
  <w:abstractNum w:abstractNumId="185">
    <w:nsid w:val="631F1690"/>
    <w:multiLevelType w:val="hybridMultilevel"/>
    <w:lvl w:ilvl="0">
      <w:lvlJc w:val="left"/>
      <w:lvlText w:val="%1."/>
      <w:numFmt w:val="decimal"/>
      <w:start w:val="10"/>
    </w:lvl>
  </w:abstractNum>
  <w:abstractNum w:abstractNumId="186">
    <w:nsid w:val="25973E32"/>
    <w:multiLevelType w:val="hybridMultilevel"/>
    <w:lvl w:ilvl="0">
      <w:lvlJc w:val="left"/>
      <w:lvlText w:val="(%1)"/>
      <w:numFmt w:val="lowerLetter"/>
      <w:start w:val="1"/>
    </w:lvl>
    <w:lvl w:ilvl="1">
      <w:lvlJc w:val="left"/>
      <w:lvlText w:val="%2."/>
      <w:numFmt w:val="decimal"/>
      <w:start w:val="11"/>
    </w:lvl>
  </w:abstractNum>
  <w:abstractNum w:abstractNumId="187">
    <w:nsid w:val="EAD6F57"/>
    <w:multiLevelType w:val="hybridMultilevel"/>
    <w:lvl w:ilvl="0">
      <w:lvlJc w:val="left"/>
      <w:lvlText w:val="(%1)"/>
      <w:numFmt w:val="lowerLetter"/>
      <w:start w:val="35"/>
    </w:lvl>
    <w:lvl w:ilvl="1">
      <w:lvlJc w:val="left"/>
      <w:lvlText w:val="%2"/>
      <w:numFmt w:val="decimal"/>
      <w:start w:val="1"/>
    </w:lvl>
  </w:abstractNum>
  <w:abstractNum w:abstractNumId="188">
    <w:nsid w:val="6EC9D844"/>
    <w:multiLevelType w:val="hybridMultilevel"/>
    <w:lvl w:ilvl="0">
      <w:lvlJc w:val="left"/>
      <w:lvlText w:val="%1."/>
      <w:numFmt w:val="decimal"/>
      <w:start w:val="13"/>
    </w:lvl>
  </w:abstractNum>
  <w:abstractNum w:abstractNumId="189">
    <w:nsid w:val="5C49EAEE"/>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jpe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jpe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373" Type="http://schemas.openxmlformats.org/officeDocument/2006/relationships/hyperlink" Target="http://www.sec.gov/Archives/edgar/data/2080019/000119312525177848/d929696dex31.htm" TargetMode="External"/><Relationship Id="rId374" Type="http://schemas.openxmlformats.org/officeDocument/2006/relationships/hyperlink" Target="http://www.sec.gov/Archives/edgar/data/2080019/000119312525177848/d929696dex32.htm" TargetMode="External"/><Relationship Id="rId375" Type="http://schemas.openxmlformats.org/officeDocument/2006/relationships/hyperlink" Target="http://www.sec.gov/Archives/edgar/data/0002080019/000119312525217947/d929696dex41.htm" TargetMode="External"/><Relationship Id="rId376" Type="http://schemas.openxmlformats.org/officeDocument/2006/relationships/hyperlink" Target="http://www.sec.gov/Archives/edgar/data/0002080019/000119312525217947/d929696dex42.htm" TargetMode="External"/><Relationship Id="rId377" Type="http://schemas.openxmlformats.org/officeDocument/2006/relationships/hyperlink" Target="http://www.sec.gov/Archives/edgar/data/0002080019/000119312525217947/d929696dex43.htm" TargetMode="External"/><Relationship Id="rId378" Type="http://schemas.openxmlformats.org/officeDocument/2006/relationships/hyperlink" Target="http://www.sec.gov/Archives/edgar/data/0002080019/000119312525217947/d929696dex44.htm" TargetMode="External"/><Relationship Id="rId379" Type="http://schemas.openxmlformats.org/officeDocument/2006/relationships/hyperlink" Target="http://www.sec.gov/Archives/edgar/data/2080019/000119312525177848/d929696dex102.htm" TargetMode="External"/><Relationship Id="rId380" Type="http://schemas.openxmlformats.org/officeDocument/2006/relationships/hyperlink" Target="http://www.sec.gov/Archives/edgar/data/2080019/000119312525177848/d929696dex103.htm" TargetMode="External"/><Relationship Id="rId381" Type="http://schemas.openxmlformats.org/officeDocument/2006/relationships/hyperlink" Target="http://www.sec.gov/Archives/edgar/data/0002080019/000119312525217947/d929696dex104.htm" TargetMode="External"/><Relationship Id="rId382" Type="http://schemas.openxmlformats.org/officeDocument/2006/relationships/hyperlink" Target="http://www.sec.gov/Archives/edgar/data/0002080019/000119312525217947/d929696dex105.htm" TargetMode="External"/><Relationship Id="rId383" Type="http://schemas.openxmlformats.org/officeDocument/2006/relationships/hyperlink" Target="http://www.sec.gov/Archives/edgar/data/0002080019/000119312525217947/d929696dex106.htm" TargetMode="External"/><Relationship Id="rId384" Type="http://schemas.openxmlformats.org/officeDocument/2006/relationships/hyperlink" Target="http://www.sec.gov/Archives/edgar/data/0002080019/000119312525217947/d929696dex107.htm" TargetMode="External"/><Relationship Id="rId385" Type="http://schemas.openxmlformats.org/officeDocument/2006/relationships/hyperlink" Target="http://www.sec.gov/Archives/edgar/data/0002080019/000119312525217947/d929696dex108.htm" TargetMode="External"/><Relationship Id="rId386" Type="http://schemas.openxmlformats.org/officeDocument/2006/relationships/hyperlink" Target="http://www.sec.gov/Archives/edgar/data/2080019/000119312525177848/d929696dex109.htm" TargetMode="External"/><Relationship Id="rId387" Type="http://schemas.openxmlformats.org/officeDocument/2006/relationships/hyperlink" Target="http://www.sec.gov/Archives/edgar/data/0002080019/000119312525217947/d929696dex14.htm" TargetMode="External"/><Relationship Id="rId388" Type="http://schemas.openxmlformats.org/officeDocument/2006/relationships/hyperlink" Target="http://www.sec.gov/Archives/edgar/data/2080019/000119312525177848/d929696ds1.htm#sig" TargetMode="External"/><Relationship Id="rId389" Type="http://schemas.openxmlformats.org/officeDocument/2006/relationships/hyperlink" Target="http://www.sec.gov/Archives/edgar/data/0002080019/000119312525217947/d929696dex991.htm" TargetMode="External"/><Relationship Id="rId390" Type="http://schemas.openxmlformats.org/officeDocument/2006/relationships/hyperlink" Target="http://www.sec.gov/Archives/edgar/data/0002080019/000119312525217947/d929696dex992.htm" TargetMode="External"/><Relationship Id="rId391" Type="http://schemas.openxmlformats.org/officeDocument/2006/relationships/hyperlink" Target="http://www.sec.gov/Archives/edgar/data/0002080019/000119312525217947/d929696dex993.htm" TargetMode="External"/><Relationship Id="rId392" Type="http://schemas.openxmlformats.org/officeDocument/2006/relationships/hyperlink" Target="http://www.sec.gov/Archives/edgar/data/2080019/000119312525177848/d929696dex994.htm" TargetMode="External"/><Relationship Id="rId393" Type="http://schemas.openxmlformats.org/officeDocument/2006/relationships/hyperlink" Target="http://www.sec.gov/Archives/edgar/data/2080019/000119312525177848/d929696dex995.htm" TargetMode="External"/><Relationship Id="rId394" Type="http://schemas.openxmlformats.org/officeDocument/2006/relationships/hyperlink" Target="http://www.sec.gov/Archives/edgar/data/2080019/000119312525177848/d929696dex996.htm" TargetMode="External"/><Relationship Id="rId395" Type="http://schemas.openxmlformats.org/officeDocument/2006/relationships/hyperlink" Target="http://www.sec.gov/Archives/edgar/data/2080019/000119312525177848/d929696dex997.htm" TargetMode="External"/><Relationship Id="rId396" Type="http://schemas.openxmlformats.org/officeDocument/2006/relationships/hyperlink" Target="http://www.sec.gov/Archives/edgar/data/2080019/000119312525177848/d929696dex998.htm" TargetMode="External"/><Relationship Id="rId397" Type="http://schemas.openxmlformats.org/officeDocument/2006/relationships/hyperlink" Target="http://www.sec.gov/Archives/edgar/data/2080019/000119312525177848/d929696dex999.htm" TargetMode="External"/><Relationship Id="rId398" Type="http://schemas.openxmlformats.org/officeDocument/2006/relationships/hyperlink" Target="http://www.sec.gov/Archives/edgar/data/2080019/000119312525177848/d929696dex9910.htm" TargetMode="External"/><Relationship Id="rId399" Type="http://schemas.openxmlformats.org/officeDocument/2006/relationships/hyperlink" Target="http://www.sec.gov/Archives/edgar/data/2080019/000119312525177848/d92969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2025-09-30T12:31:04Z</dcterms:created>
  <dcterms:modified xsi:type="dcterms:W3CDTF">2025-09-30T12:31:04Z</dcterms:modified>
</cp:coreProperties>
</file>