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U.S. Securities and Exchange Commission on September 9,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333-289479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58420</wp:posOffset>
            </wp:positionV>
            <wp:extent cx="6986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100965</wp:posOffset>
            </wp:positionV>
            <wp:extent cx="6986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107315</wp:posOffset>
            </wp:positionV>
            <wp:extent cx="146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GigCapital8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-228600</wp:posOffset>
            </wp:positionV>
            <wp:extent cx="1464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111760</wp:posOffset>
            </wp:positionV>
            <wp:extent cx="146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198"/>
        </w:trPr>
        <w:tc>
          <w:tcPr>
            <w:tcW w:w="2720" w:type="dxa"/>
            <w:vAlign w:val="bottom"/>
          </w:tcPr>
          <w:p>
            <w:pPr>
              <w:jc w:val="center"/>
              <w:ind w:right="991"/>
              <w:spacing w:after="0"/>
              <w:rPr>
                <w:sz w:val="20"/>
                <w:szCs w:val="20"/>
                <w:color w:val="auto"/>
              </w:rPr>
            </w:pPr>
            <w:r>
              <w:rPr>
                <w:rFonts w:ascii="Times New Roman" w:cs="Times New Roman" w:eastAsia="Times New Roman" w:hAnsi="Times New Roman"/>
                <w:sz w:val="16"/>
                <w:szCs w:val="16"/>
                <w:b w:val="1"/>
                <w:bCs w:val="1"/>
                <w:color w:val="auto"/>
                <w:w w:val="99"/>
              </w:rPr>
              <w:t>Cayman Islands</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6770</w:t>
            </w:r>
          </w:p>
        </w:tc>
        <w:tc>
          <w:tcPr>
            <w:tcW w:w="2340" w:type="dxa"/>
            <w:vAlign w:val="bottom"/>
          </w:tcPr>
          <w:p>
            <w:pPr>
              <w:jc w:val="center"/>
              <w:ind w:left="1051"/>
              <w:spacing w:after="0"/>
              <w:rPr>
                <w:sz w:val="20"/>
                <w:szCs w:val="20"/>
                <w:color w:val="auto"/>
              </w:rPr>
            </w:pPr>
            <w:r>
              <w:rPr>
                <w:rFonts w:ascii="Times New Roman" w:cs="Times New Roman" w:eastAsia="Times New Roman" w:hAnsi="Times New Roman"/>
                <w:sz w:val="16"/>
                <w:szCs w:val="16"/>
                <w:b w:val="1"/>
                <w:bCs w:val="1"/>
                <w:color w:val="auto"/>
              </w:rPr>
              <w:t>98-1868645</w:t>
            </w:r>
          </w:p>
        </w:tc>
      </w:tr>
      <w:tr>
        <w:trPr>
          <w:trHeight w:val="135"/>
        </w:trPr>
        <w:tc>
          <w:tcPr>
            <w:tcW w:w="2720" w:type="dxa"/>
            <w:vAlign w:val="bottom"/>
          </w:tcPr>
          <w:p>
            <w:pPr>
              <w:jc w:val="center"/>
              <w:ind w:right="9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340" w:type="dxa"/>
            <w:vAlign w:val="bottom"/>
          </w:tcPr>
          <w:p>
            <w:pPr>
              <w:jc w:val="center"/>
              <w:ind w:left="10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99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340" w:type="dxa"/>
            <w:vAlign w:val="bottom"/>
          </w:tcPr>
          <w:p>
            <w:pPr>
              <w:jc w:val="center"/>
              <w:ind w:left="1031"/>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1731 Embarcadero Rd., Suite 200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Palo Alto, CA 94303</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(650) 276-7040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88900</wp:posOffset>
            </wp:positionV>
            <wp:extent cx="1464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Dr. Avi S. Katz</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GigCapital8 Corp.</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1731 Embarcadero Rd., Suite 200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Palo Alto, CA 94303</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(650) 276-7040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90170</wp:posOffset>
            </wp:positionV>
            <wp:extent cx="1464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bl>
      <w:tblPr>
        <w:tblLayout w:type="fixed"/>
        <w:tblInd w:w="1080" w:type="dxa"/>
        <w:tblCellMar>
          <w:top w:w="0" w:type="dxa"/>
          <w:left w:w="0" w:type="dxa"/>
          <w:bottom w:w="0" w:type="dxa"/>
          <w:right w:w="0" w:type="dxa"/>
        </w:tblCellMar>
      </w:tblPr>
      <w:tr>
        <w:trPr>
          <w:trHeight w:val="155"/>
        </w:trPr>
        <w:tc>
          <w:tcPr>
            <w:tcW w:w="2860" w:type="dxa"/>
            <w:vAlign w:val="bottom"/>
          </w:tcPr>
          <w:p>
            <w:pPr>
              <w:jc w:val="center"/>
              <w:ind w:right="968"/>
              <w:spacing w:after="0" w:line="155" w:lineRule="exact"/>
              <w:rPr>
                <w:sz w:val="20"/>
                <w:szCs w:val="20"/>
                <w:color w:val="auto"/>
              </w:rPr>
            </w:pPr>
            <w:r>
              <w:rPr>
                <w:rFonts w:ascii="Times New Roman" w:cs="Times New Roman" w:eastAsia="Times New Roman" w:hAnsi="Times New Roman"/>
                <w:sz w:val="14"/>
                <w:szCs w:val="14"/>
                <w:b w:val="1"/>
                <w:bCs w:val="1"/>
                <w:color w:val="auto"/>
              </w:rPr>
              <w:t>Jeffrey C. Selman, Esq.</w:t>
            </w:r>
          </w:p>
        </w:tc>
        <w:tc>
          <w:tcPr>
            <w:tcW w:w="3440" w:type="dxa"/>
            <w:vAlign w:val="bottom"/>
          </w:tcPr>
          <w:p>
            <w:pPr>
              <w:jc w:val="center"/>
              <w:ind w:left="68"/>
              <w:spacing w:after="0" w:line="155" w:lineRule="exact"/>
              <w:rPr>
                <w:sz w:val="20"/>
                <w:szCs w:val="20"/>
                <w:color w:val="auto"/>
              </w:rPr>
            </w:pPr>
            <w:r>
              <w:rPr>
                <w:rFonts w:ascii="Times New Roman" w:cs="Times New Roman" w:eastAsia="Times New Roman" w:hAnsi="Times New Roman"/>
                <w:sz w:val="14"/>
                <w:szCs w:val="14"/>
                <w:b w:val="1"/>
                <w:bCs w:val="1"/>
                <w:color w:val="auto"/>
              </w:rPr>
              <w:t>George Weston</w:t>
            </w:r>
          </w:p>
        </w:tc>
        <w:tc>
          <w:tcPr>
            <w:tcW w:w="3120" w:type="dxa"/>
            <w:vAlign w:val="bottom"/>
          </w:tcPr>
          <w:p>
            <w:pPr>
              <w:jc w:val="center"/>
              <w:ind w:left="788"/>
              <w:spacing w:after="0" w:line="155" w:lineRule="exact"/>
              <w:rPr>
                <w:sz w:val="20"/>
                <w:szCs w:val="20"/>
                <w:color w:val="auto"/>
              </w:rPr>
            </w:pPr>
            <w:r>
              <w:rPr>
                <w:rFonts w:ascii="Times New Roman" w:cs="Times New Roman" w:eastAsia="Times New Roman" w:hAnsi="Times New Roman"/>
                <w:sz w:val="14"/>
                <w:szCs w:val="14"/>
                <w:b w:val="1"/>
                <w:bCs w:val="1"/>
                <w:color w:val="auto"/>
              </w:rPr>
              <w:t>Douglas S. Ellenoff, Esq.</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Elena Nrtina, Esq.</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Christopher Hall</w:t>
            </w:r>
          </w:p>
        </w:tc>
        <w:tc>
          <w:tcPr>
            <w:tcW w:w="31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Stuart Neuhauser, Esq.</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DLA Piper LLP (US)</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Harney Westwood &amp;</w:t>
            </w:r>
          </w:p>
        </w:tc>
        <w:tc>
          <w:tcPr>
            <w:tcW w:w="31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Anthony Ain, Esq.</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555 Mission Street, Suite 2400</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Riegels (Cayman) LLP</w:t>
            </w:r>
          </w:p>
        </w:tc>
        <w:tc>
          <w:tcPr>
            <w:tcW w:w="31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Ellenoff Grossman &amp; Schole LLP</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 94105</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3rd Floor, Harbour Place</w:t>
            </w:r>
          </w:p>
        </w:tc>
        <w:tc>
          <w:tcPr>
            <w:tcW w:w="31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1345 Avenue of the Americas, 11</w:t>
            </w:r>
            <w:r>
              <w:rPr>
                <w:rFonts w:ascii="Times New Roman" w:cs="Times New Roman" w:eastAsia="Times New Roman" w:hAnsi="Times New Roman"/>
                <w:sz w:val="8"/>
                <w:szCs w:val="8"/>
                <w:b w:val="1"/>
                <w:bCs w:val="1"/>
                <w:color w:val="auto"/>
              </w:rPr>
              <w:t>th</w:t>
            </w:r>
            <w:r>
              <w:rPr>
                <w:rFonts w:ascii="Times New Roman" w:cs="Times New Roman" w:eastAsia="Times New Roman" w:hAnsi="Times New Roman"/>
                <w:sz w:val="14"/>
                <w:szCs w:val="14"/>
                <w:b w:val="1"/>
                <w:bCs w:val="1"/>
                <w:color w:val="auto"/>
              </w:rPr>
              <w:t xml:space="preserve"> Fl.</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Telephone: (415) 615-6095</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103 South Church Street</w:t>
            </w:r>
          </w:p>
        </w:tc>
        <w:tc>
          <w:tcPr>
            <w:tcW w:w="31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10105</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Facsimile: (415) 659 7465</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Grand Cayman</w:t>
            </w:r>
          </w:p>
        </w:tc>
        <w:tc>
          <w:tcPr>
            <w:tcW w:w="31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Telephone: (212) 370-1300</w:t>
            </w:r>
          </w:p>
        </w:tc>
      </w:tr>
      <w:tr>
        <w:trPr>
          <w:trHeight w:val="188"/>
        </w:trPr>
        <w:tc>
          <w:tcPr>
            <w:tcW w:w="2860" w:type="dxa"/>
            <w:vAlign w:val="bottom"/>
          </w:tcPr>
          <w:p>
            <w:pPr>
              <w:spacing w:after="0"/>
              <w:rPr>
                <w:sz w:val="16"/>
                <w:szCs w:val="16"/>
                <w:color w:val="auto"/>
              </w:rPr>
            </w:pPr>
          </w:p>
        </w:tc>
        <w:tc>
          <w:tcPr>
            <w:tcW w:w="34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Tel: (345) 949-8599</w:t>
            </w:r>
          </w:p>
        </w:tc>
        <w:tc>
          <w:tcPr>
            <w:tcW w:w="312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Facsimile: (212) 370-7889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93345</wp:posOffset>
            </wp:positionV>
            <wp:extent cx="1464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9" w:lineRule="exact"/>
        <w:rPr>
          <w:sz w:val="24"/>
          <w:szCs w:val="24"/>
          <w:color w:val="auto"/>
        </w:rPr>
      </w:pPr>
    </w:p>
    <w:p>
      <w:pPr>
        <w:ind w:left="120" w:right="340" w:firstLine="440"/>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120" w:right="56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00" w:firstLine="44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00" w:firstLine="440"/>
        <w:spacing w:after="0" w:line="17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20" w:right="480" w:firstLine="440"/>
        <w:spacing w:after="0" w:line="24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bl>
    <w:p>
      <w:pPr>
        <w:ind w:left="120" w:right="580" w:firstLine="440"/>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78105</wp:posOffset>
            </wp:positionV>
            <wp:extent cx="1464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33" w:lineRule="exact"/>
        <w:rPr>
          <w:sz w:val="24"/>
          <w:szCs w:val="24"/>
          <w:color w:val="auto"/>
        </w:rPr>
      </w:pPr>
    </w:p>
    <w:p>
      <w:pPr>
        <w:jc w:val="both"/>
        <w:ind w:left="120" w:right="360" w:firstLine="440"/>
        <w:spacing w:after="0" w:line="24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50165</wp:posOffset>
            </wp:positionV>
            <wp:extent cx="6986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93345</wp:posOffset>
            </wp:positionV>
            <wp:extent cx="6986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ectPr>
          <w:pgSz w:w="11900" w:h="16898" w:orient="portrait"/>
          <w:cols w:equalWidth="0" w:num="1">
            <w:col w:w="11120"/>
          </w:cols>
          <w:pgMar w:left="320" w:top="225" w:right="459" w:bottom="0" w:gutter="0" w:footer="0" w:header="0"/>
        </w:sectPr>
      </w:pPr>
    </w:p>
    <w:p>
      <w:pPr>
        <w:spacing w:after="0" w:line="204" w:lineRule="exact"/>
        <w:rPr>
          <w:sz w:val="24"/>
          <w:szCs w:val="24"/>
          <w:color w:val="auto"/>
        </w:rPr>
      </w:pPr>
    </w:p>
    <w:tbl>
      <w:tblPr>
        <w:tblLayout w:type="fixed"/>
        <w:tblInd w:w="49" w:type="dxa"/>
        <w:tblCellMar>
          <w:top w:w="0" w:type="dxa"/>
          <w:left w:w="0" w:type="dxa"/>
          <w:bottom w:w="0" w:type="dxa"/>
          <w:right w:w="0" w:type="dxa"/>
        </w:tblCellMar>
      </w:tblPr>
      <w:tr>
        <w:trPr>
          <w:trHeight w:val="3340"/>
        </w:trPr>
        <w:tc>
          <w:tcPr>
            <w:tcW w:w="665" w:type="dxa"/>
            <w:vAlign w:val="bottom"/>
            <w:textDirection w:val="btLr"/>
          </w:tcPr>
          <w:p>
            <w:pPr>
              <w:spacing w:after="0" w:line="257" w:lineRule="auto"/>
              <w:rPr>
                <w:sz w:val="20"/>
                <w:szCs w:val="20"/>
                <w:color w:val="auto"/>
              </w:rPr>
            </w:pPr>
            <w:r>
              <w:rPr>
                <w:rFonts w:ascii="Arial" w:cs="Arial" w:eastAsia="Arial" w:hAnsi="Arial"/>
                <w:sz w:val="18"/>
                <w:szCs w:val="18"/>
                <w:b w:val="1"/>
                <w:bCs w:val="1"/>
                <w:color w:val="FF4338"/>
              </w:rPr>
              <w:t>d. er to sell these securities and it is not curities until the registration statement</w:t>
            </w:r>
          </w:p>
        </w:tc>
      </w:tr>
    </w:tbl>
    <w:p>
      <w:pPr>
        <w:spacing w:after="0" w:line="20" w:lineRule="exact"/>
        <w:rPr>
          <w:sz w:val="24"/>
          <w:szCs w:val="24"/>
          <w:color w:val="auto"/>
        </w:rPr>
      </w:pPr>
      <w:r>
        <w:rPr>
          <w:sz w:val="24"/>
          <w:szCs w:val="24"/>
          <w:color w:val="auto"/>
        </w:rPr>
        <w:br w:type="column"/>
      </w:r>
    </w:p>
    <w:p>
      <w:pPr>
        <w:spacing w:after="0" w:line="306" w:lineRule="exact"/>
        <w:rPr>
          <w:sz w:val="24"/>
          <w:szCs w:val="24"/>
          <w:color w:val="auto"/>
        </w:rPr>
      </w:pPr>
    </w:p>
    <w:p>
      <w:pPr>
        <w:jc w:val="center"/>
        <w:ind w:right="3080"/>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31" w:lineRule="exact"/>
        <w:rPr>
          <w:sz w:val="24"/>
          <w:szCs w:val="24"/>
          <w:color w:val="auto"/>
        </w:rPr>
      </w:pPr>
    </w:p>
    <w:p>
      <w:pPr>
        <w:jc w:val="center"/>
        <w:ind w:right="3080"/>
        <w:spacing w:after="0"/>
        <w:rPr>
          <w:sz w:val="20"/>
          <w:szCs w:val="20"/>
          <w:color w:val="auto"/>
        </w:rPr>
      </w:pPr>
      <w:r>
        <w:rPr>
          <w:rFonts w:ascii="Times New Roman" w:cs="Times New Roman" w:eastAsia="Times New Roman" w:hAnsi="Times New Roman"/>
          <w:sz w:val="17"/>
          <w:szCs w:val="17"/>
          <w:b w:val="1"/>
          <w:bCs w:val="1"/>
          <w:color w:val="FF4338"/>
        </w:rPr>
        <w:t xml:space="preserve">SUBJECT TO COMPLETION, DATED SEPTEMBER </w:t>
      </w:r>
      <w:r>
        <w:rPr>
          <w:rFonts w:ascii="Times New Roman" w:cs="Times New Roman" w:eastAsia="Times New Roman" w:hAnsi="Times New Roman"/>
          <w:sz w:val="17"/>
          <w:szCs w:val="17"/>
          <w:b w:val="1"/>
          <w:bCs w:val="1"/>
          <w:u w:val="single" w:color="auto"/>
          <w:color w:val="FF4338"/>
        </w:rPr>
        <w:t>9</w:t>
      </w:r>
      <w:r>
        <w:rPr>
          <w:rFonts w:ascii="Times New Roman" w:cs="Times New Roman" w:eastAsia="Times New Roman" w:hAnsi="Times New Roman"/>
          <w:sz w:val="17"/>
          <w:szCs w:val="17"/>
          <w:b w:val="1"/>
          <w:bCs w:val="1"/>
          <w:color w:val="FF4338"/>
        </w:rPr>
        <w:t>, 2025</w:t>
      </w:r>
    </w:p>
    <w:p>
      <w:pPr>
        <w:spacing w:after="0" w:line="18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32"/>
          <w:szCs w:val="32"/>
          <w:b w:val="1"/>
          <w:bCs w:val="1"/>
          <w:color w:val="auto"/>
        </w:rPr>
        <w:t>$220,000,000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241300</wp:posOffset>
            </wp:positionV>
            <wp:extent cx="2286000" cy="359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6000" cy="359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3080"/>
        <w:spacing w:after="0"/>
        <w:rPr>
          <w:sz w:val="20"/>
          <w:szCs w:val="20"/>
          <w:color w:val="auto"/>
        </w:rPr>
      </w:pPr>
      <w:r>
        <w:rPr>
          <w:rFonts w:ascii="Times New Roman" w:cs="Times New Roman" w:eastAsia="Times New Roman" w:hAnsi="Times New Roman"/>
          <w:sz w:val="43"/>
          <w:szCs w:val="43"/>
          <w:b w:val="1"/>
          <w:bCs w:val="1"/>
          <w:color w:val="auto"/>
        </w:rPr>
        <w:t>GigCapital8 Corp.</w:t>
      </w: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25"/>
          <w:szCs w:val="25"/>
          <w:b w:val="1"/>
          <w:bCs w:val="1"/>
          <w:color w:val="auto"/>
        </w:rPr>
        <w:t>22,000,000 Units</w:t>
      </w:r>
    </w:p>
    <w:p>
      <w:pPr>
        <w:sectPr>
          <w:pgSz w:w="11900" w:h="16898" w:orient="portrait"/>
          <w:cols w:equalWidth="0" w:num="2">
            <w:col w:w="2480" w:space="720"/>
            <w:col w:w="7920"/>
          </w:cols>
          <w:pgMar w:left="320" w:top="225" w:right="4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048"/>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7"/>
              </w:rPr>
              <w:t>sell these se</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is not an off</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not permitte</w:t>
            </w:r>
          </w:p>
        </w:tc>
      </w:tr>
      <w:tr>
        <w:trPr>
          <w:trHeight w:val="7300"/>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 information in this prospectus is not complete and may be changed. We may not</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filed with the U.S. Securities and Exchange Commission is effective. This prospectus</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soliciting an offer to buy these 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firstLine="371"/>
        <w:spacing w:after="0" w:line="254" w:lineRule="auto"/>
        <w:rPr>
          <w:sz w:val="20"/>
          <w:szCs w:val="20"/>
          <w:color w:val="auto"/>
        </w:rPr>
      </w:pPr>
      <w:r>
        <w:rPr>
          <w:rFonts w:ascii="Times New Roman" w:cs="Times New Roman" w:eastAsia="Times New Roman" w:hAnsi="Times New Roman"/>
          <w:sz w:val="18"/>
          <w:szCs w:val="18"/>
          <w:color w:val="auto"/>
        </w:rPr>
        <w:t>GigCapital8 Corp., a Cayman Islands exempted company (the “company”), is a newly organized Private-to-Public Equity (PPE) company, also known as a blank check company or special purpose acquisition company (“SPAC”), formed by an affiliate of the serial SPAC issuer GigCapital Global, for the purpose of entering into a merger, share exchange, asset acquisition, stock purchase, recapitalization, reorganization or similar business combination with one or more businesses, which we refer to throughout this prospectus as our “initial business combination.”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the aerospace and defense services, cybersecurity and secured communications and quantum-based command and control systems, and artificial intelligence and machine-learning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-1384935</wp:posOffset>
            </wp:positionV>
            <wp:extent cx="124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166" w:lineRule="exact"/>
        <w:rPr>
          <w:sz w:val="20"/>
          <w:szCs w:val="20"/>
          <w:color w:val="auto"/>
        </w:rPr>
      </w:pPr>
    </w:p>
    <w:p>
      <w:pPr>
        <w:ind w:right="20" w:firstLine="371"/>
        <w:spacing w:after="0" w:line="271" w:lineRule="auto"/>
        <w:rPr>
          <w:sz w:val="20"/>
          <w:szCs w:val="20"/>
          <w:color w:val="auto"/>
        </w:rPr>
      </w:pPr>
      <w:r>
        <w:rPr>
          <w:rFonts w:ascii="Times New Roman" w:cs="Times New Roman" w:eastAsia="Times New Roman" w:hAnsi="Times New Roman"/>
          <w:sz w:val="17"/>
          <w:szCs w:val="17"/>
          <w:color w:val="auto"/>
        </w:rPr>
        <w:t>This is an initial public offering of our securities. We are offering 22,000,000 units at an offering price of $10.00 each. Each unit consists of one Class A ordinary share and one right to receive one-tenth of one Class A ordinary share upon the consummation of an initial business combination. Each ten rights entitle the holder thereof to receive one Class A ordinary share upon the consummation of our business combination. We will not issue fractional shares upon the conversion of the rights. As a result, you must hold rights in multiples of ten in order to receive shares for all of your rights upon the consummation of a business combination. We refer herein to the units sold in this offering as our “public units,” and the components thereof as our “public shares” and “public rights,” respectively. We have granted D. Boral Capital LLC, the representative of the underwriters of this offering, a 45-day option to purchase up to an additional 3,300,000 units solely to cover over-allotments, if any.</w:t>
      </w:r>
    </w:p>
    <w:p>
      <w:pPr>
        <w:spacing w:after="0" w:line="176" w:lineRule="exact"/>
        <w:rPr>
          <w:sz w:val="20"/>
          <w:szCs w:val="20"/>
          <w:color w:val="auto"/>
        </w:rPr>
      </w:pPr>
    </w:p>
    <w:p>
      <w:pPr>
        <w:ind w:right="20" w:firstLine="371"/>
        <w:spacing w:after="0" w:line="252" w:lineRule="auto"/>
        <w:rPr>
          <w:sz w:val="20"/>
          <w:szCs w:val="20"/>
          <w:color w:val="auto"/>
        </w:rPr>
      </w:pPr>
      <w:r>
        <w:rPr>
          <w:rFonts w:ascii="Times New Roman" w:cs="Times New Roman" w:eastAsia="Times New Roman" w:hAnsi="Times New Roman"/>
          <w:sz w:val="18"/>
          <w:szCs w:val="18"/>
          <w:color w:val="auto"/>
        </w:rPr>
        <w:t>We will provide the purchasers of our public units, or our “public shareholders,” with the opportunity to redeem all or a portion of their public shares upon the completion of our initial business combination at a per-share price, payable in cash, equal to the aggregate amount then on deposit in the trust account described below as of two business days prior to consummation of the initial business combination, including interest earned on the funds held in the trust account (net of amounts withdrawn to fund our working capital requirements, subject to an annual limit of $1,000,000, and to pay our taxes, if any, (“permitted withdrawals”)), divided by the number of then issued and outstanding public shares, subject to the limitations and on the conditions described herein. The amount in the trust account will initially be $10.00 per public share. We will have 24 months from the closing of this offering or until such earlier liquidation date as our board of directors may approve, to consummate an initial business combination, which we refer to herein as the completion window.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(less permitted withdrawals), divided by the number of then issued and outstanding public shares, subject to applicable law. If we are unable to complete our initial business combination within the completion window (or such later date as approved by our shareholders), or by such</w:t>
      </w:r>
    </w:p>
    <w:p>
      <w:pPr>
        <w:sectPr>
          <w:pgSz w:w="11900" w:h="16838" w:orient="portrait"/>
          <w:cols w:equalWidth="0" w:num="2">
            <w:col w:w="580" w:space="280"/>
            <w:col w:w="9260"/>
          </w:cols>
          <w:pgMar w:left="440" w:top="138"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70" w:lineRule="auto"/>
        <w:rPr>
          <w:sz w:val="20"/>
          <w:szCs w:val="20"/>
          <w:color w:val="auto"/>
        </w:rPr>
      </w:pPr>
      <w:r>
        <w:rPr>
          <w:rFonts w:ascii="Times New Roman" w:cs="Times New Roman" w:eastAsia="Times New Roman" w:hAnsi="Times New Roman"/>
          <w:sz w:val="17"/>
          <w:szCs w:val="17"/>
          <w:color w:val="auto"/>
        </w:rPr>
        <w:t xml:space="preserve">earlier liquidation date as our board of directors may approve, we will redeem 100% of the public shares at a per share price, payable in cash, equal to the aggregate amount then on deposit in the trust account, including interest earned thereon (less permitted withdrawals and up to $100,000 of interest income to pay dissolution expenses), divided by the number of then issued and outstanding public shares, subject to applicable law and certain conditions as further described herein. </w:t>
      </w:r>
      <w:r>
        <w:rPr>
          <w:rFonts w:ascii="Times New Roman" w:cs="Times New Roman" w:eastAsia="Times New Roman" w:hAnsi="Times New Roman"/>
          <w:sz w:val="17"/>
          <w:szCs w:val="17"/>
          <w:b w:val="1"/>
          <w:bCs w:val="1"/>
          <w:color w:val="auto"/>
        </w:rPr>
        <w:t>See “</w:t>
      </w:r>
      <w:r>
        <w:rPr>
          <w:rFonts w:ascii="Times New Roman" w:cs="Times New Roman" w:eastAsia="Times New Roman" w:hAnsi="Times New Roman"/>
          <w:sz w:val="17"/>
          <w:szCs w:val="17"/>
          <w:b w:val="1"/>
          <w:bCs w:val="1"/>
          <w:i w:val="1"/>
          <w:iCs w:val="1"/>
          <w:color w:val="auto"/>
        </w:rPr>
        <w:t>Summary — The Offering — Redemption rights for public shareholders upon completion of our initial</w:t>
      </w:r>
    </w:p>
    <w:p>
      <w:pPr>
        <w:spacing w:after="0" w:line="2"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b w:val="1"/>
          <w:bCs w:val="1"/>
          <w:color w:val="auto"/>
        </w:rPr>
        <w:t>” on page [  ] and “</w:t>
      </w:r>
      <w:r>
        <w:rPr>
          <w:rFonts w:ascii="Times New Roman" w:cs="Times New Roman" w:eastAsia="Times New Roman" w:hAnsi="Times New Roman"/>
          <w:sz w:val="18"/>
          <w:szCs w:val="18"/>
          <w:b w:val="1"/>
          <w:bCs w:val="1"/>
          <w:i w:val="1"/>
          <w:iCs w:val="1"/>
          <w:color w:val="auto"/>
        </w:rPr>
        <w:t>Summary — The Offering — Redemption of public shares and distribution and liquidation if no initial business combination</w:t>
      </w:r>
      <w:r>
        <w:rPr>
          <w:rFonts w:ascii="Times New Roman" w:cs="Times New Roman" w:eastAsia="Times New Roman" w:hAnsi="Times New Roman"/>
          <w:sz w:val="18"/>
          <w:szCs w:val="18"/>
          <w:b w:val="1"/>
          <w:bCs w:val="1"/>
          <w:color w:val="auto"/>
        </w:rPr>
        <w:t>” on page [  ] for more information.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“group”(as defined under Section 13 of the Securities Exchange Act of 1934, as amended (the “Exchange Act”), will be restricted from redeeming its shares with respect to more than an aggregate of 15% of the shares sold in this offering without our prior consent. However, we would not be restricting our shareholders’ ability to vote all of their shares (including all shares held by those shareholders that hold more than 15% of the shares sold in this offering) for or against our initial business combination.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Summary—The Offering— Limitation on redemption rights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shareholders holding more than 15% of the public shares sold in this offering if we hold a shareholder vote</w:t>
      </w:r>
      <w:r>
        <w:rPr>
          <w:rFonts w:ascii="Times New Roman" w:cs="Times New Roman" w:eastAsia="Times New Roman" w:hAnsi="Times New Roman"/>
          <w:sz w:val="18"/>
          <w:szCs w:val="18"/>
          <w:b w:val="1"/>
          <w:bCs w:val="1"/>
          <w:color w:val="auto"/>
        </w:rPr>
        <w:t>” on page [  ] for further discussion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certain limitations on redemption rights.</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sponsor, GigAcquisitions8 Corp. which is owned by two of our directors, Dr. Avi S. Katz and Dr. Raluca Dinu, (or non-affiliated investors to which our sponsor assigns this subscription as described below) together with four of our other directors, James Greene, Luis Machuca, Bryan Timm and Raanan Horowitz, will subscribe to purchase an aggregate of 95,200 private placement units (including if the underwriters’ over-allotment option is exercised in full), at a price of $9.7374 per unit, for an aggregate purchase price of $927,000 in a private placement that will close simultaneously with the closing of this offering. Each unit sold in this private placement consists of one Class A ordinary share and one right to receive one-tenth of one Class A ordinary share upon the consummation of an initial business combination, as described in more detail in this prospectus. We refer to these units throughout this prospectus as “private placement units,” the Class A ordinary shares included in the units as “private placement shares” and the share rights included in such units as “private placement rights.” The sponsor reserves the right to allocate participation in the private placement for the 95,200 private placement units to some non-affiliated investors in connection with the completion of this offering in exchange for interests in our founder shares (as defined below). The private placement units are identical to the public units sold in this offering, subject to certain limited exceptions as described in this prospectus.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At our formation on June 30, 2025, one Class B ordinary share that was allotted to Harneys Fiduciary (Cayman) Limited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As a result, as of the date of this prospectus, our sponsor has 7,850,229 Class B ordinary shares, which our sponsor can transfer to permitted transferees as set forth in the subscription agreement and the letter agreement to be executed at the time of the closing of this offering. We refer to such 7,850,229 Class B ordinary shares throughout this prospectus as “founder shares.”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Summary— The Offering— Sponsor’s Securities and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further discussion on sponsor’s and our affiliates’ securities and compensation. </w:t>
      </w:r>
      <w:r>
        <w:rPr>
          <w:rFonts w:ascii="Times New Roman" w:cs="Times New Roman" w:eastAsia="Times New Roman" w:hAnsi="Times New Roman"/>
          <w:sz w:val="18"/>
          <w:szCs w:val="18"/>
          <w:color w:val="auto"/>
        </w:rPr>
        <w:t>The proceeds from the sale of the founder shares will not be placed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trust account. Prior to the completion of our initial business combination, only holders of our Class B ordinary shares will be entitled to vote on the election of directors. Our sponsor intends at the time of this offering to sell 375,397 founder shares in the aggregate to Messrs. Greene, Machuca, Timm and Horowitz at an aggregate price of $9,244, thus reducing the price paid by our sponsor for the 7,474,832 founder shares which it is retaining to $15,756, or $0.002108 per share.</w:t>
      </w:r>
    </w:p>
    <w:p>
      <w:pPr>
        <w:sectPr>
          <w:pgSz w:w="11900" w:h="16838" w:orient="portrait"/>
          <w:cols w:equalWidth="0" w:num="1">
            <w:col w:w="11120"/>
          </w:cols>
          <w:pgMar w:left="320" w:top="481"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60" w:firstLine="440"/>
        <w:spacing w:after="0" w:line="260" w:lineRule="auto"/>
        <w:rPr>
          <w:sz w:val="20"/>
          <w:szCs w:val="20"/>
          <w:color w:val="auto"/>
        </w:rPr>
      </w:pPr>
      <w:r>
        <w:rPr>
          <w:rFonts w:ascii="Times New Roman" w:cs="Times New Roman" w:eastAsia="Times New Roman" w:hAnsi="Times New Roman"/>
          <w:sz w:val="18"/>
          <w:szCs w:val="18"/>
          <w:color w:val="auto"/>
        </w:rPr>
        <w:t>Eight groups of institutional accredited investors (none of which are affiliated with any member of our management, our sponsor or any other investor), which we refer to as the “non-managing investors” throughout this prospectus, have committed to purchase an aggregate of</w:t>
      </w:r>
    </w:p>
    <w:p>
      <w:pPr>
        <w:spacing w:after="0" w:line="1" w:lineRule="exact"/>
        <w:rPr>
          <w:sz w:val="20"/>
          <w:szCs w:val="20"/>
          <w:color w:val="auto"/>
        </w:rPr>
      </w:pPr>
    </w:p>
    <w:p>
      <w:pPr>
        <w:ind w:left="120" w:right="40" w:firstLine="2"/>
        <w:spacing w:after="0" w:line="252" w:lineRule="auto"/>
        <w:tabs>
          <w:tab w:leader="none" w:pos="3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 We refer to the 2,964,203 Class B ordinary shares being issued to the non-managing investors throughout this prospectus as “private investor shares.”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 xml:space="preserve">The Class B ordinary shares will automatically convert into Class A ordinary shares at the time of our initial business combination, or at any time prior thereto at the option of the holder thereof, on a one-for-one basis, subject to adjustment for share sub-divisions, share capitalizations, reorganizations, recapitalizations and the like. Because our sponsor, following the sale of founder shares to the four other directors, acquired the retained founder shares at a nominal price of $0.002108 per Class B ordinary share, Messrs. Greene, Machuca, Timm and Horowitz will acquire founder shares from our sponsor at a nominal price of $0.02462 per Class B ordinary share and the non-managing investors will acquire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insiders will acquire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w:t>
      </w:r>
      <w:r>
        <w:rPr>
          <w:rFonts w:ascii="Times New Roman" w:cs="Times New Roman" w:eastAsia="Times New Roman" w:hAnsi="Times New Roman"/>
          <w:sz w:val="17"/>
          <w:szCs w:val="17"/>
          <w:b w:val="1"/>
          <w:bCs w:val="1"/>
          <w:color w:val="auto"/>
        </w:rPr>
        <w:t>See the section titled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Risk Factors — Risks Relating to our Securities — The nominal purchase price paid by our sponsor for the founder shares and paid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on page [  ]</w:t>
      </w:r>
      <w:r>
        <w:rPr>
          <w:rFonts w:ascii="Times New Roman" w:cs="Times New Roman" w:eastAsia="Times New Roman" w:hAnsi="Times New Roman"/>
          <w:sz w:val="17"/>
          <w:szCs w:val="17"/>
          <w:color w:val="auto"/>
        </w:rPr>
        <w:t>. In the case that additional Class A ordinary shares, or equity-linked securities (as described herein), are issued or deemed issued in excess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amounts issued in this offering and related to or in connection with the closing of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as described below),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If we increase or decrease the size of this offering, we will effect a share capitalization or a share repurchase or redemption or other appropriate mechanism, as applicable, with respect to our Class B ordinary shares immediately prior to the consummation of this offering in such amount as to maintain the ownership of founder shares by our insiders, on an as-converted basis, at 30% of our issued and outstanding ordinary shares upon the consummation of this offering. Prior to our initial business combination, only holders of our Class B ordinary shares will have the right to vote on the appointment and removal of directors. Holders of our Class A ordinary shares will not be entitled to vote on the appointment or removal of directors during such time. These provisions of our amended and restated memorandum and articles of association may only be</w:t>
      </w:r>
    </w:p>
    <w:p>
      <w:pPr>
        <w:sectPr>
          <w:pgSz w:w="11900" w:h="16838" w:orient="portrait"/>
          <w:cols w:equalWidth="0" w:num="1">
            <w:col w:w="11100"/>
          </w:cols>
          <w:pgMar w:left="320" w:top="481"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amended by a special resolution passed by a majority of at least 90% (or, where such amendment is proposed in respect of the consummation of our initial business combination, two-thirds) of our ordinary shares voting at the applicable general meeting. With respect to any other matter submitted to a vote of our shareholders, including any vote in connection with our initial business combination, except as required by applicable law or stock exchange rule, holders of our Class A ordinary shares and holders of our Class B ordinary shares will vote together as a single class, with each share entitling the holder to one vote. In addition, to continue the company in a jurisdiction outside of the Cayman Islands, including the adoption of the organizational documents for such jurisdiction, our board of directors will be able to approve such continuation and organizational documents without the vote of any holders of our Class A ordinary shares and Class B ordinary shares. Collectively, our insiders’ aggregate holdings of 6,826,286 Class B ordinary shares and 95,200 private placement shares will represent 21.8% of all ordinary shares outstanding upon completion of this offering, assuming that the underwriters’ over-allotment option is not exercised. In addition, together with the non-managing investors’ 2,577,522 Class B ordinary shares and 242,475 private placement shares, the total founder shares, private investor shares and private placement shares of the insiders and the non-managing investors will represent 30.7% of all 31,741,483 ordinary shares outstanding upon completion of this offering, assuming that the underwriters’ over-allotment option is not exercised.</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Summary—Sponsor</w:t>
      </w:r>
      <w:r>
        <w:rPr>
          <w:rFonts w:ascii="Times New Roman" w:cs="Times New Roman" w:eastAsia="Times New Roman" w:hAnsi="Times New Roman"/>
          <w:sz w:val="18"/>
          <w:szCs w:val="18"/>
          <w:b w:val="1"/>
          <w:bCs w:val="1"/>
          <w:color w:val="auto"/>
        </w:rPr>
        <w:t>” for further discussion on our sponsor’s securities and compensation on page [  ]; “</w:t>
      </w:r>
      <w:r>
        <w:rPr>
          <w:rFonts w:ascii="Times New Roman" w:cs="Times New Roman" w:eastAsia="Times New Roman" w:hAnsi="Times New Roman"/>
          <w:sz w:val="18"/>
          <w:szCs w:val="18"/>
          <w:b w:val="1"/>
          <w:bCs w:val="1"/>
          <w:i w:val="1"/>
          <w:iCs w:val="1"/>
          <w:color w:val="auto"/>
        </w:rPr>
        <w:t>Summary —The Offering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Transfer restrictions applicable to founder shares, private investor shares, private placement shares and private placement rights (and shares into which the rights convert)</w:t>
      </w:r>
      <w:r>
        <w:rPr>
          <w:rFonts w:ascii="Times New Roman" w:cs="Times New Roman" w:eastAsia="Times New Roman" w:hAnsi="Times New Roman"/>
          <w:sz w:val="18"/>
          <w:szCs w:val="18"/>
          <w:b w:val="1"/>
          <w:bCs w:val="1"/>
          <w:color w:val="auto"/>
        </w:rPr>
        <w:t>” on page [  ], “</w:t>
      </w:r>
      <w:r>
        <w:rPr>
          <w:rFonts w:ascii="Times New Roman" w:cs="Times New Roman" w:eastAsia="Times New Roman" w:hAnsi="Times New Roman"/>
          <w:sz w:val="18"/>
          <w:szCs w:val="18"/>
          <w:b w:val="1"/>
          <w:bCs w:val="1"/>
          <w:i w:val="1"/>
          <w:iCs w:val="1"/>
          <w:color w:val="auto"/>
        </w:rPr>
        <w:t>Summary —The Offering—Conversion of founder shares and private investor shares and anti-dilution rights</w:t>
      </w:r>
      <w:r>
        <w:rPr>
          <w:rFonts w:ascii="Times New Roman" w:cs="Times New Roman" w:eastAsia="Times New Roman" w:hAnsi="Times New Roman"/>
          <w:sz w:val="18"/>
          <w:szCs w:val="18"/>
          <w:b w:val="1"/>
          <w:bCs w:val="1"/>
          <w:color w:val="auto"/>
        </w:rPr>
        <w:t>” on page [  ] “</w:t>
      </w:r>
      <w:r>
        <w:rPr>
          <w:rFonts w:ascii="Times New Roman" w:cs="Times New Roman" w:eastAsia="Times New Roman" w:hAnsi="Times New Roman"/>
          <w:sz w:val="18"/>
          <w:szCs w:val="18"/>
          <w:b w:val="1"/>
          <w:bCs w:val="1"/>
          <w:i w:val="1"/>
          <w:iCs w:val="1"/>
          <w:color w:val="auto"/>
        </w:rPr>
        <w:t>Summary — The Offering —Election of directors; Voting rights</w:t>
      </w:r>
      <w:r>
        <w:rPr>
          <w:rFonts w:ascii="Times New Roman" w:cs="Times New Roman" w:eastAsia="Times New Roman" w:hAnsi="Times New Roman"/>
          <w:sz w:val="18"/>
          <w:szCs w:val="18"/>
          <w:b w:val="1"/>
          <w:bCs w:val="1"/>
          <w:color w:val="auto"/>
        </w:rPr>
        <w:t>” on page [  ], “</w:t>
      </w:r>
      <w:r>
        <w:rPr>
          <w:rFonts w:ascii="Times New Roman" w:cs="Times New Roman" w:eastAsia="Times New Roman" w:hAnsi="Times New Roman"/>
          <w:sz w:val="18"/>
          <w:szCs w:val="18"/>
          <w:b w:val="1"/>
          <w:bCs w:val="1"/>
          <w:i w:val="1"/>
          <w:iCs w:val="1"/>
          <w:color w:val="auto"/>
        </w:rPr>
        <w:t>Risk Factors —Risks Relating to our Securities— The nominal purchase price paid by our insiders for the founder shares and paid by the 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8"/>
          <w:szCs w:val="18"/>
          <w:b w:val="1"/>
          <w:bCs w:val="1"/>
          <w:color w:val="auto"/>
        </w:rPr>
        <w:t>” on page [  ], and “</w:t>
      </w:r>
      <w:r>
        <w:rPr>
          <w:rFonts w:ascii="Times New Roman" w:cs="Times New Roman" w:eastAsia="Times New Roman" w:hAnsi="Times New Roman"/>
          <w:sz w:val="18"/>
          <w:szCs w:val="18"/>
          <w:b w:val="1"/>
          <w:bCs w:val="1"/>
          <w:i w:val="1"/>
          <w:iCs w:val="1"/>
          <w:color w:val="auto"/>
        </w:rPr>
        <w:t>General Risk Factors — 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r>
        <w:rPr>
          <w:rFonts w:ascii="Times New Roman" w:cs="Times New Roman" w:eastAsia="Times New Roman" w:hAnsi="Times New Roman"/>
          <w:sz w:val="18"/>
          <w:szCs w:val="18"/>
          <w:b w:val="1"/>
          <w:bCs w:val="1"/>
          <w:color w:val="auto"/>
        </w:rPr>
        <w:t>”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 and “</w:t>
      </w:r>
      <w:r>
        <w:rPr>
          <w:rFonts w:ascii="Times New Roman" w:cs="Times New Roman" w:eastAsia="Times New Roman" w:hAnsi="Times New Roman"/>
          <w:sz w:val="18"/>
          <w:szCs w:val="18"/>
          <w:b w:val="1"/>
          <w:bCs w:val="1"/>
          <w:i w:val="1"/>
          <w:iCs w:val="1"/>
          <w:color w:val="auto"/>
        </w:rPr>
        <w:t>Dilution</w:t>
      </w:r>
      <w:r>
        <w:rPr>
          <w:rFonts w:ascii="Times New Roman" w:cs="Times New Roman" w:eastAsia="Times New Roman" w:hAnsi="Times New Roman"/>
          <w:sz w:val="18"/>
          <w:szCs w:val="18"/>
          <w:b w:val="1"/>
          <w:bCs w:val="1"/>
          <w:color w:val="auto"/>
        </w:rPr>
        <w:t>” on page [  ].</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the listing eligibility requirements of the Nasdaq Global Market tier of The Nasdaq Stock Market LLC (“Nasdaq”).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w:t>
      </w:r>
    </w:p>
    <w:p>
      <w:pPr>
        <w:sectPr>
          <w:pgSz w:w="11900" w:h="16838" w:orient="portrait"/>
          <w:cols w:equalWidth="0" w:num="1">
            <w:col w:w="11120"/>
          </w:cols>
          <w:pgMar w:left="320" w:top="48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 xml:space="preserve">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w:t>
      </w:r>
      <w:r>
        <w:rPr>
          <w:rFonts w:ascii="Times New Roman" w:cs="Times New Roman" w:eastAsia="Times New Roman" w:hAnsi="Times New Roman"/>
          <w:sz w:val="18"/>
          <w:szCs w:val="18"/>
          <w:b w:val="1"/>
          <w:bCs w:val="1"/>
          <w:color w:val="auto"/>
        </w:rPr>
        <w:t>If the non-managing investors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w:t>
      </w:r>
    </w:p>
    <w:p>
      <w:pPr>
        <w:spacing w:after="0" w:line="188"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As more fully discussed in “</w:t>
      </w:r>
      <w:r>
        <w:rPr>
          <w:rFonts w:ascii="Times New Roman" w:cs="Times New Roman" w:eastAsia="Times New Roman" w:hAnsi="Times New Roman"/>
          <w:sz w:val="18"/>
          <w:szCs w:val="18"/>
          <w:b w:val="1"/>
          <w:bCs w:val="1"/>
          <w:i w:val="1"/>
          <w:iCs w:val="1"/>
          <w:color w:val="auto"/>
        </w:rPr>
        <w:t>Management—Conflicts of Interest</w:t>
      </w:r>
      <w:r>
        <w:rPr>
          <w:rFonts w:ascii="Times New Roman" w:cs="Times New Roman" w:eastAsia="Times New Roman" w:hAnsi="Times New Roman"/>
          <w:sz w:val="18"/>
          <w:szCs w:val="18"/>
          <w:b w:val="1"/>
          <w:bCs w:val="1"/>
          <w:color w:val="auto"/>
        </w:rPr>
        <w:t xml:space="preserve">” on page [  ],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w:t>
      </w:r>
      <w:r>
        <w:rPr>
          <w:rFonts w:ascii="Times New Roman" w:cs="Times New Roman" w:eastAsia="Times New Roman" w:hAnsi="Times New Roman"/>
          <w:sz w:val="18"/>
          <w:szCs w:val="18"/>
          <w:color w:val="auto"/>
        </w:rPr>
        <w:t>The low price that our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officers and directors (directly or indirectly) paid for the founder shares creates an incentive whereby our sponsor, officers and directors could potentially make a substantial profit even if we select an acquisition target that subsequently declines in value and is unprofitable for public shareholders. If we are unable to complete our initial business combination within 24 months from the closing of this offering, or by such earlier liquidation date as our board of directors may approve, the founder shares and private placement units held by our insiders may expire worthless, except to the extent they receive liquidating distributions from assets outside the trust account, which could create an incentive for our sponsor, executive officers and directors to complete a transaction even if we select an acquisition target that subsequently declines in value and is unprofitable for public shareholders.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 Additionally, commencing on the date on which our securities are listed on Nasdaq, we will pay an affiliate of our sponsor in an amount equal to $30,000 per month for office space, utilities and secretarial and administrative support made available to us, as described elsewhere in this prospectus. Furthermore, we will pay our Chief Financial Officer up to $15,000 per month for her services to us. Upon consummation of this offering, we will repay a $100,000 loan made to us by our sponsor to cover offering-related and organizational expenses. In the event that following this offering we obtain working capital loans from our sponsor to finance transaction costs related to our initial business combination, up to $1,500,000 of such loans may be convertible into units of the post-business combination entity at a price of $10.00 per unit at the option of our sponsor. Additionally, our sponsor, our officers and directors or their affiliates may be paid finder’s fees, advisory fees, consulting fees or success fees in order to effectuate the completion of our initial business combination. Additionally, following consummation of a business combination, members of our management team will be entitled to reimbursement for any out-of-pocket expenses related to identifying, investigating and completing an initial business combination. As a result, there may be actual or potential material conflicts of interest between members of our management team, our sponsor and its affiliates on one hand, and purchasers in this offering on the other. </w:t>
      </w:r>
      <w:r>
        <w:rPr>
          <w:rFonts w:ascii="Times New Roman" w:cs="Times New Roman" w:eastAsia="Times New Roman" w:hAnsi="Times New Roman"/>
          <w:sz w:val="18"/>
          <w:szCs w:val="18"/>
          <w:b w:val="1"/>
          <w:bCs w:val="1"/>
          <w:color w:val="auto"/>
        </w:rPr>
        <w:t>See the sections titled “</w:t>
      </w:r>
      <w:r>
        <w:rPr>
          <w:rFonts w:ascii="Times New Roman" w:cs="Times New Roman" w:eastAsia="Times New Roman" w:hAnsi="Times New Roman"/>
          <w:sz w:val="18"/>
          <w:szCs w:val="18"/>
          <w:b w:val="1"/>
          <w:bCs w:val="1"/>
          <w:i w:val="1"/>
          <w:iCs w:val="1"/>
          <w:color w:val="auto"/>
        </w:rPr>
        <w:t>Prospectus Summary — Our Sponsor</w:t>
      </w:r>
      <w:r>
        <w:rPr>
          <w:rFonts w:ascii="Times New Roman" w:cs="Times New Roman" w:eastAsia="Times New Roman" w:hAnsi="Times New Roman"/>
          <w:sz w:val="18"/>
          <w:szCs w:val="18"/>
          <w:b w:val="1"/>
          <w:bCs w:val="1"/>
          <w:color w:val="auto"/>
        </w:rPr>
        <w:t>” on page [  ] for further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on our sponsor’s and affiliate’s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Proposed Business — Our Business Combination Process — Sources of Target Businesses”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“Certain Relationships and Related Party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for more information. For more details on related risks,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Risk Factors — Risks Relating to our Search</w:t>
      </w:r>
    </w:p>
    <w:p>
      <w:pPr>
        <w:sectPr>
          <w:pgSz w:w="11900" w:h="16838" w:orient="portrait"/>
          <w:cols w:equalWidth="0" w:num="1">
            <w:col w:w="11100"/>
          </w:cols>
          <w:pgMar w:left="320" w:top="48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 and Consummation of or Inability to Consummate, a Business Combination — We may engage in our initial business combination with one or more target businesses that have relationships with entities that may be affiliated with our sponsor, executive officers or directors, which may raise potential conflicts of interest.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 “</w:t>
      </w:r>
      <w:r>
        <w:rPr>
          <w:rFonts w:ascii="Times New Roman" w:cs="Times New Roman" w:eastAsia="Times New Roman" w:hAnsi="Times New Roman"/>
          <w:sz w:val="17"/>
          <w:szCs w:val="17"/>
          <w:b w:val="1"/>
          <w:bCs w:val="1"/>
          <w:i w:val="1"/>
          <w:iCs w:val="1"/>
          <w:color w:val="auto"/>
        </w:rPr>
        <w:t xml:space="preserve">Risk Factors — Risks Relating to Our Search for, and Consummation of or Inability to Consummate, a Business Combination — “We may engage in our initial business combination with one or more target businesses that have relationships with entities that may be affiliated with our sponsor, executive officers or directors, which may raise potential conflicts of interest.”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 xml:space="preserve"> “Risk</w:t>
      </w:r>
    </w:p>
    <w:p>
      <w:pPr>
        <w:spacing w:after="0" w:line="2" w:lineRule="exact"/>
        <w:rPr>
          <w:sz w:val="20"/>
          <w:szCs w:val="20"/>
          <w:color w:val="auto"/>
        </w:rPr>
      </w:pPr>
    </w:p>
    <w:p>
      <w:pPr>
        <w:jc w:val="both"/>
        <w:ind w:left="120" w:right="1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Factors — Risks Relating to our Search for, and Consummation of or Inability to Consummate, a Business Combination — We are not required to obtain an opinion from an independent investment banking firm or another independent entity, and consequently, an independent source may not confirm that the price we are paying for the business is fair to our shareholders from a financial point of view.”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 “</w:t>
      </w:r>
      <w:r>
        <w:rPr>
          <w:rFonts w:ascii="Times New Roman" w:cs="Times New Roman" w:eastAsia="Times New Roman" w:hAnsi="Times New Roman"/>
          <w:sz w:val="17"/>
          <w:szCs w:val="17"/>
          <w:b w:val="1"/>
          <w:bCs w:val="1"/>
          <w:i w:val="1"/>
          <w:iCs w:val="1"/>
          <w:color w:val="auto"/>
        </w:rPr>
        <w:t>Risk Factors —</w:t>
      </w:r>
    </w:p>
    <w:p>
      <w:pPr>
        <w:spacing w:after="0" w:line="2" w:lineRule="exact"/>
        <w:rPr>
          <w:sz w:val="20"/>
          <w:szCs w:val="20"/>
          <w:color w:val="auto"/>
        </w:rPr>
      </w:pPr>
    </w:p>
    <w:p>
      <w:pPr>
        <w:ind w:left="120" w:right="8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Risks Relating to Our Management Team — 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 “</w:t>
      </w:r>
      <w:r>
        <w:rPr>
          <w:rFonts w:ascii="Times New Roman" w:cs="Times New Roman" w:eastAsia="Times New Roman" w:hAnsi="Times New Roman"/>
          <w:sz w:val="17"/>
          <w:szCs w:val="17"/>
          <w:b w:val="1"/>
          <w:bCs w:val="1"/>
          <w:i w:val="1"/>
          <w:iCs w:val="1"/>
          <w:color w:val="auto"/>
        </w:rPr>
        <w:t xml:space="preserve">Risk Factors — Risks Relating to our Management Team— 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Risk Factors — Risks</w:t>
      </w:r>
    </w:p>
    <w:p>
      <w:pPr>
        <w:spacing w:after="0" w:line="4" w:lineRule="exact"/>
        <w:rPr>
          <w:sz w:val="20"/>
          <w:szCs w:val="20"/>
          <w:color w:val="auto"/>
        </w:rPr>
      </w:pPr>
    </w:p>
    <w:p>
      <w:pPr>
        <w:ind w:left="120" w:right="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Relating to Our Management Team — 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on page</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20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have until the date that is 24 months from the closing of this offering or until such earlier liquidation date as our board of directors may approve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(which interest shall be net of permitted withdrawals), divided by the number of then issued and outstanding public shares, subject to applicable law. If we are unable to complete our initial business combination within the 24-month period, we will redeem 100% of the public shares at a per share price, payable in cash, equal to the aggregate amount then on deposit in the trust account, including interest earned thereon (which interest shall be net of permitted withdrawals and up to $100,000 of interest income to pay liquidation expenses), divided by the number of then issued and outstanding public shares, which redemption will constitute full and complete payment for the public shares and completely extinguish public shareholders’ rights as shareholders (including the right to receive further liquidation or other distributions, if any), subject to our obligations under Cayman Islands law to provide for claims of creditors and subject to the other requirements of applicable law. The redemption rights will also include the requirement that any beneficial owner on whose behalf a redemption right is being exercised must identify itself in order to validly redeem its shares.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is presently no public market for our public units, public shares or public rights. We intend to apply to list our public units on the Nasdaq, under the symbol “GIWWU” on or promptly after the date of this prospectus. We cannot guarantee that our securities will be approved for listing on Nasdaq. The public shares and the public rights constituting the public units will begin separate trading on the 52nd day following the date of this prospectus, unless the underwriters determine that an earlier date is acceptable, and subject to our filing a Current Report on Form 8-K with the SEC containing an audited balance sheet of ours reflecting our receipt of the gross proceeds of this offering and issuing a press release announcing when such separate trading will begin. Once the securities comprising the public units begin separate trading, we expect that our public shares and public rights will be listed on Nasdaq under the symbols “GIW” and “GIWWR,” respectively.</w:t>
      </w:r>
    </w:p>
    <w:p>
      <w:pPr>
        <w:spacing w:after="0" w:line="183"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under applicable federal securities laws and will be subject to reduced public company reporting requirements. Investing in our</w:t>
      </w:r>
    </w:p>
    <w:p>
      <w:pPr>
        <w:sectPr>
          <w:pgSz w:w="11900" w:h="16838" w:orient="portrait"/>
          <w:cols w:equalWidth="0" w:num="1">
            <w:col w:w="11120"/>
          </w:cols>
          <w:pgMar w:left="320" w:top="48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securities involves a high degree of risk.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59 for a discussion of information that should be considered in connection with an investment in our securities. Investors will not be entitled to protections normally afforded to investors in Rule 419 blank check offerings.</w:t>
      </w:r>
    </w:p>
    <w:p>
      <w:pPr>
        <w:spacing w:after="0" w:line="170"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8"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8"/>
          <w:szCs w:val="18"/>
          <w:color w:val="auto"/>
        </w:rPr>
        <w:t>No offer or invitation, whether directly or indirectly, is being or may be made to the public in the Cayman Islands to subscribe for any of our securities.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i w:val="1"/>
                <w:iCs w:val="1"/>
                <w:color w:val="auto"/>
              </w:rPr>
              <w:t>Price to</w:t>
            </w:r>
          </w:p>
        </w:tc>
        <w:tc>
          <w:tcPr>
            <w:tcW w:w="420" w:type="dxa"/>
            <w:vAlign w:val="bottom"/>
          </w:tcPr>
          <w:p>
            <w:pPr>
              <w:spacing w:after="0"/>
              <w:rPr>
                <w:sz w:val="13"/>
                <w:szCs w:val="13"/>
                <w:color w:val="auto"/>
              </w:rPr>
            </w:pPr>
          </w:p>
        </w:tc>
        <w:tc>
          <w:tcPr>
            <w:tcW w:w="13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i w:val="1"/>
                <w:iCs w:val="1"/>
                <w:color w:val="auto"/>
              </w:rPr>
              <w:t>Underwriting</w:t>
            </w:r>
          </w:p>
        </w:tc>
        <w:tc>
          <w:tcPr>
            <w:tcW w:w="12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Proceeds,</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Before</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i w:val="1"/>
                <w:iCs w:val="1"/>
                <w:color w:val="auto"/>
              </w:rPr>
              <w:t>Public</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i w:val="1"/>
                <w:iCs w:val="1"/>
                <w:color w:val="auto"/>
              </w:rPr>
              <w:t>Discount(1)</w:t>
            </w: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Expenses, to us</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0.0455</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220,000,000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right="20" w:hanging="438"/>
        <w:spacing w:after="0" w:line="242" w:lineRule="auto"/>
        <w:tabs>
          <w:tab w:leader="none" w:pos="56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$0.0455 per unit or $1,000,000 in the aggregate (including a $250,000 referral fee to be paid by the underwriters to United First Partners LLC) (or $0.0405 per unit or $1,025,000 in the aggregate if the underwriters’ over-allotment option to purchase additional public units is exercised in full), is payable upon the closing of this offering. There is no deferred underwriting commission payable to the underwriters. See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for a description of compensation payable to the underwriters.</w:t>
      </w:r>
    </w:p>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consummation of the offering, $10.00 per public unit sold in this offering (whether or not the over-allotment option has been exercised, and whether exercised in full or in part) will be deposited into a segregated trust account located in the United States managed by Continental Stock Transfer &amp; Trust Company acting as trustee. Except as described in this prospectus, these funds will not be released to us until the earlier of (1) the completion of our initial business combination within the required time period or (2) our redemption of 100% of the outstanding public shares if we have not completed an initial business combination in the required time period. We are exempt from rules promulgated by the U.S. Securities and Exchange Commission (the “SEC”) to protect investors in blank check companies, such as Rule 419. </w:t>
      </w:r>
      <w:r>
        <w:rPr>
          <w:rFonts w:ascii="Times New Roman" w:cs="Times New Roman" w:eastAsia="Times New Roman" w:hAnsi="Times New Roman"/>
          <w:sz w:val="18"/>
          <w:szCs w:val="18"/>
          <w:b w:val="1"/>
          <w:bCs w:val="1"/>
          <w:color w:val="auto"/>
        </w:rPr>
        <w:t>See the risk factor 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You will not be entitled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to protections normally afforded to investors of many other blank check companies.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on page [  ] and</w:t>
      </w:r>
      <w:r>
        <w:rPr>
          <w:rFonts w:ascii="Times New Roman" w:cs="Times New Roman" w:eastAsia="Times New Roman" w:hAnsi="Times New Roman"/>
          <w:sz w:val="18"/>
          <w:szCs w:val="18"/>
          <w:b w:val="1"/>
          <w:bCs w:val="1"/>
          <w:i w:val="1"/>
          <w:iCs w:val="1"/>
          <w:color w:val="auto"/>
        </w:rPr>
        <w:t xml:space="preserve"> “Proposed Business — Comparison of This Offering to Those of Blank Check Companies Subject to Rule 419” </w:t>
      </w:r>
      <w:r>
        <w:rPr>
          <w:rFonts w:ascii="Times New Roman" w:cs="Times New Roman" w:eastAsia="Times New Roman" w:hAnsi="Times New Roman"/>
          <w:sz w:val="18"/>
          <w:szCs w:val="18"/>
          <w:b w:val="1"/>
          <w:bCs w:val="1"/>
          <w:color w:val="auto"/>
        </w:rPr>
        <w:t>on page [  ] for further information.</w:t>
      </w:r>
    </w:p>
    <w:p>
      <w:pPr>
        <w:spacing w:after="0" w:line="18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illustrates the difference between the public offering price per unit and our net tangible book value per share, as adjusted to reflect various potential redemption levels that may occur in connection with the closing of our initial business combination, which we refer to as “Adjusted NTBVPS,” on a pro forma basis to give effect to this offering and the issuance of the private placement units, assuming the exercise in full and no exercise of the over-allotment option. Adjusted NTBVPS excludes the effect of the consummation of our initial business combination or any related transactions or expenses. </w:t>
      </w:r>
      <w:r>
        <w:rPr>
          <w:rFonts w:ascii="Times New Roman" w:cs="Times New Roman" w:eastAsia="Times New Roman" w:hAnsi="Times New Roman"/>
          <w:sz w:val="18"/>
          <w:szCs w:val="18"/>
          <w:b w:val="1"/>
          <w:bCs w:val="1"/>
          <w:color w:val="auto"/>
        </w:rPr>
        <w:t>See the section titled “</w:t>
      </w:r>
      <w:r>
        <w:rPr>
          <w:rFonts w:ascii="Times New Roman" w:cs="Times New Roman" w:eastAsia="Times New Roman" w:hAnsi="Times New Roman"/>
          <w:sz w:val="18"/>
          <w:szCs w:val="18"/>
          <w:b w:val="1"/>
          <w:bCs w:val="1"/>
          <w:i w:val="1"/>
          <w:iCs w:val="1"/>
          <w:color w:val="auto"/>
        </w:rPr>
        <w:t>Dilution</w:t>
      </w:r>
      <w:r>
        <w:rPr>
          <w:rFonts w:ascii="Times New Roman" w:cs="Times New Roman" w:eastAsia="Times New Roman" w:hAnsi="Times New Roman"/>
          <w:sz w:val="18"/>
          <w:szCs w:val="18"/>
          <w:b w:val="1"/>
          <w:bCs w:val="1"/>
          <w:color w:val="auto"/>
        </w:rPr>
        <w:t>” on page [  ] for more information.</w:t>
      </w:r>
    </w:p>
    <w:p>
      <w:pPr>
        <w:sectPr>
          <w:pgSz w:w="11900" w:h="16838" w:orient="portrait"/>
          <w:cols w:equalWidth="0" w:num="1">
            <w:col w:w="11080"/>
          </w:cols>
          <w:pgMar w:left="320" w:top="481" w:right="499" w:bottom="1440" w:gutter="0" w:footer="0" w:header="0"/>
        </w:sectPr>
      </w:pP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Offering Price of</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$10.00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-3175</wp:posOffset>
            </wp:positionV>
            <wp:extent cx="6591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Adjusted</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NTBVPS</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$6.96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$6.98</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As of July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16510</wp:posOffset>
            </wp:positionV>
            <wp:extent cx="6952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26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25% of Maximum</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50% of Maximum</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75% of Maximum</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64"/>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64"/>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64"/>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84"/>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NTBVPS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NTBVPS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NTBVPS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NTBVPS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280" w:type="dxa"/>
            <w:vAlign w:val="bottom"/>
          </w:tcPr>
          <w:p>
            <w:pPr>
              <w:spacing w:after="0"/>
              <w:rPr>
                <w:sz w:val="12"/>
                <w:szCs w:val="12"/>
                <w:color w:val="auto"/>
              </w:rPr>
            </w:pPr>
          </w:p>
        </w:tc>
        <w:tc>
          <w:tcPr>
            <w:tcW w:w="5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80" w:type="dxa"/>
            <w:vAlign w:val="bottom"/>
          </w:tcPr>
          <w:p>
            <w:pPr>
              <w:spacing w:after="0"/>
              <w:rPr>
                <w:sz w:val="12"/>
                <w:szCs w:val="12"/>
                <w:color w:val="auto"/>
              </w:rPr>
            </w:pPr>
          </w:p>
        </w:tc>
        <w:tc>
          <w:tcPr>
            <w:tcW w:w="5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7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30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300" w:type="dxa"/>
            <w:vAlign w:val="bottom"/>
          </w:tcPr>
          <w:p>
            <w:pPr>
              <w:spacing w:after="0"/>
              <w:rPr>
                <w:sz w:val="12"/>
                <w:szCs w:val="12"/>
                <w:color w:val="auto"/>
              </w:rPr>
            </w:pPr>
          </w:p>
        </w:tc>
        <w:tc>
          <w:tcPr>
            <w:tcW w:w="5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73"/>
        </w:trPr>
        <w:tc>
          <w:tcPr>
            <w:tcW w:w="7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NTBVPS</w:t>
            </w:r>
          </w:p>
        </w:tc>
        <w:tc>
          <w:tcPr>
            <w:tcW w:w="280" w:type="dxa"/>
            <w:vAlign w:val="bottom"/>
          </w:tcPr>
          <w:p>
            <w:pPr>
              <w:spacing w:after="0"/>
              <w:rPr>
                <w:sz w:val="15"/>
                <w:szCs w:val="15"/>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NTBVPS</w:t>
            </w:r>
          </w:p>
        </w:tc>
        <w:tc>
          <w:tcPr>
            <w:tcW w:w="280" w:type="dxa"/>
            <w:vAlign w:val="bottom"/>
          </w:tcPr>
          <w:p>
            <w:pPr>
              <w:spacing w:after="0"/>
              <w:rPr>
                <w:sz w:val="15"/>
                <w:szCs w:val="15"/>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NTBVPS</w:t>
            </w:r>
          </w:p>
        </w:tc>
        <w:tc>
          <w:tcPr>
            <w:tcW w:w="30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NTBVPS</w:t>
            </w:r>
          </w:p>
        </w:tc>
        <w:tc>
          <w:tcPr>
            <w:tcW w:w="300" w:type="dxa"/>
            <w:vAlign w:val="bottom"/>
          </w:tcPr>
          <w:p>
            <w:pPr>
              <w:spacing w:after="0"/>
              <w:rPr>
                <w:sz w:val="15"/>
                <w:szCs w:val="15"/>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680" w:type="dxa"/>
            <w:vAlign w:val="bottom"/>
            <w:tcBorders>
              <w:top w:val="single" w:sz="8" w:color="auto"/>
            </w:tcBorders>
            <w:gridSpan w:val="10"/>
          </w:tcPr>
          <w:p>
            <w:pPr>
              <w:ind w:left="20"/>
              <w:spacing w:after="0" w:line="191" w:lineRule="exact"/>
              <w:rPr>
                <w:sz w:val="20"/>
                <w:szCs w:val="20"/>
                <w:color w:val="auto"/>
              </w:rPr>
            </w:pPr>
            <w:r>
              <w:rPr>
                <w:rFonts w:ascii="Times New Roman" w:cs="Times New Roman" w:eastAsia="Times New Roman" w:hAnsi="Times New Roman"/>
                <w:sz w:val="18"/>
                <w:szCs w:val="18"/>
                <w:i w:val="1"/>
                <w:iCs w:val="1"/>
                <w:color w:val="auto"/>
              </w:rPr>
              <w:t>Assuming No Exercise of Over-Allotment Option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20" w:type="dxa"/>
            <w:vAlign w:val="bottom"/>
            <w:gridSpan w:val="11"/>
          </w:tcPr>
          <w:p>
            <w:pPr>
              <w:ind w:left="320"/>
              <w:spacing w:after="0"/>
              <w:rPr>
                <w:sz w:val="20"/>
                <w:szCs w:val="20"/>
                <w:color w:val="auto"/>
              </w:rPr>
            </w:pPr>
            <w:r>
              <w:rPr>
                <w:rFonts w:ascii="Times New Roman" w:cs="Times New Roman" w:eastAsia="Times New Roman" w:hAnsi="Times New Roman"/>
                <w:sz w:val="18"/>
                <w:szCs w:val="18"/>
                <w:i w:val="1"/>
                <w:iCs w:val="1"/>
                <w:color w:val="auto"/>
              </w:rPr>
              <w:t>Assuming Full Exercise of Over-Allotment Option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20"/>
                <w:szCs w:val="20"/>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-556260</wp:posOffset>
            </wp:positionV>
            <wp:extent cx="698690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905" cy="145415"/>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-273685</wp:posOffset>
            </wp:positionV>
            <wp:extent cx="698690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6905" cy="137160"/>
                    </a:xfrm>
                    <a:prstGeom prst="rect">
                      <a:avLst/>
                    </a:prstGeom>
                    <a:noFill/>
                  </pic:spPr>
                </pic:pic>
              </a:graphicData>
            </a:graphic>
          </wp:anchor>
        </w:drawing>
      </w:r>
    </w:p>
    <w:p>
      <w:pPr>
        <w:sectPr>
          <w:pgSz w:w="11900" w:h="16838" w:orient="portrait"/>
          <w:cols w:equalWidth="0" w:num="2">
            <w:col w:w="3080" w:space="720"/>
            <w:col w:w="7280"/>
          </w:cols>
          <w:pgMar w:left="320" w:top="481" w:right="4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underwriters are offering the public units on a firm commitment basis. The underwriters expect to deliver the public units to purchasers on or about, [X], 2025,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200660</wp:posOffset>
            </wp:positionV>
            <wp:extent cx="1464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u w:val="single" w:color="auto"/>
          <w:color w:val="auto"/>
        </w:rPr>
        <w:t>Sole Book-Running Manager</w:t>
      </w: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 Boral Capital</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1">
            <w:col w:w="11020"/>
          </w:cols>
          <w:pgMar w:left="320" w:top="481"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We have not, and the underwriters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current only as of its date.</w:t>
      </w:r>
    </w:p>
    <w:p>
      <w:pPr>
        <w:spacing w:after="0" w:line="39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5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Summary</w:t>
            </w: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EE"/>
                <w:w w:val="98"/>
              </w:rPr>
              <w:t>Summary Financial Data</w:t>
            </w:r>
          </w:p>
        </w:tc>
        <w:tc>
          <w:tcPr>
            <w:tcW w:w="6760" w:type="dxa"/>
            <w:vAlign w:val="bottom"/>
            <w:gridSpan w:val="8"/>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4140" w:type="dxa"/>
            <w:vAlign w:val="bottom"/>
            <w:tcBorders>
              <w:top w:val="single" w:sz="8" w:color="0000EE"/>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EE"/>
              </w:rPr>
              <w:t>Risks</w:t>
            </w:r>
          </w:p>
        </w:tc>
        <w:tc>
          <w:tcPr>
            <w:tcW w:w="4420" w:type="dxa"/>
            <w:vAlign w:val="bottom"/>
            <w:gridSpan w:val="3"/>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9"/>
              </w:rPr>
              <w:t>Use of Proceeds</w:t>
            </w:r>
          </w:p>
        </w:tc>
        <w:tc>
          <w:tcPr>
            <w:tcW w:w="7380" w:type="dxa"/>
            <w:vAlign w:val="bottom"/>
            <w:gridSpan w:val="12"/>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118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80" w:type="dxa"/>
            <w:vAlign w:val="bottom"/>
            <w:gridSpan w:val="12"/>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Dilution</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8"/>
              </w:rPr>
              <w:t>Capitalization</w:t>
            </w:r>
          </w:p>
        </w:tc>
        <w:tc>
          <w:tcPr>
            <w:tcW w:w="7540" w:type="dxa"/>
            <w:vAlign w:val="bottom"/>
            <w:gridSpan w:val="13"/>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6460" w:type="dxa"/>
            <w:vAlign w:val="bottom"/>
            <w:tcBorders>
              <w:bottom w:val="single" w:sz="8" w:color="0000EE"/>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1360" w:type="dxa"/>
            <w:vAlign w:val="bottom"/>
            <w:tcBorders>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EE"/>
                <w:w w:val="98"/>
              </w:rPr>
              <w:t>Proposed Business</w:t>
            </w:r>
          </w:p>
        </w:tc>
        <w:tc>
          <w:tcPr>
            <w:tcW w:w="7200" w:type="dxa"/>
            <w:vAlign w:val="bottom"/>
            <w:gridSpan w:val="11"/>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Management</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167</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EE"/>
                <w:w w:val="99"/>
              </w:rPr>
              <w:t>Principal Shareholders</w:t>
            </w:r>
          </w:p>
        </w:tc>
        <w:tc>
          <w:tcPr>
            <w:tcW w:w="6920" w:type="dxa"/>
            <w:vAlign w:val="bottom"/>
            <w:gridSpan w:val="10"/>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184</w:t>
            </w:r>
          </w:p>
        </w:tc>
      </w:tr>
      <w:tr>
        <w:trPr>
          <w:trHeight w:val="196"/>
        </w:trPr>
        <w:tc>
          <w:tcPr>
            <w:tcW w:w="3840" w:type="dxa"/>
            <w:vAlign w:val="bottom"/>
            <w:tcBorders>
              <w:bottom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4720" w:type="dxa"/>
            <w:vAlign w:val="bottom"/>
            <w:gridSpan w:val="4"/>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187</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190</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Securities Eligible For Future Sale</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207</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212</w:t>
            </w:r>
          </w:p>
        </w:tc>
      </w:tr>
      <w:tr>
        <w:trPr>
          <w:trHeight w:val="196"/>
        </w:trPr>
        <w:tc>
          <w:tcPr>
            <w:tcW w:w="980" w:type="dxa"/>
            <w:vAlign w:val="bottom"/>
            <w:tcBorders>
              <w:top w:val="single" w:sz="8" w:color="0000EE"/>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8"/>
              </w:rPr>
              <w:t>Underwriting</w:t>
            </w:r>
          </w:p>
        </w:tc>
        <w:tc>
          <w:tcPr>
            <w:tcW w:w="3240" w:type="dxa"/>
            <w:vAlign w:val="bottom"/>
            <w:tcBorders>
              <w:top w:val="single" w:sz="8" w:color="0000EE"/>
            </w:tcBorders>
            <w:gridSpan w:val="13"/>
          </w:tcPr>
          <w:p>
            <w:pPr>
              <w:spacing w:after="0"/>
              <w:rPr>
                <w:sz w:val="17"/>
                <w:szCs w:val="17"/>
                <w:color w:val="auto"/>
              </w:rPr>
            </w:pPr>
          </w:p>
        </w:tc>
        <w:tc>
          <w:tcPr>
            <w:tcW w:w="4340" w:type="dxa"/>
            <w:vAlign w:val="bottom"/>
            <w:gridSpan w:val="2"/>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222</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Legal Matters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230</w:t>
            </w:r>
          </w:p>
        </w:tc>
      </w:tr>
      <w:tr>
        <w:trPr>
          <w:trHeight w:val="196"/>
        </w:trPr>
        <w:tc>
          <w:tcPr>
            <w:tcW w:w="600" w:type="dxa"/>
            <w:vAlign w:val="bottom"/>
            <w:tcBorders>
              <w:top w:val="single" w:sz="8" w:color="0000EE"/>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Borders>
              <w:top w:val="single" w:sz="8" w:color="0000EE"/>
            </w:tcBorders>
            <w:gridSpan w:val="5"/>
          </w:tcPr>
          <w:p>
            <w:pPr>
              <w:spacing w:after="0"/>
              <w:rPr>
                <w:sz w:val="17"/>
                <w:szCs w:val="17"/>
                <w:color w:val="auto"/>
              </w:rPr>
            </w:pPr>
          </w:p>
        </w:tc>
        <w:tc>
          <w:tcPr>
            <w:tcW w:w="7560" w:type="dxa"/>
            <w:vAlign w:val="bottom"/>
            <w:gridSpan w:val="14"/>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231</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232</w:t>
            </w:r>
          </w:p>
        </w:tc>
      </w:tr>
      <w:tr>
        <w:trPr>
          <w:trHeight w:val="196"/>
        </w:trPr>
        <w:tc>
          <w:tcPr>
            <w:tcW w:w="3240" w:type="dxa"/>
            <w:vAlign w:val="bottom"/>
            <w:tcBorders>
              <w:top w:val="single" w:sz="8" w:color="0000EE"/>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5320" w:type="dxa"/>
            <w:vAlign w:val="bottom"/>
            <w:gridSpan w:val="5"/>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120" w:right="120"/>
        <w:spacing w:after="0" w:line="242" w:lineRule="auto"/>
        <w:rPr>
          <w:sz w:val="20"/>
          <w:szCs w:val="20"/>
          <w:color w:val="auto"/>
        </w:rPr>
      </w:pPr>
      <w:r>
        <w:rPr>
          <w:rFonts w:ascii="Times New Roman" w:cs="Times New Roman" w:eastAsia="Times New Roman" w:hAnsi="Times New Roman"/>
          <w:sz w:val="17"/>
          <w:szCs w:val="17"/>
          <w:color w:val="auto"/>
        </w:rPr>
        <w:t xml:space="preserve">This prospectus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1"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151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1350" cy="6151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40" w:firstLine="425"/>
        <w:spacing w:after="0" w:line="289" w:lineRule="auto"/>
        <w:rPr>
          <w:sz w:val="20"/>
          <w:szCs w:val="20"/>
          <w:color w:val="auto"/>
        </w:rPr>
      </w:pPr>
      <w:r>
        <w:rPr>
          <w:rFonts w:ascii="Times New Roman" w:cs="Times New Roman" w:eastAsia="Times New Roman" w:hAnsi="Times New Roman"/>
          <w:sz w:val="17"/>
          <w:szCs w:val="17"/>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Unless otherwise stated in this prospectus or the context otherwise requires, references to:</w:t>
      </w:r>
    </w:p>
    <w:p>
      <w:pPr>
        <w:spacing w:after="0" w:line="130" w:lineRule="exact"/>
        <w:rPr>
          <w:sz w:val="20"/>
          <w:szCs w:val="20"/>
          <w:color w:val="auto"/>
        </w:rPr>
      </w:pPr>
    </w:p>
    <w:p>
      <w:pPr>
        <w:ind w:left="1240" w:right="340" w:hanging="409"/>
        <w:spacing w:after="0" w:line="283"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“amended and restated memorandum and articles of association” refer to the amended and restated memorandum and articles of association of the company which will be adopted prior to the consummation of this offering;</w:t>
      </w:r>
    </w:p>
    <w:p>
      <w:pPr>
        <w:spacing w:after="0" w:line="64"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“combined team” refer to our management team and our other advisors, collectively;</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Act” are to the Companies Act (As Revised) of the Cayman Islands as the same may be amended from time to time;</w:t>
      </w:r>
    </w:p>
    <w:p>
      <w:pPr>
        <w:spacing w:after="0" w:line="130" w:lineRule="exact"/>
        <w:rPr>
          <w:rFonts w:ascii="Times New Roman" w:cs="Times New Roman" w:eastAsia="Times New Roman" w:hAnsi="Times New Roman"/>
          <w:sz w:val="18"/>
          <w:szCs w:val="18"/>
          <w:color w:val="auto"/>
        </w:rPr>
      </w:pPr>
    </w:p>
    <w:p>
      <w:pPr>
        <w:ind w:left="1240" w:right="60" w:hanging="409"/>
        <w:spacing w:after="0" w:line="25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“completion window” are to (i) 24 months from the closing of this offering; or (ii) or such earlier liquidation date as our board of directors may approve, in which we must complete an initial business combination; or (iii) such other time period in which we must complete an initial business combination pursuant to an amendment to our amended and restated memorandum and articles of association. Our shareholders can also vote at any time to amend our amended and restated memorandum and articles of association to modify the amount of time we will have to complete an initial business combination, in which case our public shareholders will be offered an opportunity to redeem their public shares;</w:t>
      </w:r>
    </w:p>
    <w:p>
      <w:pPr>
        <w:spacing w:after="0" w:line="91"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are to our directors (including our director nominees named in this prospectus);</w:t>
      </w:r>
    </w:p>
    <w:p>
      <w:pPr>
        <w:spacing w:after="0" w:line="130" w:lineRule="exact"/>
        <w:rPr>
          <w:rFonts w:ascii="Times New Roman" w:cs="Times New Roman" w:eastAsia="Times New Roman" w:hAnsi="Times New Roman"/>
          <w:sz w:val="18"/>
          <w:szCs w:val="18"/>
          <w:color w:val="auto"/>
        </w:rPr>
      </w:pPr>
    </w:p>
    <w:p>
      <w:pPr>
        <w:ind w:left="1240" w:right="180" w:hanging="409"/>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are to Class B ordinary shares initially purchased by our sponsor in a private placement prior to this offering and then partially sold to four of our directors and the Class A ordinary shares that will be issued upon the automatic conversion of the Class B ordinary shares at the time of our initial business combination or earlier at the option of the holders thereof as described herein (such Class A ordinary shares will not be “public shares”);</w:t>
      </w:r>
    </w:p>
    <w:p>
      <w:pPr>
        <w:spacing w:after="0" w:line="83" w:lineRule="exact"/>
        <w:rPr>
          <w:rFonts w:ascii="Times New Roman" w:cs="Times New Roman" w:eastAsia="Times New Roman" w:hAnsi="Times New Roman"/>
          <w:sz w:val="18"/>
          <w:szCs w:val="18"/>
          <w:color w:val="auto"/>
        </w:rPr>
      </w:pPr>
    </w:p>
    <w:p>
      <w:pPr>
        <w:ind w:left="1240" w:right="100" w:hanging="409"/>
        <w:spacing w:after="0" w:line="267"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shareholders” refer to our sponsor (or non-affiliated investors to which our sponsor assigns this subscription for the private placement units and as a result, transfers any founder shares), the non-managing investors and our directors and officer to the extent they hold the founder shares immediately prior to the consummation of this offering;</w:t>
      </w:r>
    </w:p>
    <w:p>
      <w:pPr>
        <w:spacing w:after="0" w:line="77" w:lineRule="exact"/>
        <w:rPr>
          <w:rFonts w:ascii="Times New Roman" w:cs="Times New Roman" w:eastAsia="Times New Roman" w:hAnsi="Times New Roman"/>
          <w:sz w:val="18"/>
          <w:szCs w:val="18"/>
          <w:color w:val="auto"/>
        </w:rPr>
      </w:pPr>
    </w:p>
    <w:p>
      <w:pPr>
        <w:ind w:left="1240" w:right="140" w:hanging="409"/>
        <w:spacing w:after="0" w:line="283"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“insiders” are to our sponsor and all of our officers and directors to the extent they hold the founder shares immediately prior to the consummation of this offering and / or purchase private placement units concurrently with this offering;</w:t>
      </w:r>
    </w:p>
    <w:p>
      <w:pPr>
        <w:spacing w:after="0" w:line="64"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 are to the Investment Company Act of 1940, as amended;</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or our “management team” refer to our directors and executive officers;</w:t>
      </w:r>
    </w:p>
    <w:p>
      <w:pPr>
        <w:spacing w:after="0" w:line="130" w:lineRule="exact"/>
        <w:rPr>
          <w:rFonts w:ascii="Times New Roman" w:cs="Times New Roman" w:eastAsia="Times New Roman" w:hAnsi="Times New Roman"/>
          <w:sz w:val="18"/>
          <w:szCs w:val="18"/>
          <w:color w:val="auto"/>
        </w:rPr>
      </w:pPr>
    </w:p>
    <w:p>
      <w:pPr>
        <w:ind w:left="1240" w:hanging="409"/>
        <w:spacing w:after="0" w:line="277"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non-managing investors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refer to eight groups of institutional accredited investors (none of which are affiliated with our sponsor,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member of our management, other members of our sponsor or any other investor) that have committed to purchase an aggregate of</w:t>
      </w:r>
    </w:p>
    <w:p>
      <w:pPr>
        <w:ind w:left="1240"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 allotment option is exercised in full) from the company in a private placement that will close simultaneously with this offering;</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81"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014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1350" cy="60147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40" w:hanging="409"/>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“ordinary resolution” are to a resolution of the company passed by a simple majority of the votes cast by such shareholders as, being entitled to do so, vote in person or, where proxies are allowed, by proxy at a general meeting of the company, or a resolution approved in writing by all of the holders of the issued shares entitled to vote on such matter (or such lower threshold as may be allowed under the Companies Act from time to time);;</w:t>
      </w:r>
    </w:p>
    <w:p>
      <w:pPr>
        <w:spacing w:after="0" w:line="83"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“ordinary shares” are to our Class A ordinary shares and our Class B ordinary shares;</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“permitted withdrawals” refer to amounts withdrawn to fund our working capital requirements, subject to an annual limit of</w:t>
      </w:r>
    </w:p>
    <w:p>
      <w:pPr>
        <w:spacing w:after="0" w:line="29" w:lineRule="exact"/>
        <w:rPr>
          <w:rFonts w:ascii="Times New Roman" w:cs="Times New Roman" w:eastAsia="Times New Roman" w:hAnsi="Times New Roman"/>
          <w:sz w:val="18"/>
          <w:szCs w:val="18"/>
          <w:i w:val="1"/>
          <w:iCs w:val="1"/>
          <w:color w:val="auto"/>
        </w:rPr>
      </w:pPr>
    </w:p>
    <w:p>
      <w:pPr>
        <w:ind w:left="1240" w:right="18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$1,000,000, and to pay our taxes, if any, and such withdrawals can only be made from interest and not from the principal held in the trust account;</w:t>
      </w:r>
    </w:p>
    <w:p>
      <w:pPr>
        <w:spacing w:after="0" w:line="83" w:lineRule="exact"/>
        <w:rPr>
          <w:rFonts w:ascii="Times New Roman" w:cs="Times New Roman" w:eastAsia="Times New Roman" w:hAnsi="Times New Roman"/>
          <w:sz w:val="18"/>
          <w:szCs w:val="18"/>
          <w:i w:val="1"/>
          <w:iCs w:val="1"/>
          <w:color w:val="auto"/>
        </w:rPr>
      </w:pPr>
    </w:p>
    <w:p>
      <w:pPr>
        <w:ind w:left="1240" w:right="420" w:hanging="409"/>
        <w:spacing w:after="0" w:line="283"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investor shares” refer to 2,964,203 Class B ordinary shares to be purchased by the non-managing investors in a private placement, of which 386,681 Class B ordinary shares remain subject to forfeiture;</w:t>
      </w:r>
    </w:p>
    <w:p>
      <w:pPr>
        <w:spacing w:after="0" w:line="64" w:lineRule="exact"/>
        <w:rPr>
          <w:rFonts w:ascii="Times New Roman" w:cs="Times New Roman" w:eastAsia="Times New Roman" w:hAnsi="Times New Roman"/>
          <w:sz w:val="18"/>
          <w:szCs w:val="18"/>
          <w:color w:val="auto"/>
        </w:rPr>
      </w:pPr>
    </w:p>
    <w:p>
      <w:pPr>
        <w:ind w:left="1240" w:right="420" w:hanging="409"/>
        <w:spacing w:after="0" w:line="235"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rights” refer to the rights to receive 1/10</w:t>
      </w:r>
      <w:r>
        <w:rPr>
          <w:rFonts w:ascii="Times New Roman" w:cs="Times New Roman" w:eastAsia="Times New Roman" w:hAnsi="Times New Roman"/>
          <w:sz w:val="22"/>
          <w:szCs w:val="22"/>
          <w:i w:val="1"/>
          <w:iCs w:val="1"/>
          <w:color w:val="auto"/>
          <w:vertAlign w:val="superscript"/>
        </w:rPr>
        <w:t>th</w:t>
      </w:r>
      <w:r>
        <w:rPr>
          <w:rFonts w:ascii="Times New Roman" w:cs="Times New Roman" w:eastAsia="Times New Roman" w:hAnsi="Times New Roman"/>
          <w:sz w:val="18"/>
          <w:szCs w:val="18"/>
          <w:i w:val="1"/>
          <w:iCs w:val="1"/>
          <w:color w:val="auto"/>
        </w:rPr>
        <w:t xml:space="preserve"> of one Class A ordinary share upon the consummation of an initial business combination included in the private placement units;</w:t>
      </w:r>
    </w:p>
    <w:p>
      <w:pPr>
        <w:spacing w:after="0" w:line="102" w:lineRule="exact"/>
        <w:rPr>
          <w:rFonts w:ascii="Times New Roman" w:cs="Times New Roman" w:eastAsia="Times New Roman" w:hAnsi="Times New Roman"/>
          <w:sz w:val="18"/>
          <w:szCs w:val="18"/>
          <w:color w:val="auto"/>
        </w:rPr>
      </w:pPr>
    </w:p>
    <w:p>
      <w:pPr>
        <w:ind w:left="1240" w:right="300" w:hanging="409"/>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shares” refer to (i) 95,200 Class A ordinary shares included in private placement units to be purchased by the insiders (or non-affiliated investors to which our sponsor assigns this subscription for the private placement units) in a private placement concurrently with this offering, and (ii) 242,475 Class A ordinary shares (or 262,457 Class A ordinary shares if the underwriters exercise their over-allotment option in full) included in private placement units to be purchased by the non-managing investors in a private placement concurrently with this offering;</w:t>
      </w:r>
    </w:p>
    <w:p>
      <w:pPr>
        <w:spacing w:after="0" w:line="87" w:lineRule="exact"/>
        <w:rPr>
          <w:rFonts w:ascii="Times New Roman" w:cs="Times New Roman" w:eastAsia="Times New Roman" w:hAnsi="Times New Roman"/>
          <w:sz w:val="18"/>
          <w:szCs w:val="18"/>
          <w:color w:val="auto"/>
        </w:rPr>
      </w:pPr>
    </w:p>
    <w:p>
      <w:pPr>
        <w:ind w:left="1240" w:right="80" w:hanging="409"/>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units” refer to the units issued in private placements with the insiders (or non-affiliated investors to which our sponsor assigns this subscription for the private placement units) for 95,200 private placement units, and the non-managing investors for 242,475 private placement units (or 262,457 private placement units if the underwriters exercise their over-allotment option in full) that will occur concurrently with the closing of this offering, which private placement units are identical to the public units sold in this offering, subject to certain limited exceptions as described in this prospectus;</w:t>
      </w:r>
    </w:p>
    <w:p>
      <w:pPr>
        <w:spacing w:after="0" w:line="87" w:lineRule="exact"/>
        <w:rPr>
          <w:rFonts w:ascii="Times New Roman" w:cs="Times New Roman" w:eastAsia="Times New Roman" w:hAnsi="Times New Roman"/>
          <w:sz w:val="18"/>
          <w:szCs w:val="18"/>
          <w:color w:val="auto"/>
        </w:rPr>
      </w:pPr>
    </w:p>
    <w:p>
      <w:pPr>
        <w:ind w:left="1240" w:right="720" w:hanging="409"/>
        <w:spacing w:after="0" w:line="235"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rights” are to the rights to receive 1/10</w:t>
      </w:r>
      <w:r>
        <w:rPr>
          <w:rFonts w:ascii="Times New Roman" w:cs="Times New Roman" w:eastAsia="Times New Roman" w:hAnsi="Times New Roman"/>
          <w:sz w:val="22"/>
          <w:szCs w:val="22"/>
          <w:i w:val="1"/>
          <w:iCs w:val="1"/>
          <w:color w:val="auto"/>
          <w:vertAlign w:val="superscript"/>
        </w:rPr>
        <w:t>th</w:t>
      </w:r>
      <w:r>
        <w:rPr>
          <w:rFonts w:ascii="Times New Roman" w:cs="Times New Roman" w:eastAsia="Times New Roman" w:hAnsi="Times New Roman"/>
          <w:sz w:val="18"/>
          <w:szCs w:val="18"/>
          <w:i w:val="1"/>
          <w:iCs w:val="1"/>
          <w:color w:val="auto"/>
        </w:rPr>
        <w:t xml:space="preserve"> of one Class A ordinary share upon the consummation of an initial business combination that are being sold as part of the public units in this offering;</w:t>
      </w:r>
    </w:p>
    <w:p>
      <w:pPr>
        <w:spacing w:after="0" w:line="102" w:lineRule="exact"/>
        <w:rPr>
          <w:rFonts w:ascii="Times New Roman" w:cs="Times New Roman" w:eastAsia="Times New Roman" w:hAnsi="Times New Roman"/>
          <w:sz w:val="18"/>
          <w:szCs w:val="18"/>
          <w:color w:val="auto"/>
        </w:rPr>
      </w:pPr>
    </w:p>
    <w:p>
      <w:pPr>
        <w:ind w:left="1240" w:right="100" w:hanging="409"/>
        <w:spacing w:after="0" w:line="267"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shares” are to our Class A ordinary shares sold as part of the public units in this offering (whether they are purchased in this offering or thereafter on the open market; such Class A ordinary shares exclude private placement shares and any Class A ordinary shares that are issued upon conversion of our Class B ordinary shares);</w:t>
      </w:r>
    </w:p>
    <w:p>
      <w:pPr>
        <w:spacing w:after="0" w:line="77" w:lineRule="exact"/>
        <w:rPr>
          <w:rFonts w:ascii="Times New Roman" w:cs="Times New Roman" w:eastAsia="Times New Roman" w:hAnsi="Times New Roman"/>
          <w:sz w:val="18"/>
          <w:szCs w:val="18"/>
          <w:color w:val="auto"/>
        </w:rPr>
      </w:pPr>
    </w:p>
    <w:p>
      <w:pPr>
        <w:ind w:left="1240" w:right="680" w:hanging="409"/>
        <w:spacing w:after="0" w:line="267"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shareholders” refer to the holders of our public shares, including our sponsor (as defined below), any non-managing investors, executive officers and directors to the extent they purchase public shares, provided that their status as “public shareholders” shall only exist with respect to such public shares;</w:t>
      </w:r>
    </w:p>
    <w:p>
      <w:pPr>
        <w:spacing w:after="0" w:line="77"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refer to the public rights and the private placement rights;</w:t>
      </w:r>
    </w:p>
    <w:p>
      <w:pPr>
        <w:spacing w:after="0" w:line="130" w:lineRule="exact"/>
        <w:rPr>
          <w:rFonts w:ascii="Times New Roman" w:cs="Times New Roman" w:eastAsia="Times New Roman" w:hAnsi="Times New Roman"/>
          <w:sz w:val="18"/>
          <w:szCs w:val="18"/>
          <w:color w:val="auto"/>
        </w:rPr>
      </w:pPr>
    </w:p>
    <w:p>
      <w:pPr>
        <w:ind w:left="1240" w:right="20" w:hanging="409"/>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resolution” are to a resolution of our company passed by at least a two-thirds (2/3) majority (or such higher approval threshold as specified in our company’s amended and restated memorandum and articles of association) of the votes cast by such shareholders as, being entitled to do so, vote in person or, where proxies are allowed, by proxy at a general meeting of our company of which notice specifying the intention to propose the resolution as a special resolution has been duly given, or a resolution approved in writing by all of the holders of the issued shares entitled to vote on such matter.</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67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79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205740</wp:posOffset>
            </wp:positionV>
            <wp:extent cx="6991350" cy="3085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1350" cy="308546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40"/>
        <w:spacing w:after="0" w:line="253" w:lineRule="auto"/>
        <w:rPr>
          <w:sz w:val="20"/>
          <w:szCs w:val="20"/>
          <w:color w:val="auto"/>
        </w:rPr>
      </w:pPr>
      <w:r>
        <w:rPr>
          <w:rFonts w:ascii="Times New Roman" w:cs="Times New Roman" w:eastAsia="Times New Roman" w:hAnsi="Times New Roman"/>
          <w:sz w:val="18"/>
          <w:szCs w:val="18"/>
          <w:i w:val="1"/>
          <w:iCs w:val="1"/>
          <w:color w:val="auto"/>
        </w:rPr>
        <w:t>For example, assuming that only the holders of one-third of our issued and outstanding ordinary shares, representing a quorum under our amended and restated memorandum and articles of association, vote their shares at such shareholders meeting, a special resolution can be passed by holders of at least 7,053,664 ordinary shares of our company (assuming no exercise of the over-allotment option by the underwriters), which means that the insiders along with non-managing investors holding 9,403,808 ordinary shares in the aggregate may adopt such special resolution without any additional vote by public shareholders. If all the issued and outstanding ordinary shares of our company are present and entitled to vote at such shareholders meeting, a special resolution will require vote of holders of at least 21,160,989 ordinary shares of our company (assuming no exercise of the over-allotment option by the underwriters), which in addition to the founder shares, private investor shares and private placement units that our insiders and non-managing investors have committed to purchase, will require approximately 11,757,181 public shares, or approximately 53.44% of the 22,000,000;</w:t>
      </w:r>
    </w:p>
    <w:p>
      <w:pPr>
        <w:spacing w:after="0" w:line="97" w:lineRule="exact"/>
        <w:rPr>
          <w:sz w:val="20"/>
          <w:szCs w:val="20"/>
          <w:color w:val="auto"/>
        </w:rPr>
      </w:pPr>
    </w:p>
    <w:p>
      <w:pPr>
        <w:ind w:left="1240" w:right="480" w:hanging="409"/>
        <w:spacing w:after="0" w:line="28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“sponsor” refer to GigAcquisitions8 Corp., a company owned by Dr. Avi Katz, our Chief Executive Officer and Chairman of the Board, and Dr. Raluca Dinu, who is one of our directors; Drs. Katz and Dinu are husband and wife;</w:t>
      </w:r>
    </w:p>
    <w:p>
      <w:pPr>
        <w:spacing w:after="0" w:line="64" w:lineRule="exact"/>
        <w:rPr>
          <w:rFonts w:ascii="Times New Roman" w:cs="Times New Roman" w:eastAsia="Times New Roman" w:hAnsi="Times New Roman"/>
          <w:sz w:val="18"/>
          <w:szCs w:val="18"/>
          <w:color w:val="auto"/>
        </w:rPr>
      </w:pPr>
    </w:p>
    <w:p>
      <w:pPr>
        <w:ind w:left="1240" w:right="20" w:hanging="409"/>
        <w:spacing w:after="0" w:line="283" w:lineRule="auto"/>
        <w:tabs>
          <w:tab w:leader="none" w:pos="12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“underwriters’ over-allotment option” are to the underwriters’ 45-day option to purchase up to an additional 3,300,000 units to cover over-allotments, if any; and</w:t>
      </w:r>
    </w:p>
    <w:p>
      <w:pPr>
        <w:spacing w:after="0" w:line="64" w:lineRule="exact"/>
        <w:rPr>
          <w:rFonts w:ascii="Times New Roman" w:cs="Times New Roman" w:eastAsia="Times New Roman" w:hAnsi="Times New Roman"/>
          <w:sz w:val="18"/>
          <w:szCs w:val="18"/>
          <w:i w:val="1"/>
          <w:iCs w:val="1"/>
          <w:color w:val="auto"/>
        </w:rPr>
      </w:pPr>
    </w:p>
    <w:p>
      <w:pPr>
        <w:ind w:left="1240" w:hanging="409"/>
        <w:spacing w:after="0"/>
        <w:tabs>
          <w:tab w:leader="none" w:pos="12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“us” or “our company” refer to GigCapital8 Corp.</w:t>
      </w:r>
    </w:p>
    <w:p>
      <w:pPr>
        <w:sectPr>
          <w:pgSz w:w="11900" w:h="16838" w:orient="portrait"/>
          <w:cols w:equalWidth="0" w:num="1">
            <w:col w:w="10940"/>
          </w:cols>
          <w:pgMar w:left="320" w:top="481" w:right="639" w:bottom="0" w:gutter="0" w:footer="0" w:header="0"/>
        </w:sectPr>
      </w:pPr>
    </w:p>
    <w:p>
      <w:pPr>
        <w:spacing w:after="0" w:line="225" w:lineRule="exact"/>
        <w:rPr>
          <w:sz w:val="20"/>
          <w:szCs w:val="20"/>
          <w:color w:val="auto"/>
        </w:rPr>
      </w:pPr>
    </w:p>
    <w:p>
      <w:pPr>
        <w:ind w:left="300" w:firstLine="425"/>
        <w:spacing w:after="0" w:line="267" w:lineRule="auto"/>
        <w:rPr>
          <w:sz w:val="20"/>
          <w:szCs w:val="20"/>
          <w:color w:val="auto"/>
        </w:rPr>
      </w:pPr>
      <w:r>
        <w:rPr>
          <w:rFonts w:ascii="Times New Roman" w:cs="Times New Roman" w:eastAsia="Times New Roman" w:hAnsi="Times New Roman"/>
          <w:sz w:val="18"/>
          <w:szCs w:val="18"/>
          <w:i w:val="1"/>
          <w:iCs w:val="1"/>
          <w:color w:val="auto"/>
        </w:rPr>
        <w:t>All references in this prospectus to shares of the company being forfeited shall take effect as surrenders for no consideration of such shares as a matter of Cayman Islands law. Any conversion of the Class B ordinary shares described in this prospectus will take effect as a compulsory redemption of Class B ordinary shares and an issuance of Class A ordinary shares, or as otherwise permitted by our amended and restated</w:t>
      </w:r>
    </w:p>
    <w:p>
      <w:pPr>
        <w:sectPr>
          <w:pgSz w:w="11900" w:h="16838" w:orient="portrait"/>
          <w:cols w:equalWidth="0" w:num="1">
            <w:col w:w="10940"/>
          </w:cols>
          <w:pgMar w:left="320" w:top="481" w:right="639" w:bottom="0" w:gutter="0" w:footer="0" w:header="0"/>
          <w:type w:val="continuous"/>
        </w:sectPr>
      </w:pPr>
    </w:p>
    <w:bookmarkStart w:id="12" w:name="page13"/>
    <w:bookmarkEnd w:id="12"/>
    <w:p>
      <w:pPr>
        <w:ind w:left="300" w:right="220"/>
        <w:spacing w:after="0" w:line="283" w:lineRule="auto"/>
        <w:rPr>
          <w:sz w:val="20"/>
          <w:szCs w:val="20"/>
          <w:color w:val="auto"/>
        </w:rPr>
      </w:pPr>
      <w:r>
        <w:rPr>
          <w:rFonts w:ascii="Times New Roman" w:cs="Times New Roman" w:eastAsia="Times New Roman" w:hAnsi="Times New Roman"/>
          <w:sz w:val="18"/>
          <w:szCs w:val="18"/>
          <w:i w:val="1"/>
          <w:iCs w:val="1"/>
          <w:color w:val="auto"/>
        </w:rPr>
        <w:t>memorandum and articles of association, as a matter of Cayman Islands law. Any share dividends described in this prospectus will take effect as share capitalizations as a matter of Cayman Islands law (that is, an issuance of shares from 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-296545</wp:posOffset>
            </wp:positionV>
            <wp:extent cx="6991350" cy="2861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1350" cy="2861945"/>
                    </a:xfrm>
                    <a:prstGeom prst="rect">
                      <a:avLst/>
                    </a:prstGeom>
                    <a:noFill/>
                  </pic:spPr>
                </pic:pic>
              </a:graphicData>
            </a:graphic>
          </wp:anchor>
        </w:drawing>
      </w:r>
    </w:p>
    <w:p>
      <w:pPr>
        <w:spacing w:after="0" w:line="139" w:lineRule="exact"/>
        <w:rPr>
          <w:sz w:val="20"/>
          <w:szCs w:val="20"/>
          <w:color w:val="auto"/>
        </w:rPr>
      </w:pPr>
    </w:p>
    <w:p>
      <w:pPr>
        <w:ind w:left="300" w:right="140" w:firstLine="425"/>
        <w:spacing w:after="0" w:line="258" w:lineRule="auto"/>
        <w:rPr>
          <w:sz w:val="20"/>
          <w:szCs w:val="20"/>
          <w:color w:val="auto"/>
        </w:rPr>
      </w:pPr>
      <w:r>
        <w:rPr>
          <w:rFonts w:ascii="Times New Roman" w:cs="Times New Roman" w:eastAsia="Times New Roman" w:hAnsi="Times New Roman"/>
          <w:sz w:val="18"/>
          <w:szCs w:val="18"/>
          <w:i w:val="1"/>
          <w:iCs w:val="1"/>
          <w:color w:val="auto"/>
        </w:rPr>
        <w:t>Unless we tell you otherwise, the information in this prospectus assumes that the underwriters will not exercise their over-allotment option. You should rely only on the information contained in this prospectus. We have not, and the Underwriter has not, authorized anyone to provide you with different information. We are not, and the underwriters are not, making an offer of these securities in any jurisdiction where the offer is not permitted. “Private-to-Public Equity (PPE)TM” is a trademark of GigFounders, LLC, an affiliate of our sponsor, and all are used pursuant to an agreement.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firstLine="425"/>
        <w:spacing w:after="0" w:line="270" w:lineRule="auto"/>
        <w:rPr>
          <w:sz w:val="20"/>
          <w:szCs w:val="20"/>
          <w:color w:val="auto"/>
        </w:rPr>
      </w:pPr>
      <w:r>
        <w:rPr>
          <w:rFonts w:ascii="Times New Roman" w:cs="Times New Roman" w:eastAsia="Times New Roman" w:hAnsi="Times New Roman"/>
          <w:sz w:val="17"/>
          <w:szCs w:val="17"/>
          <w:color w:val="auto"/>
        </w:rPr>
        <w:t>We are a newly organized Private-to-Public Equity (PPE) company, also known as a blank check company or SPAC,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w:t>
      </w: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67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679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205740</wp:posOffset>
            </wp:positionV>
            <wp:extent cx="6991350" cy="5792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1350" cy="57924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281" w:lineRule="auto"/>
        <w:rPr>
          <w:sz w:val="20"/>
          <w:szCs w:val="20"/>
          <w:color w:val="auto"/>
        </w:rPr>
      </w:pPr>
      <w:r>
        <w:rPr>
          <w:rFonts w:ascii="Times New Roman" w:cs="Times New Roman" w:eastAsia="Times New Roman" w:hAnsi="Times New Roman"/>
          <w:sz w:val="18"/>
          <w:szCs w:val="18"/>
          <w:color w:val="auto"/>
        </w:rPr>
        <w:t>contacts or relationships regarding a potential initial business combination with our company. Additionally, we have not engaged or retained any agent or other representative to identify or locate any suitable acquisition candidate for us.</w:t>
      </w:r>
    </w:p>
    <w:p>
      <w:pPr>
        <w:spacing w:after="0" w:line="163" w:lineRule="exact"/>
        <w:rPr>
          <w:sz w:val="20"/>
          <w:szCs w:val="20"/>
          <w:color w:val="auto"/>
        </w:rPr>
      </w:pPr>
    </w:p>
    <w:p>
      <w:pPr>
        <w:jc w:val="both"/>
        <w:ind w:left="300" w:right="180" w:firstLine="425"/>
        <w:spacing w:after="0" w:line="260" w:lineRule="auto"/>
        <w:rPr>
          <w:sz w:val="20"/>
          <w:szCs w:val="20"/>
          <w:color w:val="auto"/>
        </w:rPr>
      </w:pPr>
      <w:r>
        <w:rPr>
          <w:rFonts w:ascii="Times New Roman" w:cs="Times New Roman" w:eastAsia="Times New Roman" w:hAnsi="Times New Roman"/>
          <w:sz w:val="18"/>
          <w:szCs w:val="18"/>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aerospace and defense (“A&amp;D”) services, cybersecurity and secured communications and quantum-based command and control systems, and artificial intelligence (“AI”) and machine-learning (“ML”) industries.</w:t>
      </w:r>
    </w:p>
    <w:p>
      <w:pPr>
        <w:spacing w:after="0" w:line="182" w:lineRule="exact"/>
        <w:rPr>
          <w:sz w:val="20"/>
          <w:szCs w:val="20"/>
          <w:color w:val="auto"/>
        </w:rPr>
      </w:pPr>
    </w:p>
    <w:p>
      <w:pPr>
        <w:ind w:left="300" w:right="120" w:firstLine="425"/>
        <w:spacing w:after="0" w:line="280" w:lineRule="auto"/>
        <w:rPr>
          <w:sz w:val="20"/>
          <w:szCs w:val="20"/>
          <w:color w:val="auto"/>
        </w:rPr>
      </w:pPr>
      <w:r>
        <w:rPr>
          <w:rFonts w:ascii="Times New Roman" w:cs="Times New Roman" w:eastAsia="Times New Roman" w:hAnsi="Times New Roman"/>
          <w:sz w:val="17"/>
          <w:szCs w:val="17"/>
          <w:color w:val="auto"/>
        </w:rPr>
        <w:t>Our management team believes there is a backlog of companies that are interested in becoming public companies. We believe that because this backlog is substantial, there may be a number of attractive companies that will not be able to list via a traditional initial public offering (an “IPO”) in the near-term, and therefore may opt to pursue a listing via a SPAC instead. Moreover, we believe current market conditions are causing middle-market financial sponsors and venture capital firms to consider alternative methods for providing liquidity to their limited partners.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300" w:firstLine="425"/>
        <w:spacing w:after="0" w:line="253" w:lineRule="auto"/>
        <w:rPr>
          <w:sz w:val="20"/>
          <w:szCs w:val="20"/>
          <w:color w:val="auto"/>
        </w:rPr>
      </w:pPr>
      <w:r>
        <w:rPr>
          <w:rFonts w:ascii="Times New Roman" w:cs="Times New Roman" w:eastAsia="Times New Roman" w:hAnsi="Times New Roman"/>
          <w:sz w:val="18"/>
          <w:szCs w:val="18"/>
          <w:color w:val="auto"/>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spacing w:after="0" w:line="186" w:lineRule="exact"/>
        <w:rPr>
          <w:sz w:val="20"/>
          <w:szCs w:val="20"/>
          <w:color w:val="auto"/>
        </w:rPr>
      </w:pPr>
    </w:p>
    <w:p>
      <w:pPr>
        <w:ind w:left="300" w:right="20" w:firstLine="425"/>
        <w:spacing w:after="0" w:line="255" w:lineRule="auto"/>
        <w:rPr>
          <w:sz w:val="20"/>
          <w:szCs w:val="20"/>
          <w:color w:val="auto"/>
        </w:rPr>
      </w:pPr>
      <w:r>
        <w:rPr>
          <w:rFonts w:ascii="Times New Roman" w:cs="Times New Roman" w:eastAsia="Times New Roman" w:hAnsi="Times New Roman"/>
          <w:sz w:val="18"/>
          <w:szCs w:val="18"/>
          <w:color w:val="auto"/>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 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expect to distinguish ourselves with our ability to:</w:t>
      </w:r>
    </w:p>
    <w:p>
      <w:pPr>
        <w:spacing w:after="0" w:line="126" w:lineRule="exact"/>
        <w:rPr>
          <w:sz w:val="20"/>
          <w:szCs w:val="20"/>
          <w:color w:val="auto"/>
        </w:rPr>
      </w:pPr>
    </w:p>
    <w:p>
      <w:pPr>
        <w:ind w:left="1240" w:right="20" w:hanging="409"/>
        <w:spacing w:after="0" w:line="291"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Tap into our vast international network of relationships to develop a distinctive pipeline of acquisition opportunities. </w:t>
      </w:r>
      <w:r>
        <w:rPr>
          <w:rFonts w:ascii="Times New Roman" w:cs="Times New Roman" w:eastAsia="Times New Roman" w:hAnsi="Times New Roman"/>
          <w:sz w:val="17"/>
          <w:szCs w:val="17"/>
          <w:color w:val="auto"/>
        </w:rPr>
        <w:t>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believe the combination of our Chief Executive Officer’s industry experience and our directors’ and management’s ability and network of relationships with CEOs, founders, family offices, private equity, hedge-funds, venture capitalists, sponsors and investment</w:t>
      </w:r>
    </w:p>
    <w:p>
      <w:pPr>
        <w:sectPr>
          <w:pgSz w:w="11900" w:h="16838" w:orient="portrait"/>
          <w:cols w:equalWidth="0" w:num="1">
            <w:col w:w="10940"/>
          </w:cols>
          <w:pgMar w:left="320" w:top="119" w:right="639" w:bottom="853" w:gutter="0" w:footer="0" w:header="0"/>
        </w:sectPr>
      </w:pPr>
    </w:p>
    <w:p>
      <w:pPr>
        <w:spacing w:after="0" w:line="26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40"/>
          </w:cols>
          <w:pgMar w:left="320" w:top="119" w:right="639" w:bottom="853"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26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1350" cy="58267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80"/>
        <w:spacing w:after="0" w:line="281" w:lineRule="auto"/>
        <w:rPr>
          <w:sz w:val="20"/>
          <w:szCs w:val="20"/>
          <w:color w:val="auto"/>
        </w:rPr>
      </w:pPr>
      <w:r>
        <w:rPr>
          <w:rFonts w:ascii="Times New Roman" w:cs="Times New Roman" w:eastAsia="Times New Roman" w:hAnsi="Times New Roman"/>
          <w:sz w:val="18"/>
          <w:szCs w:val="18"/>
          <w:color w:val="auto"/>
        </w:rPr>
        <w:t>banks will help us to identify and evaluate suitable target businesses that could benefit from our operational and strategic expertise and from management’s experience in structuring complex transactions and accessing capital for growth.</w:t>
      </w:r>
    </w:p>
    <w:p>
      <w:pPr>
        <w:spacing w:after="0" w:line="64" w:lineRule="exact"/>
        <w:rPr>
          <w:sz w:val="20"/>
          <w:szCs w:val="20"/>
          <w:color w:val="auto"/>
        </w:rPr>
      </w:pPr>
    </w:p>
    <w:p>
      <w:pPr>
        <w:ind w:left="1240" w:right="180" w:hanging="409"/>
        <w:spacing w:after="0" w:line="26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Revitalize the acquisition target and generate value for shareholders after the business combination. </w:t>
      </w:r>
      <w:r>
        <w:rPr>
          <w:rFonts w:ascii="Times New Roman" w:cs="Times New Roman" w:eastAsia="Times New Roman" w:hAnsi="Times New Roman"/>
          <w:sz w:val="18"/>
          <w:szCs w:val="18"/>
          <w:color w:val="auto"/>
        </w:rPr>
        <w:t>Given our management’s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spacing w:after="0" w:line="80" w:lineRule="exact"/>
        <w:rPr>
          <w:rFonts w:ascii="Times New Roman" w:cs="Times New Roman" w:eastAsia="Times New Roman" w:hAnsi="Times New Roman"/>
          <w:sz w:val="18"/>
          <w:szCs w:val="18"/>
          <w:color w:val="auto"/>
        </w:rPr>
      </w:pPr>
    </w:p>
    <w:p>
      <w:pPr>
        <w:ind w:left="1240" w:right="80" w:hanging="409"/>
        <w:spacing w:after="0" w:line="26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Show a proven record of successful completions of business combinations</w:t>
      </w:r>
      <w:r>
        <w:rPr>
          <w:rFonts w:ascii="Times New Roman" w:cs="Times New Roman" w:eastAsia="Times New Roman" w:hAnsi="Times New Roman"/>
          <w:sz w:val="18"/>
          <w:szCs w:val="18"/>
          <w:color w:val="auto"/>
        </w:rPr>
        <w:t>. We believe that our management team’s track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w:t>
      </w:r>
    </w:p>
    <w:p>
      <w:pPr>
        <w:spacing w:after="0" w:line="84" w:lineRule="exact"/>
        <w:rPr>
          <w:rFonts w:ascii="Times New Roman" w:cs="Times New Roman" w:eastAsia="Times New Roman" w:hAnsi="Times New Roman"/>
          <w:sz w:val="18"/>
          <w:szCs w:val="18"/>
          <w:color w:val="auto"/>
        </w:rPr>
      </w:pPr>
    </w:p>
    <w:p>
      <w:pPr>
        <w:ind w:left="1660" w:right="40" w:hanging="304"/>
        <w:spacing w:after="0" w:line="253" w:lineRule="auto"/>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 Inc. (“GIG1”),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spacing w:after="0" w:line="96" w:lineRule="exact"/>
        <w:rPr>
          <w:rFonts w:ascii="Times New Roman" w:cs="Times New Roman" w:eastAsia="Times New Roman" w:hAnsi="Times New Roman"/>
          <w:sz w:val="18"/>
          <w:szCs w:val="18"/>
          <w:color w:val="auto"/>
        </w:rPr>
      </w:pPr>
    </w:p>
    <w:p>
      <w:pPr>
        <w:ind w:left="1660" w:right="140" w:hanging="304"/>
        <w:spacing w:after="0" w:line="270" w:lineRule="auto"/>
        <w:tabs>
          <w:tab w:leader="none" w:pos="16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GigCapital2, Inc. (“GIG2”),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w:t>
      </w:r>
    </w:p>
    <w:p>
      <w:pPr>
        <w:spacing w:after="0" w:line="1" w:lineRule="exact"/>
        <w:rPr>
          <w:rFonts w:ascii="Times New Roman" w:cs="Times New Roman" w:eastAsia="Times New Roman" w:hAnsi="Times New Roman"/>
          <w:sz w:val="17"/>
          <w:szCs w:val="17"/>
          <w:color w:val="auto"/>
        </w:rPr>
      </w:pPr>
    </w:p>
    <w:p>
      <w:pPr>
        <w:ind w:left="16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and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w:t>
      </w:r>
      <w:r>
        <w:rPr>
          <w:rFonts w:ascii="Times New Roman" w:cs="Times New Roman" w:eastAsia="Times New Roman" w:hAnsi="Times New Roman"/>
          <w:sz w:val="18"/>
          <w:szCs w:val="18"/>
          <w:u w:val="single" w:color="auto"/>
          <w:color w:val="auto"/>
        </w:rPr>
        <w:t>UpHealth</w:t>
      </w:r>
      <w:r>
        <w:rPr>
          <w:rFonts w:ascii="Times New Roman" w:cs="Times New Roman" w:eastAsia="Times New Roman" w:hAnsi="Times New Roman"/>
          <w:sz w:val="18"/>
          <w:szCs w:val="18"/>
          <w:color w:val="auto"/>
        </w:rPr>
        <w:t xml:space="preserve"> Holdings’ wholly-owned subsidiaries, Thrasys, Inc. and Behavioral Health Services, LLC, and each of their subsidiaries filed voluntary petitions for relief under Chapter 11 of the U.S. Bankruptcy Code.</w:t>
      </w:r>
    </w:p>
    <w:p>
      <w:pPr>
        <w:spacing w:after="0" w:line="95" w:lineRule="exact"/>
        <w:rPr>
          <w:rFonts w:ascii="Times New Roman" w:cs="Times New Roman" w:eastAsia="Times New Roman" w:hAnsi="Times New Roman"/>
          <w:sz w:val="17"/>
          <w:szCs w:val="17"/>
          <w:color w:val="auto"/>
        </w:rPr>
      </w:pPr>
    </w:p>
    <w:p>
      <w:pPr>
        <w:ind w:left="1660" w:right="140" w:hanging="304"/>
        <w:spacing w:after="0" w:line="260" w:lineRule="auto"/>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GigCapital3, Inc. (“GIG3”),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81" w:right="65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205740</wp:posOffset>
            </wp:positionV>
            <wp:extent cx="6991350" cy="5886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1350" cy="5886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20"/>
        <w:spacing w:after="0" w:line="256" w:lineRule="auto"/>
        <w:rPr>
          <w:sz w:val="20"/>
          <w:szCs w:val="20"/>
          <w:color w:val="auto"/>
        </w:rPr>
      </w:pPr>
      <w:r>
        <w:rPr>
          <w:rFonts w:ascii="Times New Roman" w:cs="Times New Roman" w:eastAsia="Times New Roman" w:hAnsi="Times New Roman"/>
          <w:sz w:val="18"/>
          <w:szCs w:val="18"/>
          <w:color w:val="auto"/>
        </w:rPr>
        <w:t>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w:t>
      </w:r>
    </w:p>
    <w:p>
      <w:pPr>
        <w:spacing w:after="0" w:line="91" w:lineRule="exact"/>
        <w:rPr>
          <w:sz w:val="20"/>
          <w:szCs w:val="20"/>
          <w:color w:val="auto"/>
        </w:rPr>
      </w:pPr>
    </w:p>
    <w:p>
      <w:pPr>
        <w:ind w:left="1660" w:right="60" w:hanging="304"/>
        <w:spacing w:after="0" w:line="256" w:lineRule="auto"/>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GigCapital4, Inc. (“GIG4”),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w:t>
      </w:r>
    </w:p>
    <w:p>
      <w:pPr>
        <w:spacing w:after="0" w:line="91" w:lineRule="exact"/>
        <w:rPr>
          <w:rFonts w:ascii="Times New Roman" w:cs="Times New Roman" w:eastAsia="Times New Roman" w:hAnsi="Times New Roman"/>
          <w:sz w:val="18"/>
          <w:szCs w:val="18"/>
          <w:color w:val="auto"/>
        </w:rPr>
      </w:pPr>
    </w:p>
    <w:p>
      <w:pPr>
        <w:ind w:left="1660" w:right="40" w:hanging="304"/>
        <w:spacing w:after="0" w:line="255" w:lineRule="auto"/>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GigCapital5, Inc. (“GIG5”),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w:t>
      </w:r>
    </w:p>
    <w:p>
      <w:pPr>
        <w:spacing w:after="0" w:line="1" w:lineRule="exact"/>
        <w:rPr>
          <w:rFonts w:ascii="Times New Roman" w:cs="Times New Roman" w:eastAsia="Times New Roman" w:hAnsi="Times New Roman"/>
          <w:sz w:val="18"/>
          <w:szCs w:val="18"/>
          <w:color w:val="auto"/>
        </w:rPr>
      </w:pPr>
    </w:p>
    <w:p>
      <w:pPr>
        <w:ind w:left="166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w:t>
      </w:r>
    </w:p>
    <w:p>
      <w:pPr>
        <w:spacing w:after="0" w:line="90" w:lineRule="exact"/>
        <w:rPr>
          <w:rFonts w:ascii="Times New Roman" w:cs="Times New Roman" w:eastAsia="Times New Roman" w:hAnsi="Times New Roman"/>
          <w:sz w:val="18"/>
          <w:szCs w:val="18"/>
          <w:color w:val="auto"/>
        </w:rPr>
      </w:pPr>
    </w:p>
    <w:p>
      <w:pPr>
        <w:ind w:left="1660" w:hanging="304"/>
        <w:spacing w:after="0" w:line="255" w:lineRule="auto"/>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GigInternational1, Inc. (“GIW”),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spacing w:after="0" w:line="92" w:lineRule="exact"/>
        <w:rPr>
          <w:rFonts w:ascii="Times New Roman" w:cs="Times New Roman" w:eastAsia="Times New Roman" w:hAnsi="Times New Roman"/>
          <w:sz w:val="18"/>
          <w:szCs w:val="18"/>
          <w:color w:val="auto"/>
        </w:rPr>
      </w:pPr>
    </w:p>
    <w:p>
      <w:pPr>
        <w:ind w:left="1660" w:right="80" w:hanging="304"/>
        <w:spacing w:after="0" w:line="256" w:lineRule="auto"/>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Corp. (“GIG7”),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purchase one Class A ordinary share of GIG7, generating $200 million. GIG7 listed on Nasdaq under the symbol “GIG” and is currently looking for a suitable acquisition target.</w:t>
      </w:r>
    </w:p>
    <w:p>
      <w:pPr>
        <w:spacing w:after="0" w:line="186" w:lineRule="exact"/>
        <w:rPr>
          <w:sz w:val="20"/>
          <w:szCs w:val="20"/>
          <w:color w:val="auto"/>
        </w:rPr>
      </w:pPr>
    </w:p>
    <w:p>
      <w:pPr>
        <w:ind w:left="300" w:right="60" w:firstLine="425"/>
        <w:spacing w:after="0" w:line="256" w:lineRule="auto"/>
        <w:rPr>
          <w:sz w:val="20"/>
          <w:szCs w:val="20"/>
          <w:color w:val="auto"/>
        </w:rPr>
      </w:pPr>
      <w:r>
        <w:rPr>
          <w:rFonts w:ascii="Times New Roman" w:cs="Times New Roman" w:eastAsia="Times New Roman" w:hAnsi="Times New Roman"/>
          <w:sz w:val="18"/>
          <w:szCs w:val="18"/>
          <w:color w:val="auto"/>
        </w:rPr>
        <w:t>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w:t>
      </w: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117"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126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1350" cy="6126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121" w:lineRule="exact"/>
        <w:rPr>
          <w:sz w:val="20"/>
          <w:szCs w:val="20"/>
          <w:color w:val="auto"/>
        </w:rPr>
      </w:pPr>
    </w:p>
    <w:p>
      <w:pPr>
        <w:ind w:left="300" w:right="40" w:firstLine="425"/>
        <w:spacing w:after="0" w:line="258" w:lineRule="auto"/>
        <w:rPr>
          <w:sz w:val="20"/>
          <w:szCs w:val="20"/>
          <w:color w:val="auto"/>
        </w:rPr>
      </w:pPr>
      <w:r>
        <w:rPr>
          <w:rFonts w:ascii="Times New Roman" w:cs="Times New Roman" w:eastAsia="Times New Roman" w:hAnsi="Times New Roman"/>
          <w:sz w:val="18"/>
          <w:szCs w:val="18"/>
          <w:color w:val="auto"/>
        </w:rPr>
        <w:t>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quantum-based command and control systems, and AI and ML. Our team is well positioned to originate attractive investment opportunities and has a history of executing various business transactions in multiple geographies and under varying economic and financial market conditions.</w:t>
      </w:r>
    </w:p>
    <w:p>
      <w:pPr>
        <w:spacing w:after="0" w:line="182" w:lineRule="exact"/>
        <w:rPr>
          <w:sz w:val="20"/>
          <w:szCs w:val="20"/>
          <w:color w:val="auto"/>
        </w:rPr>
      </w:pPr>
    </w:p>
    <w:p>
      <w:pPr>
        <w:ind w:left="300" w:right="40" w:firstLine="425"/>
        <w:spacing w:after="0" w:line="256" w:lineRule="auto"/>
        <w:rPr>
          <w:sz w:val="20"/>
          <w:szCs w:val="20"/>
          <w:color w:val="auto"/>
        </w:rPr>
      </w:pPr>
      <w:r>
        <w:rPr>
          <w:rFonts w:ascii="Times New Roman" w:cs="Times New Roman" w:eastAsia="Times New Roman" w:hAnsi="Times New Roman"/>
          <w:sz w:val="18"/>
          <w:szCs w:val="18"/>
          <w:color w:val="auto"/>
        </w:rPr>
        <w:t>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w:t>
      </w:r>
    </w:p>
    <w:p>
      <w:pPr>
        <w:spacing w:after="0" w:line="186" w:lineRule="exact"/>
        <w:rPr>
          <w:sz w:val="20"/>
          <w:szCs w:val="20"/>
          <w:color w:val="auto"/>
        </w:rPr>
      </w:pPr>
    </w:p>
    <w:p>
      <w:pPr>
        <w:ind w:left="300" w:right="60" w:firstLine="425"/>
        <w:spacing w:after="0" w:line="255" w:lineRule="auto"/>
        <w:rPr>
          <w:sz w:val="20"/>
          <w:szCs w:val="20"/>
          <w:color w:val="auto"/>
        </w:rPr>
      </w:pPr>
      <w:r>
        <w:rPr>
          <w:rFonts w:ascii="Times New Roman" w:cs="Times New Roman" w:eastAsia="Times New Roman" w:hAnsi="Times New Roman"/>
          <w:sz w:val="18"/>
          <w:szCs w:val="18"/>
          <w:color w:val="auto"/>
        </w:rPr>
        <w:t xml:space="preserve">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 </w:t>
      </w:r>
      <w:r>
        <w:rPr>
          <w:rFonts w:ascii="Times New Roman" w:cs="Times New Roman" w:eastAsia="Times New Roman" w:hAnsi="Times New Roman"/>
          <w:sz w:val="18"/>
          <w:szCs w:val="18"/>
          <w:b w:val="1"/>
          <w:bCs w:val="1"/>
          <w:color w:val="auto"/>
        </w:rPr>
        <w:t>For more information, please refer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w:t>
      </w:r>
      <w:r>
        <w:rPr>
          <w:rFonts w:ascii="Times New Roman" w:cs="Times New Roman" w:eastAsia="Times New Roman" w:hAnsi="Times New Roman"/>
          <w:sz w:val="18"/>
          <w:szCs w:val="18"/>
          <w:b w:val="1"/>
          <w:bCs w:val="1"/>
          <w:i w:val="1"/>
          <w:iCs w:val="1"/>
          <w:color w:val="auto"/>
        </w:rPr>
        <w:t>Risk Factors — Risks Related to Management Team</w:t>
      </w:r>
      <w:r>
        <w:rPr>
          <w:rFonts w:ascii="Times New Roman" w:cs="Times New Roman" w:eastAsia="Times New Roman" w:hAnsi="Times New Roman"/>
          <w:sz w:val="18"/>
          <w:szCs w:val="18"/>
          <w:b w:val="1"/>
          <w:bCs w:val="1"/>
          <w:color w:val="auto"/>
        </w:rPr>
        <w:t>.”</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300" w:right="40" w:firstLine="42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Avi S. Katz </w:t>
      </w:r>
      <w:r>
        <w:rPr>
          <w:rFonts w:ascii="Times New Roman" w:cs="Times New Roman" w:eastAsia="Times New Roman" w:hAnsi="Times New Roman"/>
          <w:sz w:val="18"/>
          <w:szCs w:val="18"/>
          <w:color w:val="auto"/>
        </w:rPr>
        <w:t>serves as our Chief Executive Officer and Chairman of the Board. Dr. Katz has served as the Chairman of the Board of QT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GIG1, a company formed for the purpose of acquiring a</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81"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78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company in the TMT industry. GIG1 completed its initial public offering in December 2017, in which it sold 14,375,000 units at price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 per unit, with each unit consisting of one share of GIG1 common stock, three-fourths (3/4) of one warrant to purchase one share of GIG1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and one right to receive one-tenth (1/10) of one share of GIG1 common stock, generating aggregate proceeds of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$144 million. On February 22, 2019, GIG1 entered into a stock purchase agreement to acquire Kaleyra S.p.A. at about transaction enterprise value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 $187 million with combined cash and/or promissory note consideration of $15 million. The transaction closed on November 25, 2019, and GIG1</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was renamed Kaleyra, Inc. and listed on the NYSE American stock exchange under the symbol “KLR” (and since that time, Kaleyra uplisted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NYSE). In November 2023, Kaleyra was sold to Tata Communications at a transaction enterprise value of about $320 million in a cash deal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ceased to exist as a public company. Dr. Katz served as the Chairman of the Board and Secretary of Kaleyra since the consummation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transaction in November 2019 until the acquisition by Tata. In this capacity, Dr. Katz steered many restructurings and refinancings, including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acquisition of mGage from Blackstone for about $225 million in a cash and stock deal in June 2021. Prior to that time, Dr. Katz served as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Chairman, Secretary, and Chief Executive Officer of GIG1. In March 2019, Dr. Katz founded GIG2, a Private-to-Public Equity (PPE)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formed for the purpose of acquiring a company in the TMT industry. GIG2 completed its initial public offering in June 2019, in which it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sold 17,250,000 units at a per unit price of $10.00, with each unit consisting of one share of GIG2 common stock, one warrant to purchase one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of GIG2 common stock, and one right to receive one-twentieth (1/20) of one share of GIG2 common stock, generating aggregate proceeds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about $173 million. On June 8, 2021, GIG2 completed its business combination with each of UpHealth Holdings, Inc. and Cloudbreak Health,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LLC, and the company changed its name to UpHealth, Inc. and was listed on the NYSE under the new ticker symbol “UPH”, where it remained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listed until 2024 when it was delisted from the NYSE and commenced trading on the OTC Pink, and subsequently on the OTC Expert Market,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new ticker symbol “UPHL.” Dr. Katz initially served as the Chief Executive Officer of GIG2 until August 2019, when Dr. Dinu</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substituted for him in that position. He also served as the Executive Chairman and Secretary of GIG2 since inception until the closing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business combination in June 2021, when Dr. Katz was appointed as the Co-Chairman of the board of directors of UpHealth, becoming the sole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of the Board of UpHealth in June 2022. In this capacity, Dr. Katz has steered many restructurings and refinancings of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the sales of two divisions of the company — IGI, which was sold for $56 million in a cash deal to Belmar Pharma Solutions in June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2023, and Cloudbreak Health, which was sold for $180 million in a cash deal to GTCR in March 2024. However, some subsidiaries of UpHealth,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 such as UpHealth Holdings, Inc. and its wholly-owned subsidiaries, Thrasys, Inc. and Behavioral Health Services, LLC, and each of their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filed voluntary petitions for relief under Chapter 11 of U.S. Bankruptcy Code in 2023. In February 2020, Drs. Katz and Dinu</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co-founded GIG3, a Private-to-Public Equity (PPE) company formed for the purpose of acquiring a company in the TMT industry. GIG3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completed its initial public offering in May 2020, in which it sold 20,000,000 units at a per unit price of $10.00, with each unit consisting of one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of GIG3 common stock and three-fourths (3/4) of one warrant to purchase one share of GIG3 common stock, generating aggregate proceeds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$200 million. On May 6, 2021, GIG3 completed its business combination with Lightning Systems, Inc., which did business as Lightning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eMotors, and GIG3 retained such name. Lightning eMotors, Inc. was listed on the NYSE under the new ticker symbol “ZEV,” but now is listed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OTC Expert Market under the ticker symbol “ZEVY.” Dr. Katz served as the Chief Executive Officer, Executive Chairman and Secretary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GIG3 since its inception until the closing of the business combination in May 2021, when Dr. Katz was appointed as the Co-Chairman of the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directors of Lightning eMotors and served in that position until October 2021 when he did not stand for reelection to the board of directors.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Lightning eMotors went into receivership in December 2023, and as a result, the assets of Lightning eMotors were sold to GERCO LLC,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subsidiary of GILLIG, in February 2024. In December 2020, Drs. Katz and Dinu co-founded GIG4, a Private-to-Public Equity (PPE)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formed for the purpose of acquiring a company in the TMT and sustainable industries. GIG4 completed its initial public offering in February 2021,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which it sold 35,880,000 units at a per unit price of $10.00, with each unit consisting of one share of GIG4 common stock and one-third (1/3)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one (1) warrant to purchase one share of GIG4 common stock, generating aggregate proceeds of about $359 million. GIG4 listed on Nasdaq under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symbol “GIG.” In</w:t>
      </w: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81"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214630</wp:posOffset>
            </wp:positionV>
            <wp:extent cx="6991350" cy="5578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40"/>
        <w:spacing w:after="0" w:line="251" w:lineRule="auto"/>
        <w:rPr>
          <w:sz w:val="20"/>
          <w:szCs w:val="20"/>
          <w:color w:val="auto"/>
        </w:rPr>
      </w:pPr>
      <w:r>
        <w:rPr>
          <w:rFonts w:ascii="Times New Roman" w:cs="Times New Roman" w:eastAsia="Times New Roman" w:hAnsi="Times New Roman"/>
          <w:sz w:val="18"/>
          <w:szCs w:val="18"/>
          <w:color w:val="auto"/>
        </w:rPr>
        <w:t>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95" w:lineRule="exact"/>
        <w:rPr>
          <w:sz w:val="20"/>
          <w:szCs w:val="20"/>
          <w:color w:val="auto"/>
        </w:rPr>
      </w:pPr>
    </w:p>
    <w:p>
      <w:pPr>
        <w:ind w:left="340" w:right="20" w:firstLine="42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Dr. Raluca Dinu </w:t>
      </w:r>
      <w:r>
        <w:rPr>
          <w:rFonts w:ascii="Times New Roman" w:cs="Times New Roman" w:eastAsia="Times New Roman" w:hAnsi="Times New Roman"/>
          <w:sz w:val="18"/>
          <w:szCs w:val="18"/>
          <w:color w:val="auto"/>
        </w:rPr>
        <w:t>is our director. Dr. Dinu is the Chief Executive Officer, President, Secretary, serving in those roles since March 2024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w:t>
      </w:r>
    </w:p>
    <w:p>
      <w:pPr>
        <w:spacing w:after="0" w:line="3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280" w:top="481"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214630</wp:posOffset>
            </wp:positionV>
            <wp:extent cx="6991350" cy="5852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1350" cy="5852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40" w:right="340"/>
        <w:spacing w:after="0" w:line="254" w:lineRule="auto"/>
        <w:rPr>
          <w:sz w:val="20"/>
          <w:szCs w:val="20"/>
          <w:color w:val="auto"/>
        </w:rPr>
      </w:pPr>
      <w:r>
        <w:rPr>
          <w:rFonts w:ascii="Times New Roman" w:cs="Times New Roman" w:eastAsia="Times New Roman" w:hAnsi="Times New Roman"/>
          <w:sz w:val="18"/>
          <w:szCs w:val="18"/>
          <w:color w:val="auto"/>
        </w:rPr>
        <w:t>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w:t>
      </w:r>
    </w:p>
    <w:p>
      <w:pPr>
        <w:spacing w:after="0" w:line="2" w:lineRule="exact"/>
        <w:rPr>
          <w:sz w:val="20"/>
          <w:szCs w:val="20"/>
          <w:color w:val="auto"/>
        </w:rPr>
      </w:pPr>
    </w:p>
    <w:p>
      <w:pPr>
        <w:ind w:left="340" w:right="40"/>
        <w:spacing w:after="0" w:line="264" w:lineRule="auto"/>
        <w:rPr>
          <w:sz w:val="20"/>
          <w:szCs w:val="20"/>
          <w:color w:val="auto"/>
        </w:rPr>
      </w:pPr>
      <w:r>
        <w:rPr>
          <w:rFonts w:ascii="Times New Roman" w:cs="Times New Roman" w:eastAsia="Times New Roman" w:hAnsi="Times New Roman"/>
          <w:sz w:val="17"/>
          <w:szCs w:val="17"/>
          <w:color w:val="auto"/>
        </w:rPr>
        <w:t>Dr. Dinu was the Vice President and General Manager of Optical Interconnects Division of Integrated Device Technology, Inc.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w:t>
      </w:r>
    </w:p>
    <w:p>
      <w:pPr>
        <w:spacing w:after="0" w:line="5" w:lineRule="exact"/>
        <w:rPr>
          <w:sz w:val="20"/>
          <w:szCs w:val="20"/>
          <w:color w:val="auto"/>
        </w:rPr>
      </w:pPr>
    </w:p>
    <w:p>
      <w:pPr>
        <w:ind w:left="340" w:right="120"/>
        <w:spacing w:after="0" w:line="253" w:lineRule="auto"/>
        <w:rPr>
          <w:sz w:val="20"/>
          <w:szCs w:val="20"/>
          <w:color w:val="auto"/>
        </w:rPr>
      </w:pPr>
      <w:r>
        <w:rPr>
          <w:rFonts w:ascii="Times New Roman" w:cs="Times New Roman" w:eastAsia="Times New Roman" w:hAnsi="Times New Roman"/>
          <w:sz w:val="18"/>
          <w:szCs w:val="18"/>
          <w:color w:val="auto"/>
        </w:rPr>
        <w:t>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84" w:lineRule="exact"/>
        <w:rPr>
          <w:sz w:val="20"/>
          <w:szCs w:val="20"/>
          <w:color w:val="auto"/>
        </w:rPr>
      </w:pPr>
    </w:p>
    <w:p>
      <w:pPr>
        <w:ind w:left="340" w:right="40" w:firstLine="42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Christine M. Marshall </w:t>
      </w:r>
      <w:r>
        <w:rPr>
          <w:rFonts w:ascii="Times New Roman" w:cs="Times New Roman" w:eastAsia="Times New Roman" w:hAnsi="Times New Roman"/>
          <w:sz w:val="18"/>
          <w:szCs w:val="18"/>
          <w:color w:val="auto"/>
        </w:rPr>
        <w:t>joined our company as Chief Financial Officer on June 30, 2025. Ms. Marshall is an accomplished finance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Nominees for our Board of Directors</w:t>
      </w:r>
    </w:p>
    <w:p>
      <w:pPr>
        <w:spacing w:after="0" w:line="117" w:lineRule="exact"/>
        <w:rPr>
          <w:sz w:val="20"/>
          <w:szCs w:val="20"/>
          <w:color w:val="auto"/>
        </w:rPr>
      </w:pPr>
    </w:p>
    <w:p>
      <w:pPr>
        <w:ind w:left="340" w:firstLine="42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Admiral (Ret.) David Ben-Bashat </w:t>
      </w:r>
      <w:r>
        <w:rPr>
          <w:rFonts w:ascii="Times New Roman" w:cs="Times New Roman" w:eastAsia="Times New Roman" w:hAnsi="Times New Roman"/>
          <w:sz w:val="18"/>
          <w:szCs w:val="18"/>
          <w:color w:val="auto"/>
        </w:rPr>
        <w:t>will serve as our independent director upon the completion of this offering. V. Admiral (Ret.) Ben-Bashat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w:t>
      </w: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280" w:top="481"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214630</wp:posOffset>
            </wp:positionV>
            <wp:extent cx="6991350" cy="5715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1350" cy="5715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40" w:right="160"/>
        <w:spacing w:after="0" w:line="253" w:lineRule="auto"/>
        <w:rPr>
          <w:sz w:val="20"/>
          <w:szCs w:val="20"/>
          <w:color w:val="auto"/>
        </w:rPr>
      </w:pPr>
      <w:r>
        <w:rPr>
          <w:rFonts w:ascii="Times New Roman" w:cs="Times New Roman" w:eastAsia="Times New Roman" w:hAnsi="Times New Roman"/>
          <w:sz w:val="18"/>
          <w:szCs w:val="18"/>
          <w:color w:val="auto"/>
        </w:rPr>
        <w:t>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82" w:lineRule="exact"/>
        <w:rPr>
          <w:sz w:val="20"/>
          <w:szCs w:val="20"/>
          <w:color w:val="auto"/>
        </w:rPr>
      </w:pPr>
    </w:p>
    <w:p>
      <w:pPr>
        <w:ind w:left="340" w:firstLine="42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Rear Admiral (Ret.) Omri Dagul </w:t>
      </w:r>
      <w:r>
        <w:rPr>
          <w:rFonts w:ascii="Times New Roman" w:cs="Times New Roman" w:eastAsia="Times New Roman" w:hAnsi="Times New Roman"/>
          <w:sz w:val="18"/>
          <w:szCs w:val="18"/>
          <w:color w:val="auto"/>
        </w:rPr>
        <w:t>will serve as our independent director upon the completion of this offering. Over several decades, 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Admiral (Ret.)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83" w:lineRule="exact"/>
        <w:rPr>
          <w:sz w:val="20"/>
          <w:szCs w:val="20"/>
          <w:color w:val="auto"/>
        </w:rPr>
      </w:pPr>
    </w:p>
    <w:p>
      <w:pPr>
        <w:ind w:left="340" w:firstLine="42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Raanan I. Horowitz </w:t>
      </w:r>
      <w:r>
        <w:rPr>
          <w:rFonts w:ascii="Times New Roman" w:cs="Times New Roman" w:eastAsia="Times New Roman" w:hAnsi="Times New Roman"/>
          <w:sz w:val="18"/>
          <w:szCs w:val="18"/>
          <w:color w:val="auto"/>
        </w:rPr>
        <w:t>will serve as our independent director upon the completion of this offering. Mr. Horowitz currently serves on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w:t>
      </w: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280" w:top="481"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15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1350" cy="5715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82" w:lineRule="exact"/>
        <w:rPr>
          <w:sz w:val="20"/>
          <w:szCs w:val="20"/>
          <w:color w:val="auto"/>
        </w:rPr>
      </w:pPr>
    </w:p>
    <w:p>
      <w:pPr>
        <w:ind w:left="300" w:firstLine="42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Ambassador Adrian Zuckerman </w:t>
      </w:r>
      <w:r>
        <w:rPr>
          <w:rFonts w:ascii="Times New Roman" w:cs="Times New Roman" w:eastAsia="Times New Roman" w:hAnsi="Times New Roman"/>
          <w:sz w:val="18"/>
          <w:szCs w:val="18"/>
          <w:color w:val="auto"/>
        </w:rPr>
        <w:t>will serve as our independent director upon the completion of this offering. Ambassador Zuckerman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86" w:lineRule="exact"/>
        <w:rPr>
          <w:sz w:val="20"/>
          <w:szCs w:val="20"/>
          <w:color w:val="auto"/>
        </w:rPr>
      </w:pPr>
    </w:p>
    <w:p>
      <w:pPr>
        <w:ind w:left="300" w:firstLine="42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Luis Machuca </w:t>
      </w:r>
      <w:r>
        <w:rPr>
          <w:rFonts w:ascii="Times New Roman" w:cs="Times New Roman" w:eastAsia="Times New Roman" w:hAnsi="Times New Roman"/>
          <w:sz w:val="18"/>
          <w:szCs w:val="18"/>
          <w:color w:val="auto"/>
        </w:rPr>
        <w:t>will serve as our independent director upon the completion of this offering. He also serves as a director of UpHealth,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(OTC 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81"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32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1350" cy="5732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42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Bryan Timm </w:t>
      </w:r>
      <w:r>
        <w:rPr>
          <w:rFonts w:ascii="Times New Roman" w:cs="Times New Roman" w:eastAsia="Times New Roman" w:hAnsi="Times New Roman"/>
          <w:sz w:val="18"/>
          <w:szCs w:val="18"/>
          <w:color w:val="auto"/>
        </w:rPr>
        <w:t>will serve as our independent director upon the completion of this offering. Mr. Timm currently serves as a Board Advisor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 Group, a family company serving the West Coast with Kenworth, John Deere, and Hyster heavy equipment dealerships. He previously served on the Board of Directors of Umpqua Holdings Corporation (Nasdaq:UMPQ)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86" w:lineRule="exact"/>
        <w:rPr>
          <w:sz w:val="20"/>
          <w:szCs w:val="20"/>
          <w:color w:val="auto"/>
        </w:rPr>
      </w:pPr>
    </w:p>
    <w:p>
      <w:pPr>
        <w:ind w:left="300" w:right="40" w:firstLine="42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Greene </w:t>
      </w:r>
      <w:r>
        <w:rPr>
          <w:rFonts w:ascii="Times New Roman" w:cs="Times New Roman" w:eastAsia="Times New Roman" w:hAnsi="Times New Roman"/>
          <w:sz w:val="18"/>
          <w:szCs w:val="18"/>
          <w:color w:val="auto"/>
        </w:rPr>
        <w:t>will serve as our independent director upon completion of this offering. Mr. Greene served as a director of Umpqua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21" w:lineRule="exact"/>
        <w:rPr>
          <w:sz w:val="20"/>
          <w:szCs w:val="20"/>
          <w:color w:val="auto"/>
        </w:rPr>
      </w:pPr>
    </w:p>
    <w:p>
      <w:pPr>
        <w:ind w:left="300" w:right="40" w:firstLine="425"/>
        <w:spacing w:after="0" w:line="256" w:lineRule="auto"/>
        <w:rPr>
          <w:sz w:val="20"/>
          <w:szCs w:val="20"/>
          <w:color w:val="auto"/>
        </w:rPr>
      </w:pPr>
      <w:r>
        <w:rPr>
          <w:rFonts w:ascii="Times New Roman" w:cs="Times New Roman" w:eastAsia="Times New Roman" w:hAnsi="Times New Roman"/>
          <w:sz w:val="18"/>
          <w:szCs w:val="18"/>
          <w:color w:val="auto"/>
        </w:rPr>
        <w:t>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w:t>
      </w:r>
    </w:p>
    <w:p>
      <w:pPr>
        <w:spacing w:after="0" w:line="89" w:lineRule="exact"/>
        <w:rPr>
          <w:sz w:val="20"/>
          <w:szCs w:val="20"/>
          <w:color w:val="auto"/>
        </w:rPr>
      </w:pPr>
    </w:p>
    <w:p>
      <w:pPr>
        <w:ind w:left="1240" w:right="160" w:hanging="409"/>
        <w:spacing w:after="0" w:line="258"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embrace today’s digital transformation and intelligent automation. </w:t>
      </w:r>
      <w:r>
        <w:rPr>
          <w:rFonts w:ascii="Times New Roman" w:cs="Times New Roman" w:eastAsia="Times New Roman" w:hAnsi="Times New Roman"/>
          <w:sz w:val="18"/>
          <w:szCs w:val="18"/>
          <w:color w:val="auto"/>
        </w:rPr>
        <w:t>We will seek acquisition candidates active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A&amp;D 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spacing w:after="0" w:line="87" w:lineRule="exact"/>
        <w:rPr>
          <w:rFonts w:ascii="Times New Roman" w:cs="Times New Roman" w:eastAsia="Times New Roman" w:hAnsi="Times New Roman"/>
          <w:sz w:val="18"/>
          <w:szCs w:val="18"/>
          <w:color w:val="auto"/>
        </w:rPr>
      </w:pPr>
    </w:p>
    <w:p>
      <w:pPr>
        <w:ind w:left="1240" w:right="320" w:hanging="409"/>
        <w:spacing w:after="0" w:line="258"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will benefit from a public listing. </w:t>
      </w:r>
      <w:r>
        <w:rPr>
          <w:rFonts w:ascii="Times New Roman" w:cs="Times New Roman" w:eastAsia="Times New Roman" w:hAnsi="Times New Roman"/>
          <w:sz w:val="18"/>
          <w:szCs w:val="18"/>
          <w:color w:val="auto"/>
        </w:rPr>
        <w:t>We will focus on partners looking to move to the next level through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81"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963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1350" cy="59632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80" w:hanging="409"/>
        <w:spacing w:after="0" w:line="25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will benefit from our industry expertise and relationships. </w:t>
      </w:r>
      <w:r>
        <w:rPr>
          <w:rFonts w:ascii="Times New Roman" w:cs="Times New Roman" w:eastAsia="Times New Roman" w:hAnsi="Times New Roman"/>
          <w:sz w:val="18"/>
          <w:szCs w:val="18"/>
          <w:color w:val="auto"/>
        </w:rPr>
        <w:t>We will seek companies that will be best positioned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spacing w:after="0" w:line="91" w:lineRule="exact"/>
        <w:rPr>
          <w:rFonts w:ascii="Times New Roman" w:cs="Times New Roman" w:eastAsia="Times New Roman" w:hAnsi="Times New Roman"/>
          <w:sz w:val="18"/>
          <w:szCs w:val="18"/>
          <w:color w:val="auto"/>
        </w:rPr>
      </w:pPr>
    </w:p>
    <w:p>
      <w:pPr>
        <w:ind w:left="1240" w:right="320" w:hanging="409"/>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that are market-leading participants</w:t>
      </w:r>
      <w:r>
        <w:rPr>
          <w:rFonts w:ascii="Times New Roman" w:cs="Times New Roman" w:eastAsia="Times New Roman" w:hAnsi="Times New Roman"/>
          <w:sz w:val="18"/>
          <w:szCs w:val="18"/>
          <w:color w:val="auto"/>
        </w:rPr>
        <w:t>. We will seek an acquisition target that has an established business and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While we will focus on the A&amp;D services, cybersecurity and secured communications and quantum-based command and control systems, and AI and ML, we will not seek a target that is pre-revenue or in early stages of development with unproven technologies.</w:t>
      </w:r>
    </w:p>
    <w:p>
      <w:pPr>
        <w:spacing w:after="0" w:line="83" w:lineRule="exact"/>
        <w:rPr>
          <w:rFonts w:ascii="Times New Roman" w:cs="Times New Roman" w:eastAsia="Times New Roman" w:hAnsi="Times New Roman"/>
          <w:sz w:val="18"/>
          <w:szCs w:val="18"/>
          <w:color w:val="auto"/>
        </w:rPr>
      </w:pPr>
    </w:p>
    <w:p>
      <w:pPr>
        <w:ind w:left="1240" w:right="320" w:hanging="409"/>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with strong management. </w:t>
      </w:r>
      <w:r>
        <w:rPr>
          <w:rFonts w:ascii="Times New Roman" w:cs="Times New Roman" w:eastAsia="Times New Roman" w:hAnsi="Times New Roman"/>
          <w:sz w:val="18"/>
          <w:szCs w:val="18"/>
          <w:color w:val="auto"/>
        </w:rPr>
        <w:t>We will prioritize entities with well-established, proven and talented management teams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wish to 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184" w:lineRule="exact"/>
        <w:rPr>
          <w:sz w:val="20"/>
          <w:szCs w:val="20"/>
          <w:color w:val="auto"/>
        </w:rPr>
      </w:pPr>
    </w:p>
    <w:p>
      <w:pPr>
        <w:jc w:val="both"/>
        <w:ind w:left="300" w:right="120"/>
        <w:spacing w:after="0" w:line="312" w:lineRule="auto"/>
        <w:rPr>
          <w:sz w:val="20"/>
          <w:szCs w:val="20"/>
          <w:color w:val="auto"/>
        </w:rPr>
      </w:pPr>
      <w:r>
        <w:rPr>
          <w:rFonts w:ascii="Times New Roman" w:cs="Times New Roman" w:eastAsia="Times New Roman" w:hAnsi="Times New Roman"/>
          <w:sz w:val="17"/>
          <w:szCs w:val="17"/>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jc w:val="both"/>
        <w:ind w:left="300" w:firstLine="425"/>
        <w:spacing w:after="0" w:line="265" w:lineRule="auto"/>
        <w:rPr>
          <w:sz w:val="20"/>
          <w:szCs w:val="20"/>
          <w:color w:val="auto"/>
        </w:rPr>
      </w:pPr>
      <w:r>
        <w:rPr>
          <w:rFonts w:ascii="Times New Roman" w:cs="Times New Roman" w:eastAsia="Times New Roman" w:hAnsi="Times New Roman"/>
          <w:sz w:val="18"/>
          <w:szCs w:val="18"/>
          <w:color w:val="auto"/>
        </w:rPr>
        <w:t>We intend to partner with a late-stage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w:t>
      </w:r>
    </w:p>
    <w:p>
      <w:pPr>
        <w:spacing w:after="0" w:line="81" w:lineRule="exact"/>
        <w:rPr>
          <w:sz w:val="20"/>
          <w:szCs w:val="20"/>
          <w:color w:val="auto"/>
        </w:rPr>
      </w:pPr>
    </w:p>
    <w:p>
      <w:pPr>
        <w:ind w:left="1240" w:hanging="409"/>
        <w:spacing w:after="0" w:line="258"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Inception</w:t>
      </w:r>
      <w:r>
        <w:rPr>
          <w:rFonts w:ascii="Times New Roman" w:cs="Times New Roman" w:eastAsia="Times New Roman" w:hAnsi="Times New Roman"/>
          <w:sz w:val="18"/>
          <w:szCs w:val="18"/>
          <w:color w:val="auto"/>
        </w:rPr>
        <w:t>. This phase usually lasts up to approx. 2-3 months and entails incorporating a SPAC and bringing on a Private-to-Public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(PPE) 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w:t>
      </w:r>
    </w:p>
    <w:p>
      <w:pPr>
        <w:spacing w:after="0" w:line="87" w:lineRule="exact"/>
        <w:rPr>
          <w:rFonts w:ascii="Times New Roman" w:cs="Times New Roman" w:eastAsia="Times New Roman" w:hAnsi="Times New Roman"/>
          <w:sz w:val="18"/>
          <w:szCs w:val="18"/>
          <w:color w:val="auto"/>
        </w:rPr>
      </w:pPr>
    </w:p>
    <w:p>
      <w:pPr>
        <w:ind w:left="1240" w:right="120" w:hanging="409"/>
        <w:spacing w:after="0" w:line="258"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Searching</w:t>
      </w:r>
      <w:r>
        <w:rPr>
          <w:rFonts w:ascii="Times New Roman" w:cs="Times New Roman" w:eastAsia="Times New Roman" w:hAnsi="Times New Roman"/>
          <w:sz w:val="18"/>
          <w:szCs w:val="18"/>
          <w:color w:val="auto"/>
        </w:rPr>
        <w:t>. The search for a financially viable acquisition target ready to become a public company may take approx. 6 to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w:t>
      </w:r>
    </w:p>
    <w:p>
      <w:pPr>
        <w:spacing w:after="0" w:line="87" w:lineRule="exact"/>
        <w:rPr>
          <w:rFonts w:ascii="Times New Roman" w:cs="Times New Roman" w:eastAsia="Times New Roman" w:hAnsi="Times New Roman"/>
          <w:sz w:val="18"/>
          <w:szCs w:val="18"/>
          <w:color w:val="auto"/>
        </w:rPr>
      </w:pPr>
    </w:p>
    <w:p>
      <w:pPr>
        <w:ind w:left="1240" w:right="520" w:hanging="409"/>
        <w:spacing w:after="0" w:line="283"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The next step is negotiation and execution of a letter of intent. It may take approx. from 3 to 6 weeks, and approx.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5 to 10 weeks are required to conduct due diligence review and sign a binding definitive agreement.</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81"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014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1350" cy="60147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220" w:hanging="409"/>
        <w:spacing w:after="0" w:line="255"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Following entry into the binding definitive agreement, the acquisition target must deliver audited financial statements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enable us to file all necessary SEC filings and obtain SEC 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w:t>
      </w:r>
    </w:p>
    <w:p>
      <w:pPr>
        <w:spacing w:after="0" w:line="92" w:lineRule="exact"/>
        <w:rPr>
          <w:rFonts w:ascii="Times New Roman" w:cs="Times New Roman" w:eastAsia="Times New Roman" w:hAnsi="Times New Roman"/>
          <w:sz w:val="18"/>
          <w:szCs w:val="18"/>
          <w:color w:val="auto"/>
        </w:rPr>
      </w:pPr>
    </w:p>
    <w:p>
      <w:pPr>
        <w:ind w:left="1240" w:right="280" w:hanging="409"/>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and Exit</w:t>
      </w:r>
      <w:r>
        <w:rPr>
          <w:rFonts w:ascii="Times New Roman" w:cs="Times New Roman" w:eastAsia="Times New Roman" w:hAnsi="Times New Roman"/>
          <w:sz w:val="18"/>
          <w:szCs w:val="18"/>
          <w:color w:val="auto"/>
        </w:rPr>
        <w:t>. The final phase may last approx. from 1 to 4 years, during which we invest our time and resources in expanding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growing the business. We actively participate in meetings of the board of directors and strategic advisory board, provide continuous financing and M&amp;A advisory support for growth, geographic expansion and consolidation, and prepare the business combination for de-SPAC.</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21" w:lineRule="exact"/>
        <w:rPr>
          <w:sz w:val="20"/>
          <w:szCs w:val="20"/>
          <w:color w:val="auto"/>
        </w:rPr>
      </w:pPr>
    </w:p>
    <w:p>
      <w:pPr>
        <w:ind w:left="300" w:right="240" w:firstLine="425"/>
        <w:spacing w:after="0" w:line="258" w:lineRule="auto"/>
        <w:rPr>
          <w:sz w:val="20"/>
          <w:szCs w:val="20"/>
          <w:color w:val="auto"/>
        </w:rPr>
      </w:pPr>
      <w:r>
        <w:rPr>
          <w:rFonts w:ascii="Times New Roman" w:cs="Times New Roman" w:eastAsia="Times New Roman" w:hAnsi="Times New Roman"/>
          <w:sz w:val="18"/>
          <w:szCs w:val="18"/>
          <w:color w:val="auto"/>
        </w:rPr>
        <w:t>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w:t>
      </w:r>
    </w:p>
    <w:p>
      <w:pPr>
        <w:spacing w:after="0" w:line="182" w:lineRule="exact"/>
        <w:rPr>
          <w:sz w:val="20"/>
          <w:szCs w:val="20"/>
          <w:color w:val="auto"/>
        </w:rPr>
      </w:pPr>
    </w:p>
    <w:p>
      <w:pPr>
        <w:ind w:left="300" w:right="920" w:firstLine="425"/>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36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3940" w:type="dxa"/>
            <w:vAlign w:val="bottom"/>
            <w:gridSpan w:val="2"/>
            <w:vMerge w:val="continue"/>
          </w:tcPr>
          <w:p>
            <w:pPr>
              <w:spacing w:after="0"/>
              <w:rPr>
                <w:sz w:val="16"/>
                <w:szCs w:val="16"/>
                <w:color w:val="auto"/>
              </w:rPr>
            </w:pPr>
          </w:p>
        </w:tc>
        <w:tc>
          <w:tcPr>
            <w:tcW w:w="36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tc>
        <w:tc>
          <w:tcPr>
            <w:tcW w:w="3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080" w:type="dxa"/>
            <w:vAlign w:val="bottom"/>
            <w:tcBorders>
              <w:top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81"/>
              </w:rPr>
              <w:t>GigAcquisitions8</w:t>
            </w:r>
          </w:p>
        </w:tc>
        <w:tc>
          <w:tcPr>
            <w:tcW w:w="28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Corp.</w:t>
            </w:r>
          </w:p>
        </w:tc>
        <w:tc>
          <w:tcPr>
            <w:tcW w:w="340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$30,000 per month</w:t>
            </w:r>
          </w:p>
        </w:tc>
        <w:tc>
          <w:tcPr>
            <w:tcW w:w="200" w:type="dxa"/>
            <w:vAlign w:val="bottom"/>
          </w:tcPr>
          <w:p>
            <w:pPr>
              <w:spacing w:after="0"/>
              <w:rPr>
                <w:sz w:val="16"/>
                <w:szCs w:val="16"/>
                <w:color w:val="auto"/>
              </w:rPr>
            </w:pPr>
          </w:p>
        </w:tc>
        <w:tc>
          <w:tcPr>
            <w:tcW w:w="308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Office space, administrative and shared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support services</w:t>
            </w:r>
          </w:p>
        </w:tc>
        <w:tc>
          <w:tcPr>
            <w:tcW w:w="0" w:type="dxa"/>
            <w:vAlign w:val="bottom"/>
          </w:tcPr>
          <w:p>
            <w:pPr>
              <w:spacing w:after="0"/>
              <w:rPr>
                <w:sz w:val="1"/>
                <w:szCs w:val="1"/>
                <w:color w:val="auto"/>
              </w:rPr>
            </w:pPr>
          </w:p>
        </w:tc>
      </w:tr>
      <w:tr>
        <w:trPr>
          <w:trHeight w:val="305"/>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7,850,229 Class B ordinary shares, of which</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1,023,943 Class B ordinary shares remain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to forfeiture depending on the extent to</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the underwriters’ over-allotment option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exercised during this offering. Our sponsor</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intends at the time of this offering to sell</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375,397 founder shares in the aggregate to</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Messrs. Greene, Machuca, Timm and</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Horowitz at an aggregate price of $9,244, thus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reducing its holding to 7,474,832 founder</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95,200 private placement units to be purchased</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$927,000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simultaneously with the closing of this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w:t>
            </w: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1"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878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1350" cy="5878195"/>
                    </a:xfrm>
                    <a:prstGeom prst="rect">
                      <a:avLst/>
                    </a:prstGeom>
                    <a:noFill/>
                  </pic:spPr>
                </pic:pic>
              </a:graphicData>
            </a:graphic>
          </wp:anchor>
        </w:drawing>
      </w:r>
    </w:p>
    <w:p>
      <w:pPr>
        <w:sectPr>
          <w:pgSz w:w="11900" w:h="16838" w:orient="portrait"/>
          <w:cols w:equalWidth="0" w:num="1">
            <w:col w:w="10900"/>
          </w:cols>
          <w:pgMar w:left="320" w:top="48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u w:val="single" w:color="auto"/>
          <w:color w:val="auto"/>
        </w:rPr>
        <w:t>Entity/Individual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Holders of Class B ordinary shares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line="281" w:lineRule="auto"/>
        <w:rPr>
          <w:sz w:val="20"/>
          <w:szCs w:val="20"/>
          <w:color w:val="auto"/>
        </w:rPr>
      </w:pPr>
      <w:r>
        <w:rPr>
          <w:rFonts w:ascii="Times New Roman" w:cs="Times New Roman" w:eastAsia="Times New Roman" w:hAnsi="Times New Roman"/>
          <w:sz w:val="18"/>
          <w:szCs w:val="18"/>
          <w:color w:val="auto"/>
        </w:rPr>
        <w:t>GigAcquisitions8 Corp, our officers, directors, or our or their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p>
      <w:pPr>
        <w:spacing w:after="0" w:line="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p>
      <w:pPr>
        <w:spacing w:after="0" w:line="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(including if the underwriters’ over-allotment option is exercised in full)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$100,000 in loans</w:t>
      </w:r>
    </w:p>
    <w:p>
      <w:pPr>
        <w:spacing w:after="0" w:line="200" w:lineRule="exact"/>
        <w:rPr>
          <w:sz w:val="20"/>
          <w:szCs w:val="20"/>
          <w:color w:val="auto"/>
        </w:rPr>
      </w:pPr>
    </w:p>
    <w:p>
      <w:pPr>
        <w:spacing w:after="0" w:line="34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Up to $1,500,000 in working capital loans, which loans may be convertible into private placement units at a price of $10.00 per unit at the option of the lender</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Reimbursement for any out-of-pocket expenses related to identifying, investigating and completing an initial business combination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$15,000 per month</w:t>
      </w:r>
    </w:p>
    <w:p>
      <w:pPr>
        <w:spacing w:after="0" w:line="33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Anti-dilution protection upon conversion into Class A ordinary shares at a greater than one-to-one ratio</w:t>
      </w:r>
    </w:p>
    <w:p>
      <w:pPr>
        <w:spacing w:after="0" w:line="28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Finder’s fees, advisory fees, consulting fees, success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p>
      <w:pPr>
        <w:spacing w:after="0" w:line="200" w:lineRule="exact"/>
        <w:rPr>
          <w:sz w:val="20"/>
          <w:szCs w:val="20"/>
          <w:color w:val="auto"/>
        </w:rPr>
      </w:pPr>
    </w:p>
    <w:p>
      <w:pPr>
        <w:spacing w:after="0" w:line="36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Repayment of loans made to us to cover offering related and organizational expenses</w:t>
      </w:r>
    </w:p>
    <w:p>
      <w:pPr>
        <w:spacing w:after="0" w:line="6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Working capital loans to finance transaction costs in connection with an initial business combination</w:t>
      </w:r>
    </w:p>
    <w:p>
      <w:pPr>
        <w:spacing w:after="0" w:line="28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Services in connection with identifying, investigating and completing an initial business combination</w:t>
      </w:r>
    </w:p>
    <w:p>
      <w:pPr>
        <w:spacing w:after="0" w:line="8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 xml:space="preserve">Monthly payments to </w:t>
      </w:r>
      <w:r>
        <w:rPr>
          <w:rFonts w:ascii="Times New Roman" w:cs="Times New Roman" w:eastAsia="Times New Roman" w:hAnsi="Times New Roman"/>
          <w:sz w:val="18"/>
          <w:szCs w:val="18"/>
          <w:color w:val="auto"/>
          <w:highlight w:val="white"/>
        </w:rPr>
        <w:t>Chief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Officer</w:t>
      </w:r>
    </w:p>
    <w:p>
      <w:pPr>
        <w:spacing w:after="0" w:line="5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Issuance of the Class A ordinary shares issuable in connection with the conversion of the founder shares on a greater than one-to-one basis upon conversion</w:t>
      </w:r>
    </w:p>
    <w:p>
      <w:pPr>
        <w:spacing w:after="0" w:line="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 No agreements have been signed as of the date of this prospectus.</w:t>
      </w:r>
    </w:p>
    <w:p>
      <w:pPr>
        <w:spacing w:after="0" w:line="200" w:lineRule="exact"/>
        <w:rPr>
          <w:sz w:val="20"/>
          <w:szCs w:val="20"/>
          <w:color w:val="auto"/>
        </w:rPr>
      </w:pPr>
    </w:p>
    <w:p>
      <w:pPr>
        <w:sectPr>
          <w:pgSz w:w="11900" w:h="16838" w:orient="portrait"/>
          <w:cols w:equalWidth="0" w:num="3">
            <w:col w:w="3860" w:space="380"/>
            <w:col w:w="3400" w:space="200"/>
            <w:col w:w="3060"/>
          </w:cols>
          <w:pgMar w:left="320" w:top="481" w:right="679" w:bottom="1440" w:gutter="0" w:footer="0" w:header="0"/>
          <w:type w:val="continuous"/>
        </w:sectPr>
      </w:pPr>
    </w:p>
    <w:p>
      <w:pPr>
        <w:spacing w:after="0" w:line="1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81" w:right="6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78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5"/>
        <w:spacing w:after="0" w:line="251" w:lineRule="auto"/>
        <w:rPr>
          <w:sz w:val="20"/>
          <w:szCs w:val="20"/>
          <w:color w:val="auto"/>
        </w:rPr>
      </w:pPr>
      <w:r>
        <w:rPr>
          <w:rFonts w:ascii="Times New Roman" w:cs="Times New Roman" w:eastAsia="Times New Roman" w:hAnsi="Times New Roman"/>
          <w:sz w:val="18"/>
          <w:szCs w:val="18"/>
          <w:color w:val="auto"/>
        </w:rPr>
        <w:t xml:space="preserve">Because our sponsor acquired the founder shares at a nominal price of $0.002108 per Class B ordinary share, our directors will acquire the founder shares at a nominal price of $0.02462 per Class B ordinary share, and the non-managing investors acquired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insiders and the non-managing investors will acquire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Additionally, our public shareholders may experience dilution from the conversion of the 337,675 private placement rights that form a part of the private placement units into 33,767 Class A ordinary shares (or up to 357,657 private placement rights converting into 35,765 Class A ordinary shares if the underwriters’ over-allotment option is exercised in full) to be purchased in the private placement simultaneously with the closing of this offering. Further, our public shareholders may experience material dilution if the $1,500,000 in working capital loans is fully advanced by the sponsor and the sponsor elects to convert the working capital loans into private placement units at $10.00 per unit, resulting in the sponsor receiving an additional 150,000 private placement units. </w:t>
      </w:r>
      <w:r>
        <w:rPr>
          <w:rFonts w:ascii="Times New Roman" w:cs="Times New Roman" w:eastAsia="Times New Roman" w:hAnsi="Times New Roman"/>
          <w:sz w:val="18"/>
          <w:szCs w:val="18"/>
          <w:b w:val="1"/>
          <w:bCs w:val="1"/>
          <w:color w:val="auto"/>
        </w:rPr>
        <w:t>See the sections 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 Factors — Risks</w:t>
      </w:r>
    </w:p>
    <w:p>
      <w:pPr>
        <w:spacing w:after="0" w:line="8" w:lineRule="exact"/>
        <w:rPr>
          <w:sz w:val="20"/>
          <w:szCs w:val="20"/>
          <w:color w:val="auto"/>
        </w:rPr>
      </w:pPr>
    </w:p>
    <w:p>
      <w:pPr>
        <w:jc w:val="both"/>
        <w:ind w:left="300" w:right="16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Relating to our Securities — The nominal purchase price paid by our insiders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 </w:t>
      </w:r>
      <w:r>
        <w:rPr>
          <w:rFonts w:ascii="Times New Roman" w:cs="Times New Roman" w:eastAsia="Times New Roman" w:hAnsi="Times New Roman"/>
          <w:sz w:val="17"/>
          <w:szCs w:val="17"/>
          <w:b w:val="1"/>
          <w:bCs w:val="1"/>
          <w:color w:val="auto"/>
        </w:rPr>
        <w:t>and “</w:t>
      </w:r>
      <w:r>
        <w:rPr>
          <w:rFonts w:ascii="Times New Roman" w:cs="Times New Roman" w:eastAsia="Times New Roman" w:hAnsi="Times New Roman"/>
          <w:sz w:val="17"/>
          <w:szCs w:val="17"/>
          <w:b w:val="1"/>
          <w:bCs w:val="1"/>
          <w:i w:val="1"/>
          <w:iCs w:val="1"/>
          <w:color w:val="auto"/>
        </w:rPr>
        <w:t>Dilution</w:t>
      </w:r>
      <w:r>
        <w:rPr>
          <w:rFonts w:ascii="Times New Roman" w:cs="Times New Roman" w:eastAsia="Times New Roman" w:hAnsi="Times New Roman"/>
          <w:sz w:val="17"/>
          <w:szCs w:val="17"/>
          <w:b w:val="1"/>
          <w:bCs w:val="1"/>
          <w:color w:val="auto"/>
        </w:rPr>
        <w:t>.”</w:t>
      </w:r>
    </w:p>
    <w:p>
      <w:pPr>
        <w:spacing w:after="0" w:line="168" w:lineRule="exact"/>
        <w:rPr>
          <w:sz w:val="20"/>
          <w:szCs w:val="20"/>
          <w:color w:val="auto"/>
        </w:rPr>
      </w:pPr>
    </w:p>
    <w:p>
      <w:pPr>
        <w:ind w:left="300" w:right="40" w:firstLine="425"/>
        <w:spacing w:after="0" w:line="252" w:lineRule="auto"/>
        <w:rPr>
          <w:sz w:val="20"/>
          <w:szCs w:val="20"/>
          <w:color w:val="auto"/>
        </w:rPr>
      </w:pPr>
      <w:r>
        <w:rPr>
          <w:rFonts w:ascii="Times New Roman" w:cs="Times New Roman" w:eastAsia="Times New Roman" w:hAnsi="Times New Roman"/>
          <w:sz w:val="18"/>
          <w:szCs w:val="18"/>
          <w:color w:val="auto"/>
        </w:rPr>
        <w:t xml:space="preserve">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w:t>
      </w:r>
      <w:r>
        <w:rPr>
          <w:rFonts w:ascii="Times New Roman" w:cs="Times New Roman" w:eastAsia="Times New Roman" w:hAnsi="Times New Roman"/>
          <w:sz w:val="18"/>
          <w:szCs w:val="18"/>
          <w:b w:val="1"/>
          <w:bCs w:val="1"/>
          <w:color w:val="auto"/>
        </w:rPr>
        <w:t>See the section titled “</w:t>
      </w:r>
      <w:r>
        <w:rPr>
          <w:rFonts w:ascii="Times New Roman" w:cs="Times New Roman" w:eastAsia="Times New Roman" w:hAnsi="Times New Roman"/>
          <w:sz w:val="18"/>
          <w:szCs w:val="18"/>
          <w:b w:val="1"/>
          <w:bCs w:val="1"/>
          <w:i w:val="1"/>
          <w:iCs w:val="1"/>
          <w:color w:val="auto"/>
        </w:rPr>
        <w:t>Summary — The Offering — Conversion of founder shares and private investor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anti-dilution rights</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ind w:left="300" w:firstLine="425"/>
        <w:spacing w:after="0" w:line="260" w:lineRule="auto"/>
        <w:rPr>
          <w:sz w:val="20"/>
          <w:szCs w:val="20"/>
          <w:color w:val="auto"/>
        </w:rPr>
      </w:pPr>
      <w:r>
        <w:rPr>
          <w:rFonts w:ascii="Times New Roman" w:cs="Times New Roman" w:eastAsia="Times New Roman" w:hAnsi="Times New Roman"/>
          <w:sz w:val="18"/>
          <w:szCs w:val="18"/>
          <w:color w:val="auto"/>
        </w:rPr>
        <w:t>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81"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389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1350" cy="5389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firstLine="425"/>
        <w:spacing w:after="0" w:line="260" w:lineRule="auto"/>
        <w:rPr>
          <w:sz w:val="20"/>
          <w:szCs w:val="20"/>
          <w:color w:val="auto"/>
        </w:rPr>
      </w:pPr>
      <w:r>
        <w:rPr>
          <w:rFonts w:ascii="Times New Roman" w:cs="Times New Roman" w:eastAsia="Times New Roman" w:hAnsi="Times New Roman"/>
          <w:sz w:val="18"/>
          <w:szCs w:val="18"/>
          <w:color w:val="auto"/>
        </w:rPr>
        <w:t>Pursuant to a letter agreement to be entered with us, each of our sponsor, directors and officers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w:t>
      </w:r>
    </w:p>
    <w:p>
      <w:pPr>
        <w:sectPr>
          <w:pgSz w:w="11900" w:h="16838" w:orient="portrait"/>
          <w:cols w:equalWidth="0" w:num="1">
            <w:col w:w="10920"/>
          </w:cols>
          <w:pgMar w:left="320" w:top="481" w:right="659" w:bottom="1440" w:gutter="0" w:footer="0" w:header="0"/>
        </w:sectPr>
      </w:pPr>
    </w:p>
    <w:p>
      <w:pPr>
        <w:spacing w:after="0" w:line="351"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460" w:type="dxa"/>
            <w:vAlign w:val="bottom"/>
          </w:tcPr>
          <w:p>
            <w:pPr>
              <w:spacing w:after="0"/>
              <w:rPr>
                <w:sz w:val="16"/>
                <w:szCs w:val="16"/>
                <w:color w:val="auto"/>
              </w:rPr>
            </w:pPr>
          </w:p>
        </w:tc>
        <w:tc>
          <w:tcPr>
            <w:tcW w:w="30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8"/>
              </w:rPr>
              <w:t>Founder shares</w:t>
            </w:r>
          </w:p>
        </w:tc>
        <w:tc>
          <w:tcPr>
            <w:tcW w:w="460" w:type="dxa"/>
            <w:vAlign w:val="bottom"/>
          </w:tcPr>
          <w:p>
            <w:pPr>
              <w:spacing w:after="0"/>
              <w:rPr>
                <w:sz w:val="16"/>
                <w:szCs w:val="16"/>
                <w:color w:val="auto"/>
              </w:rPr>
            </w:pPr>
          </w:p>
        </w:tc>
        <w:tc>
          <w:tcPr>
            <w:tcW w:w="3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 earlier of (A) six months after the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of the consummation of our initial</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w w:val="99"/>
              </w:rPr>
              <w:t>business combination or (B) subsequent to</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our initial business combination, (x) the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on which the last sale price of our</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equals or exceeds</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$11.50 per share (as adjusted for share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divisions, share dividends,</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reorganizations, recapitalizations and the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like) for any 20 trading days within any</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30-trading day period commencing at</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least 90 days after our initial business</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combination, or (y) the date on which we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consummate a liquidation, merger, stock</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exchange or other similar transaction after</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our initial business combination which</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results in all of our shareholders having</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right to exchange their ordinary shares</w:t>
            </w: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for cash, securities or other property.</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p>
      <w:pPr>
        <w:spacing w:after="0" w:line="5" w:lineRule="exact"/>
        <w:rPr>
          <w:sz w:val="20"/>
          <w:szCs w:val="20"/>
          <w:color w:val="auto"/>
        </w:rPr>
      </w:pPr>
    </w:p>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Subject to Restrictions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GigAcquisitions8 Corp.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Avi S. Katz</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Raluca Dinu</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Admiral (Ret.) David Ben-Bashat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Rear Admiral (Ret.) Omri Dagul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 I. Horowitz</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Ambassador Adrian Zuckerman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Machuca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Timm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Greene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Exceptions to Transfer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Restrictions</w:t>
      </w:r>
    </w:p>
    <w:p>
      <w:pPr>
        <w:spacing w:after="0" w:line="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Transfers permitted (1) amongst the sponsor and its affiliates, to our executive officers or directors, or to any affiliate or family member of any of our executive officers or directors,</w:t>
      </w:r>
    </w:p>
    <w:p>
      <w:pPr>
        <w:spacing w:after="0" w:line="3" w:lineRule="exact"/>
        <w:rPr>
          <w:sz w:val="20"/>
          <w:szCs w:val="20"/>
          <w:color w:val="auto"/>
        </w:rPr>
      </w:pPr>
    </w:p>
    <w:p>
      <w:pPr>
        <w:ind w:firstLine="6"/>
        <w:spacing w:after="0" w:line="250"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 securities,</w:t>
      </w:r>
    </w:p>
    <w:p>
      <w:pPr>
        <w:spacing w:after="0" w:line="2" w:lineRule="exact"/>
        <w:rPr>
          <w:rFonts w:ascii="Times New Roman" w:cs="Times New Roman" w:eastAsia="Times New Roman" w:hAnsi="Times New Roman"/>
          <w:sz w:val="18"/>
          <w:szCs w:val="18"/>
          <w:color w:val="auto"/>
        </w:rPr>
      </w:pPr>
    </w:p>
    <w:p>
      <w:pPr>
        <w:ind w:right="20" w:firstLine="6"/>
        <w:spacing w:after="0" w:line="251"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w:t>
      </w:r>
    </w:p>
    <w:p>
      <w:pPr>
        <w:spacing w:after="0" w:line="200" w:lineRule="exact"/>
        <w:rPr>
          <w:sz w:val="20"/>
          <w:szCs w:val="20"/>
          <w:color w:val="auto"/>
        </w:rPr>
      </w:pPr>
    </w:p>
    <w:p>
      <w:pPr>
        <w:sectPr>
          <w:pgSz w:w="11900" w:h="16838" w:orient="portrait"/>
          <w:cols w:equalWidth="0" w:num="3">
            <w:col w:w="4960" w:space="200"/>
            <w:col w:w="2440" w:space="580"/>
            <w:col w:w="2740"/>
          </w:cols>
          <w:pgMar w:left="320" w:top="481" w:right="659" w:bottom="1440" w:gutter="0" w:footer="0" w:header="0"/>
          <w:type w:val="continuous"/>
        </w:sectPr>
      </w:pP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81" w:right="6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02"/>
        </w:trPr>
        <w:tc>
          <w:tcPr>
            <w:tcW w:w="180" w:type="dxa"/>
            <w:vAlign w:val="bottom"/>
            <w:tcBorders>
              <w:top w:val="single" w:sz="8" w:color="auto"/>
              <w:left w:val="single" w:sz="8" w:color="auto"/>
            </w:tcBorders>
          </w:tcPr>
          <w:p>
            <w:pPr>
              <w:spacing w:after="0"/>
              <w:rPr>
                <w:sz w:val="24"/>
                <w:szCs w:val="24"/>
                <w:color w:val="auto"/>
              </w:rPr>
            </w:pPr>
          </w:p>
        </w:tc>
        <w:tc>
          <w:tcPr>
            <w:tcW w:w="1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460" w:type="dxa"/>
            <w:vAlign w:val="bottom"/>
            <w:tcBorders>
              <w:top w:val="single" w:sz="8" w:color="auto"/>
            </w:tcBorders>
          </w:tcPr>
          <w:p>
            <w:pPr>
              <w:spacing w:after="0"/>
              <w:rPr>
                <w:sz w:val="24"/>
                <w:szCs w:val="24"/>
                <w:color w:val="auto"/>
              </w:rPr>
            </w:pPr>
          </w:p>
        </w:tc>
        <w:tc>
          <w:tcPr>
            <w:tcW w:w="3280" w:type="dxa"/>
            <w:vAlign w:val="bottom"/>
            <w:tcBorders>
              <w:top w:val="single" w:sz="8" w:color="auto"/>
            </w:tcBorders>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02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960" w:type="dxa"/>
            <w:vAlign w:val="bottom"/>
            <w:tcBorders>
              <w:top w:val="single" w:sz="8" w:color="auto"/>
              <w:right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80" w:type="dxa"/>
            <w:vAlign w:val="bottom"/>
            <w:tcBorders>
              <w:left w:val="single" w:sz="8" w:color="auto"/>
            </w:tcBorders>
          </w:tcPr>
          <w:p>
            <w:pPr>
              <w:spacing w:after="0"/>
              <w:rPr>
                <w:sz w:val="15"/>
                <w:szCs w:val="15"/>
                <w:color w:val="auto"/>
              </w:rPr>
            </w:pPr>
          </w:p>
        </w:tc>
        <w:tc>
          <w:tcPr>
            <w:tcW w:w="11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2960" w:type="dxa"/>
            <w:vAlign w:val="bottom"/>
            <w:tcBorders>
              <w:right w:val="single" w:sz="8" w:color="auto"/>
            </w:tcBorders>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80" w:type="dxa"/>
            <w:vAlign w:val="bottom"/>
            <w:tcBorders>
              <w:lef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combination; provided that (except</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 clause (6)) these transferees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(“permitted transferees”) shall enter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into a written agreement with us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agreeing to be bound by the transfer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restrictions agreed to by the original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holder in connection with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purchase of the securities being</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transferred. In addition, the sponsor,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executive officers and directors may</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transfer, assign or sell any of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founder shares or private placement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units ((including underlying</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securities) (i) in the event of our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liquidation prior to the consummation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of our initial business combination;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(ii) by virtue of the laws of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Cayman Islands, by virtue of</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sponsor’s memorandum and articles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of association or other constitutional,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organizational or formational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documents, as amended, upon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dissolution of the sponsor, or by</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virtue of the constitutional,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organizational or formational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documents of a subsidiary of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sponsor that holds any such</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securities, upon liquidation or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dissolution of such subsidiary; or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(iii) in the event of our completion of</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 liquidation, merger, share exchange,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reorganization or other similar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transaction which results in all of our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shareholders having the right to</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exchange their ordinary shares for</w:t>
            </w: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cash, securities or other property</w:t>
            </w:r>
          </w:p>
        </w:tc>
        <w:tc>
          <w:tcPr>
            <w:tcW w:w="0" w:type="dxa"/>
            <w:vAlign w:val="bottom"/>
          </w:tcPr>
          <w:p>
            <w:pPr>
              <w:spacing w:after="0"/>
              <w:rPr>
                <w:sz w:val="1"/>
                <w:szCs w:val="1"/>
                <w:color w:val="auto"/>
              </w:rPr>
            </w:pPr>
          </w:p>
        </w:tc>
      </w:tr>
      <w:tr>
        <w:trPr>
          <w:trHeight w:val="172"/>
        </w:trPr>
        <w:tc>
          <w:tcPr>
            <w:tcW w:w="18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jc w:val="right"/>
              <w:ind w:right="2222"/>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6807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1350" cy="568071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460" w:type="dxa"/>
            <w:vAlign w:val="bottom"/>
          </w:tcPr>
          <w:p>
            <w:pPr>
              <w:spacing w:after="0"/>
              <w:rPr>
                <w:sz w:val="13"/>
                <w:szCs w:val="13"/>
                <w:color w:val="auto"/>
              </w:rPr>
            </w:pP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subsequent to the completion of our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initial business combination.</w:t>
            </w: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0920"/>
          </w:cols>
          <w:pgMar w:left="320" w:top="481" w:right="659" w:bottom="1440" w:gutter="0" w:footer="0" w:header="0"/>
        </w:sectPr>
      </w:pPr>
    </w:p>
    <w:p>
      <w:pPr>
        <w:ind w:left="320"/>
        <w:spacing w:after="0"/>
        <w:tabs>
          <w:tab w:leader="none" w:pos="1860" w:val="left"/>
        </w:tabs>
        <w:rPr>
          <w:sz w:val="20"/>
          <w:szCs w:val="20"/>
          <w:color w:val="auto"/>
        </w:rPr>
      </w:pPr>
      <w:r>
        <w:rPr>
          <w:rFonts w:ascii="Times New Roman" w:cs="Times New Roman" w:eastAsia="Times New Roman" w:hAnsi="Times New Roman"/>
          <w:sz w:val="18"/>
          <w:szCs w:val="18"/>
          <w:color w:val="auto"/>
        </w:rPr>
        <w:t>Private placement</w:t>
      </w:r>
      <w:r>
        <w:rPr>
          <w:sz w:val="20"/>
          <w:szCs w:val="20"/>
          <w:color w:val="auto"/>
        </w:rPr>
        <w:tab/>
      </w:r>
      <w:r>
        <w:rPr>
          <w:rFonts w:ascii="Times New Roman" w:cs="Times New Roman" w:eastAsia="Times New Roman" w:hAnsi="Times New Roman"/>
          <w:sz w:val="17"/>
          <w:szCs w:val="17"/>
          <w:color w:val="auto"/>
        </w:rPr>
        <w:t>Thirty days after the completion of our</w:t>
      </w:r>
    </w:p>
    <w:p>
      <w:pPr>
        <w:spacing w:after="0" w:line="27" w:lineRule="exact"/>
        <w:rPr>
          <w:sz w:val="20"/>
          <w:szCs w:val="20"/>
          <w:color w:val="auto"/>
        </w:rPr>
      </w:pPr>
    </w:p>
    <w:p>
      <w:pPr>
        <w:ind w:left="320"/>
        <w:spacing w:after="0"/>
        <w:tabs>
          <w:tab w:leader="none" w:pos="1860" w:val="left"/>
        </w:tabs>
        <w:rPr>
          <w:sz w:val="20"/>
          <w:szCs w:val="20"/>
          <w:color w:val="auto"/>
        </w:rPr>
      </w:pPr>
      <w:r>
        <w:rPr>
          <w:rFonts w:ascii="Times New Roman" w:cs="Times New Roman" w:eastAsia="Times New Roman" w:hAnsi="Times New Roman"/>
          <w:sz w:val="18"/>
          <w:szCs w:val="18"/>
          <w:color w:val="auto"/>
        </w:rPr>
        <w:t>units (including</w:t>
      </w:r>
      <w:r>
        <w:rPr>
          <w:sz w:val="20"/>
          <w:szCs w:val="20"/>
          <w:color w:val="auto"/>
        </w:rPr>
        <w:tab/>
      </w:r>
      <w:r>
        <w:rPr>
          <w:rFonts w:ascii="Times New Roman" w:cs="Times New Roman" w:eastAsia="Times New Roman" w:hAnsi="Times New Roman"/>
          <w:sz w:val="17"/>
          <w:szCs w:val="17"/>
          <w:color w:val="auto"/>
        </w:rPr>
        <w:t>initial business combination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underlying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spacing w:after="0"/>
        <w:tabs>
          <w:tab w:leader="none" w:pos="1860" w:val="left"/>
        </w:tabs>
        <w:rPr>
          <w:sz w:val="20"/>
          <w:szCs w:val="20"/>
          <w:color w:val="auto"/>
        </w:rPr>
      </w:pPr>
      <w:r>
        <w:rPr>
          <w:rFonts w:ascii="Times New Roman" w:cs="Times New Roman" w:eastAsia="Times New Roman" w:hAnsi="Times New Roman"/>
          <w:sz w:val="18"/>
          <w:szCs w:val="18"/>
          <w:color w:val="auto"/>
        </w:rPr>
        <w:t>Private investor</w:t>
      </w:r>
      <w:r>
        <w:rPr>
          <w:sz w:val="20"/>
          <w:szCs w:val="20"/>
          <w:color w:val="auto"/>
        </w:rPr>
        <w:tab/>
      </w:r>
      <w:r>
        <w:rPr>
          <w:rFonts w:ascii="Times New Roman" w:cs="Times New Roman" w:eastAsia="Times New Roman" w:hAnsi="Times New Roman"/>
          <w:sz w:val="17"/>
          <w:szCs w:val="17"/>
          <w:color w:val="auto"/>
        </w:rPr>
        <w:t>The earlier of (A) six months after the</w:t>
      </w:r>
    </w:p>
    <w:p>
      <w:pPr>
        <w:spacing w:after="0" w:line="27" w:lineRule="exact"/>
        <w:rPr>
          <w:sz w:val="20"/>
          <w:szCs w:val="20"/>
          <w:color w:val="auto"/>
        </w:rPr>
      </w:pPr>
    </w:p>
    <w:p>
      <w:pPr>
        <w:ind w:left="320"/>
        <w:spacing w:after="0"/>
        <w:tabs>
          <w:tab w:leader="none" w:pos="1860" w:val="left"/>
        </w:tabs>
        <w:rPr>
          <w:sz w:val="20"/>
          <w:szCs w:val="20"/>
          <w:color w:val="auto"/>
        </w:rPr>
      </w:pPr>
      <w:r>
        <w:rPr>
          <w:rFonts w:ascii="Times New Roman" w:cs="Times New Roman" w:eastAsia="Times New Roman" w:hAnsi="Times New Roman"/>
          <w:sz w:val="18"/>
          <w:szCs w:val="18"/>
          <w:color w:val="auto"/>
        </w:rPr>
        <w:t>shares</w:t>
      </w:r>
      <w:r>
        <w:rPr>
          <w:sz w:val="20"/>
          <w:szCs w:val="20"/>
          <w:color w:val="auto"/>
        </w:rPr>
        <w:tab/>
      </w:r>
      <w:r>
        <w:rPr>
          <w:rFonts w:ascii="Times New Roman" w:cs="Times New Roman" w:eastAsia="Times New Roman" w:hAnsi="Times New Roman"/>
          <w:sz w:val="18"/>
          <w:szCs w:val="18"/>
          <w:color w:val="auto"/>
        </w:rPr>
        <w:t>date of the consummation of our initial</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business combination or (B) subsequent to</w:t>
      </w:r>
    </w:p>
    <w:p>
      <w:pPr>
        <w:spacing w:after="0" w:line="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our initial business combination, (x)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date on which the last sale price of our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ordinary shares equals or exceeds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$11.50 per share (as adjusted for share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divisions, share dividends,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reorganizations, recapitalizations and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like) for any 20 trading days within 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30-trading day period commencing at</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least 90 days after our initial business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combination, or (y) the date on which we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consummate a liquidation, merger, stock</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exchange or other similar transaction after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our initial business combination which</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results in all of our shareholders having</w:t>
      </w:r>
    </w:p>
    <w:p>
      <w:pPr>
        <w:spacing w:after="0" w:line="20" w:lineRule="exact"/>
        <w:rPr>
          <w:sz w:val="20"/>
          <w:szCs w:val="20"/>
          <w:color w:val="auto"/>
        </w:rPr>
      </w:pPr>
      <w:r>
        <w:rPr>
          <w:sz w:val="20"/>
          <w:szCs w:val="20"/>
          <w:color w:val="auto"/>
        </w:rPr>
        <w:br w:type="column"/>
      </w:r>
    </w:p>
    <w:p>
      <w:pPr>
        <w:spacing w:after="0"/>
        <w:tabs>
          <w:tab w:leader="none" w:pos="3000" w:val="left"/>
        </w:tabs>
        <w:rPr>
          <w:sz w:val="20"/>
          <w:szCs w:val="20"/>
          <w:color w:val="auto"/>
        </w:rPr>
      </w:pPr>
      <w:r>
        <w:rPr>
          <w:rFonts w:ascii="Times New Roman" w:cs="Times New Roman" w:eastAsia="Times New Roman" w:hAnsi="Times New Roman"/>
          <w:sz w:val="18"/>
          <w:szCs w:val="18"/>
          <w:color w:val="auto"/>
        </w:rPr>
        <w:t>GigAcquisitions8 Corp.</w:t>
      </w:r>
      <w:r>
        <w:rPr>
          <w:sz w:val="20"/>
          <w:szCs w:val="20"/>
          <w:color w:val="auto"/>
        </w:rPr>
        <w:tab/>
      </w:r>
      <w:r>
        <w:rPr>
          <w:rFonts w:ascii="Times New Roman" w:cs="Times New Roman" w:eastAsia="Times New Roman" w:hAnsi="Times New Roman"/>
          <w:sz w:val="18"/>
          <w:szCs w:val="18"/>
          <w:color w:val="auto"/>
        </w:rPr>
        <w:t>Same as above.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Avi S. Katz</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Raluca Dinu</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Admiral (Ret.) David Ben-Bashat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Rear Admiral (Ret.) Omri Dagul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 I. Horowitz</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Ambassador Adrian Zuckerman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Machuca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Timm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Greene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Non-managing investors</w:t>
      </w:r>
    </w:p>
    <w:p>
      <w:pPr>
        <w:spacing w:after="0" w:line="130"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18"/>
          <w:szCs w:val="18"/>
          <w:color w:val="auto"/>
        </w:rPr>
        <w:t>Non-managing investors</w:t>
      </w:r>
      <w:r>
        <w:rPr>
          <w:sz w:val="20"/>
          <w:szCs w:val="20"/>
          <w:color w:val="auto"/>
        </w:rPr>
        <w:tab/>
      </w:r>
      <w:r>
        <w:rPr>
          <w:rFonts w:ascii="Times New Roman" w:cs="Times New Roman" w:eastAsia="Times New Roman" w:hAnsi="Times New Roman"/>
          <w:sz w:val="18"/>
          <w:szCs w:val="18"/>
          <w:color w:val="auto"/>
        </w:rPr>
        <w:t>Same as above.</w:t>
      </w:r>
    </w:p>
    <w:p>
      <w:pPr>
        <w:spacing w:after="0" w:line="3670" w:lineRule="exact"/>
        <w:rPr>
          <w:sz w:val="20"/>
          <w:szCs w:val="20"/>
          <w:color w:val="auto"/>
        </w:rPr>
      </w:pPr>
    </w:p>
    <w:p>
      <w:pPr>
        <w:sectPr>
          <w:pgSz w:w="11900" w:h="16838" w:orient="portrait"/>
          <w:cols w:equalWidth="0" w:num="2">
            <w:col w:w="4940" w:space="220"/>
            <w:col w:w="5760"/>
          </w:cols>
          <w:pgMar w:left="320" w:top="481" w:right="659" w:bottom="1440" w:gutter="0" w:footer="0" w:header="0"/>
          <w:type w:val="continuous"/>
        </w:sectPr>
      </w:pP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320" w:top="481" w:right="6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244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1350" cy="5244465"/>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8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0" w:type="dxa"/>
            <w:vAlign w:val="bottom"/>
          </w:tcPr>
          <w:p>
            <w:pPr>
              <w:spacing w:after="0"/>
              <w:rPr>
                <w:sz w:val="1"/>
                <w:szCs w:val="1"/>
                <w:color w:val="auto"/>
              </w:rPr>
            </w:pPr>
          </w:p>
        </w:tc>
      </w:tr>
      <w:tr>
        <w:trPr>
          <w:trHeight w:val="180"/>
        </w:trPr>
        <w:tc>
          <w:tcPr>
            <w:tcW w:w="1580" w:type="dxa"/>
            <w:vAlign w:val="bottom"/>
            <w:gridSpan w:val="2"/>
            <w:vMerge w:val="continue"/>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28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the right to exchange their ordinary shares</w:t>
            </w:r>
          </w:p>
        </w:tc>
        <w:tc>
          <w:tcPr>
            <w:tcW w:w="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cash, securities or other property.</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units, share</w:t>
            </w: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180 days from the date of this prospectus</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GigAcquisitions8 Corp.</w:t>
            </w:r>
          </w:p>
        </w:tc>
        <w:tc>
          <w:tcPr>
            <w:tcW w:w="0" w:type="dxa"/>
            <w:vAlign w:val="bottom"/>
          </w:tcPr>
          <w:p>
            <w:pPr>
              <w:spacing w:after="0"/>
              <w:rPr>
                <w:sz w:val="1"/>
                <w:szCs w:val="1"/>
                <w:color w:val="auto"/>
              </w:rPr>
            </w:pPr>
          </w:p>
        </w:tc>
      </w:tr>
      <w:tr>
        <w:trPr>
          <w:trHeight w:val="21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rights, ordinary</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Dr. Avi S. Katz</w:t>
            </w:r>
          </w:p>
        </w:tc>
        <w:tc>
          <w:tcPr>
            <w:tcW w:w="0" w:type="dxa"/>
            <w:vAlign w:val="bottom"/>
          </w:tcPr>
          <w:p>
            <w:pPr>
              <w:spacing w:after="0"/>
              <w:rPr>
                <w:sz w:val="1"/>
                <w:szCs w:val="1"/>
                <w:color w:val="auto"/>
              </w:rPr>
            </w:pPr>
          </w:p>
        </w:tc>
      </w:tr>
      <w:tr>
        <w:trPr>
          <w:trHeight w:val="140"/>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shares or any other</w:t>
            </w: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580" w:type="dxa"/>
            <w:vAlign w:val="bottom"/>
            <w:gridSpan w:val="2"/>
            <w:vMerge w:val="continue"/>
          </w:tcPr>
          <w:p>
            <w:pPr>
              <w:spacing w:after="0"/>
              <w:rPr>
                <w:sz w:val="6"/>
                <w:szCs w:val="6"/>
                <w:color w:val="auto"/>
              </w:rPr>
            </w:pPr>
          </w:p>
        </w:tc>
        <w:tc>
          <w:tcPr>
            <w:tcW w:w="3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0" w:type="dxa"/>
            <w:vAlign w:val="bottom"/>
          </w:tcPr>
          <w:p>
            <w:pPr>
              <w:spacing w:after="0"/>
              <w:rPr>
                <w:sz w:val="1"/>
                <w:szCs w:val="1"/>
                <w:color w:val="auto"/>
              </w:rPr>
            </w:pPr>
          </w:p>
        </w:tc>
      </w:tr>
      <w:tr>
        <w:trPr>
          <w:trHeight w:val="21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into, or</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0" w:type="dxa"/>
            <w:vAlign w:val="bottom"/>
          </w:tcPr>
          <w:p>
            <w:pPr>
              <w:spacing w:after="0"/>
              <w:rPr>
                <w:sz w:val="1"/>
                <w:szCs w:val="1"/>
                <w:color w:val="auto"/>
              </w:rPr>
            </w:pPr>
          </w:p>
        </w:tc>
      </w:tr>
      <w:tr>
        <w:trPr>
          <w:trHeight w:val="167"/>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or</w:t>
            </w: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80" w:type="dxa"/>
            <w:vAlign w:val="bottom"/>
            <w:gridSpan w:val="2"/>
            <w:vMerge w:val="continue"/>
          </w:tcPr>
          <w:p>
            <w:pPr>
              <w:spacing w:after="0"/>
              <w:rPr>
                <w:sz w:val="4"/>
                <w:szCs w:val="4"/>
                <w:color w:val="auto"/>
              </w:rPr>
            </w:pPr>
          </w:p>
        </w:tc>
        <w:tc>
          <w:tcPr>
            <w:tcW w:w="3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exchangeable for,</w:t>
            </w: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0" w:type="dxa"/>
            <w:vAlign w:val="bottom"/>
          </w:tcPr>
          <w:p>
            <w:pPr>
              <w:spacing w:after="0"/>
              <w:rPr>
                <w:sz w:val="1"/>
                <w:szCs w:val="1"/>
                <w:color w:val="auto"/>
              </w:rPr>
            </w:pPr>
          </w:p>
        </w:tc>
      </w:tr>
      <w:tr>
        <w:trPr>
          <w:trHeight w:val="197"/>
        </w:trPr>
        <w:tc>
          <w:tcPr>
            <w:tcW w:w="158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any units, ordinary</w:t>
            </w: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0" w:type="dxa"/>
            <w:vAlign w:val="bottom"/>
          </w:tcPr>
          <w:p>
            <w:pPr>
              <w:spacing w:after="0"/>
              <w:rPr>
                <w:sz w:val="1"/>
                <w:szCs w:val="1"/>
                <w:color w:val="auto"/>
              </w:rPr>
            </w:pPr>
          </w:p>
        </w:tc>
      </w:tr>
      <w:tr>
        <w:trPr>
          <w:trHeight w:val="21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founder</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or rights</w:t>
            </w: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Luis Machuca</w:t>
            </w:r>
          </w:p>
        </w:tc>
        <w:tc>
          <w:tcPr>
            <w:tcW w:w="0" w:type="dxa"/>
            <w:vAlign w:val="bottom"/>
          </w:tcPr>
          <w:p>
            <w:pPr>
              <w:spacing w:after="0"/>
              <w:rPr>
                <w:sz w:val="1"/>
                <w:szCs w:val="1"/>
                <w:color w:val="auto"/>
              </w:rPr>
            </w:pPr>
          </w:p>
        </w:tc>
      </w:tr>
      <w:tr>
        <w:trPr>
          <w:trHeight w:val="319"/>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Bryan Timm</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James Greene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Exceptions to Transfer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Restrictions</w:t>
      </w:r>
    </w:p>
    <w:p>
      <w:pPr>
        <w:spacing w:after="0" w:line="200" w:lineRule="exact"/>
        <w:rPr>
          <w:sz w:val="20"/>
          <w:szCs w:val="20"/>
          <w:color w:val="auto"/>
        </w:rPr>
      </w:pPr>
    </w:p>
    <w:p>
      <w:pPr>
        <w:spacing w:after="0" w:line="3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our sponsor and our officers and directors have agreed that, for a period of 180 days from the date of this prospectus, we and they will not, without the prior written consent of the representative of the underwriters, offer, sell, contract to sell, pledge or otherwise dispose of, directly or indirectly, any units, share rights, shares or any other securities convertible into, or exercisable, or exchangeable for, shares, subject to certain exceptions.</w:t>
      </w:r>
    </w:p>
    <w:p>
      <w:pPr>
        <w:spacing w:after="0" w:line="10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representative in its sole discretion may release any of the securities subject to these lock-up agreements at any time without notice, other than in the case of the officers and directors, which shall be with notice. Our sponsor, officers and directors are also subject to separate transfer restrictions on their founder shares and private placement units pursuant to the letter agreement described in the immediately preceding paragraphs.</w:t>
      </w:r>
    </w:p>
    <w:p>
      <w:pPr>
        <w:spacing w:after="0" w:line="195" w:lineRule="exact"/>
        <w:rPr>
          <w:sz w:val="20"/>
          <w:szCs w:val="20"/>
          <w:color w:val="auto"/>
        </w:rPr>
      </w:pPr>
    </w:p>
    <w:p>
      <w:pPr>
        <w:sectPr>
          <w:pgSz w:w="11900" w:h="16838" w:orient="portrait"/>
          <w:cols w:equalWidth="0" w:num="2">
            <w:col w:w="8020" w:space="160"/>
            <w:col w:w="2740"/>
          </w:cols>
          <w:pgMar w:left="320" w:top="481" w:right="659" w:bottom="1440" w:gutter="0" w:footer="0" w:header="0"/>
          <w:type w:val="continuous"/>
        </w:sectPr>
      </w:pPr>
    </w:p>
    <w:p>
      <w:pPr>
        <w:ind w:left="300" w:right="60" w:firstLine="425"/>
        <w:spacing w:after="0" w:line="258" w:lineRule="auto"/>
        <w:rPr>
          <w:sz w:val="20"/>
          <w:szCs w:val="20"/>
          <w:color w:val="auto"/>
        </w:rPr>
      </w:pPr>
      <w:r>
        <w:rPr>
          <w:rFonts w:ascii="Times New Roman" w:cs="Times New Roman" w:eastAsia="Times New Roman" w:hAnsi="Times New Roman"/>
          <w:sz w:val="18"/>
          <w:szCs w:val="18"/>
          <w:color w:val="auto"/>
        </w:rPr>
        <w:t>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320" w:top="481" w:right="6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15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1350" cy="5715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81" w:lineRule="auto"/>
        <w:rPr>
          <w:sz w:val="20"/>
          <w:szCs w:val="20"/>
          <w:color w:val="auto"/>
        </w:rPr>
      </w:pPr>
      <w:r>
        <w:rPr>
          <w:rFonts w:ascii="Times New Roman" w:cs="Times New Roman" w:eastAsia="Times New Roman" w:hAnsi="Times New Roman"/>
          <w:sz w:val="18"/>
          <w:szCs w:val="18"/>
          <w:color w:val="auto"/>
        </w:rPr>
        <w:t>respect to any such securities. We may also issue Class A ordinary shares upon conversion of the Class B ordinary shares at a ratio greater than one-to-one at the time of our initial business combination as a result of the anti-dilution provisions as set forth therein.</w:t>
      </w:r>
    </w:p>
    <w:p>
      <w:pPr>
        <w:spacing w:after="0" w:line="163" w:lineRule="exact"/>
        <w:rPr>
          <w:sz w:val="20"/>
          <w:szCs w:val="20"/>
          <w:color w:val="auto"/>
        </w:rPr>
      </w:pPr>
    </w:p>
    <w:p>
      <w:pPr>
        <w:ind w:left="300" w:right="20" w:firstLine="425"/>
        <w:spacing w:after="0" w:line="260" w:lineRule="auto"/>
        <w:rPr>
          <w:sz w:val="20"/>
          <w:szCs w:val="20"/>
          <w:color w:val="auto"/>
        </w:rPr>
      </w:pPr>
      <w:r>
        <w:rPr>
          <w:rFonts w:ascii="Times New Roman" w:cs="Times New Roman" w:eastAsia="Times New Roman" w:hAnsi="Times New Roman"/>
          <w:sz w:val="18"/>
          <w:szCs w:val="18"/>
          <w:color w:val="auto"/>
        </w:rPr>
        <w:t>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w:t>
      </w:r>
    </w:p>
    <w:p>
      <w:pPr>
        <w:spacing w:after="0" w:line="182" w:lineRule="exact"/>
        <w:rPr>
          <w:sz w:val="20"/>
          <w:szCs w:val="20"/>
          <w:color w:val="auto"/>
        </w:rPr>
      </w:pPr>
    </w:p>
    <w:p>
      <w:pPr>
        <w:ind w:left="300" w:firstLine="425"/>
        <w:spacing w:after="0" w:line="256" w:lineRule="auto"/>
        <w:rPr>
          <w:sz w:val="20"/>
          <w:szCs w:val="20"/>
          <w:color w:val="auto"/>
        </w:rPr>
      </w:pPr>
      <w:r>
        <w:rPr>
          <w:rFonts w:ascii="Times New Roman" w:cs="Times New Roman" w:eastAsia="Times New Roman" w:hAnsi="Times New Roman"/>
          <w:sz w:val="18"/>
          <w:szCs w:val="18"/>
          <w:color w:val="auto"/>
        </w:rPr>
        <w:t xml:space="preserve">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Summary — The Offering — Transfer restrictions applicable to founder shares, private investor shares,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 shares and private placement rights (and shares into which the rights convert).</w:t>
      </w:r>
      <w:r>
        <w:rPr>
          <w:rFonts w:ascii="Times New Roman" w:cs="Times New Roman" w:eastAsia="Times New Roman" w:hAnsi="Times New Roman"/>
          <w:sz w:val="18"/>
          <w:szCs w:val="18"/>
          <w:b w:val="1"/>
          <w:bCs w:val="1"/>
          <w:color w:val="auto"/>
        </w:rPr>
        <w: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300" w:right="20" w:firstLine="425"/>
        <w:spacing w:after="0" w:line="252" w:lineRule="auto"/>
        <w:rPr>
          <w:sz w:val="20"/>
          <w:szCs w:val="20"/>
          <w:color w:val="auto"/>
        </w:rPr>
      </w:pPr>
      <w:r>
        <w:rPr>
          <w:rFonts w:ascii="Times New Roman" w:cs="Times New Roman" w:eastAsia="Times New Roman" w:hAnsi="Times New Roman"/>
          <w:sz w:val="18"/>
          <w:szCs w:val="18"/>
          <w:color w:val="auto"/>
        </w:rPr>
        <w:t>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including interest (which interest shall be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if any), in each case subject to the limitations described herein. The decision as to whether we will seek shareholder approval of our proposed business combination or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Unlike other blank check companies which require shareholder votes and conduct proxy solicitations in conjunction with their initial business combinations and related conversions of public shares for cash upon consummation of such initial business combinations even when a vote is not required by law, we will have the flexibility to avoid such shareholder vote and allow our shareholders to sell their shares pursuant to the tender offer rules of the SEC. In that case, we will file tender offer documents with the SEC, which will contain substantially the same financial and other information about the initial business combination as is required under the SEC’s proxy rules.</w:t>
      </w:r>
    </w:p>
    <w:p>
      <w:pPr>
        <w:spacing w:after="0" w:line="195" w:lineRule="exact"/>
        <w:rPr>
          <w:sz w:val="20"/>
          <w:szCs w:val="20"/>
          <w:color w:val="auto"/>
        </w:rPr>
      </w:pPr>
    </w:p>
    <w:p>
      <w:pPr>
        <w:ind w:left="300" w:firstLine="425"/>
        <w:spacing w:after="0" w:line="254" w:lineRule="auto"/>
        <w:rPr>
          <w:sz w:val="20"/>
          <w:szCs w:val="20"/>
          <w:color w:val="auto"/>
        </w:rPr>
      </w:pPr>
      <w:r>
        <w:rPr>
          <w:rFonts w:ascii="Times New Roman" w:cs="Times New Roman" w:eastAsia="Times New Roman" w:hAnsi="Times New Roman"/>
          <w:sz w:val="18"/>
          <w:szCs w:val="18"/>
          <w:color w:val="auto"/>
        </w:rPr>
        <w:t>We will have until 24 months from the closing of this offering to consummate an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While we do not currently intend to seek such shareholder approval, we may elect to do so in the future. There is no limit on the number of extensions that we may seek; however, we do not expect to extend the completion window beyond 36 months from the closing of this offering.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our insiders’ investment in our founder shares and our</w:t>
      </w: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81"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52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1350" cy="5852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private placement units, including the component securities thereof, will be worthless. If we are unable to consummate an initial business combination within the completion window, we will, as promptly as reasonably possible but not more than 10 business days thereafter, redeem 100% of the outstanding public shares, at a per-share price, payable in cash, equal to the aggregate amount then on deposit in the trust account, including any interest earned on the funds held in the trust account and net of interest that may be used by us to pay permitted withdrawals, and less up to $100,000 of interest to pay dissolution expenses, divided by the number of then outstanding public shares, which redemption will completely extinguish the public shareholders’ rights as shareholders (including the right to receive further liquidation distributions, if any), subject to applicable law and as further described herein, and then seek to dissolve and liquidate. We expect the pro rata redemption price to be approximately $10.00 per public share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shareholders.</w:t>
      </w:r>
    </w:p>
    <w:p>
      <w:pPr>
        <w:spacing w:after="0" w:line="191" w:lineRule="exact"/>
        <w:rPr>
          <w:sz w:val="20"/>
          <w:szCs w:val="20"/>
          <w:color w:val="auto"/>
        </w:rPr>
      </w:pPr>
    </w:p>
    <w:p>
      <w:pPr>
        <w:ind w:left="300" w:right="40" w:firstLine="425"/>
        <w:spacing w:after="0" w:line="252"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 fair market value of at least 80% of the assets held in the trust account (excluding permitted withdrawals) at the time of the agreement to enter into the initial business combination. Such initial business combination must be approved by a majority of the company’s independent directors. The fair market value of the acquisition target(s) will be determined by our board of directors based upon one or more standards generally accepted by the financial community (such as actual and potential sales, earnings, cash flow, valuation of the specific market segment of the target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our board of directors in evaluating the fair market value of the acquisition target(s). The proxy solicitation materials or tender offer documents used by us in connection with any proposed transaction will provide public shareholders with our analysis of the fair market value of the acquisition target, as well as the basis for our determinations. If our board of directors is not able independently to determine the fair market value of the target business(es), we may, in our sole discretion, obtain an opinion from an independent investment banking firm, or another independent entity that commonly renders valuation opinions on the type of target business we are seeking to acquire, with respect to the satisfaction of such criteria. However, unless we consummate our initial business combination with an affiliated entity, our board of directors is not required to obtain an opinion from an independent investment banking firm or another independent entity that the price we are paying is fair to our shareholders from a financial point of view.</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described below adjacent to the caption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Offering — Offering proceeds to be held in the trust account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Nasdaq rules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provide that at least 90% of the gross proceeds from this offering and the sale of the public units be deposited in a trust account.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$220,000,000 gross proceeds we will receive from this offering and the sale of the private investor shares and private placement units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$253,000,000 if the over-allotment option is exercised in full), an aggregate of $220,000,000 (or $10.00 per unit), or $253,000,000 (or $10.00 per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 if the over-allotment option is exercised in full, will be placed in a segregated trust account located in the United States maintained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Continental Stock Transfer &amp; Trust Company acting as trustee pursuant to an agreement to be signed on the date of this prospectus. The funds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trust account will be invested only in specified U.S. government treasury bills or in specified money market funds.</w:t>
      </w:r>
    </w:p>
    <w:p>
      <w:pPr>
        <w:spacing w:after="0" w:line="206" w:lineRule="exact"/>
        <w:rPr>
          <w:sz w:val="20"/>
          <w:szCs w:val="20"/>
          <w:color w:val="auto"/>
        </w:rPr>
      </w:pPr>
    </w:p>
    <w:p>
      <w:pPr>
        <w:ind w:left="300" w:firstLine="425"/>
        <w:spacing w:after="0" w:line="256" w:lineRule="auto"/>
        <w:rPr>
          <w:sz w:val="20"/>
          <w:szCs w:val="20"/>
          <w:color w:val="auto"/>
        </w:rPr>
      </w:pPr>
      <w:r>
        <w:rPr>
          <w:rFonts w:ascii="Times New Roman" w:cs="Times New Roman" w:eastAsia="Times New Roman" w:hAnsi="Times New Roman"/>
          <w:sz w:val="18"/>
          <w:szCs w:val="18"/>
          <w:color w:val="auto"/>
        </w:rPr>
        <w:t>We currently anticipate structuring a business combination to acquire 100% of the equity interests or assets of the acquisition target(s). We may, however, structure our initial business combination where we merge directly with the acquisition target or where we acquire less than 100% of such interests or assets of the acquisition target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acquisition target sufficient for it not to be required to register as an investment company under the Investment</w:t>
      </w: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81"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784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71" w:lineRule="auto"/>
        <w:rPr>
          <w:sz w:val="20"/>
          <w:szCs w:val="20"/>
          <w:color w:val="auto"/>
        </w:rPr>
      </w:pPr>
      <w:r>
        <w:rPr>
          <w:rFonts w:ascii="Times New Roman" w:cs="Times New Roman" w:eastAsia="Times New Roman" w:hAnsi="Times New Roman"/>
          <w:sz w:val="17"/>
          <w:szCs w:val="17"/>
          <w:color w:val="auto"/>
        </w:rPr>
        <w:t>Company Act. Even if the post-transaction company owns or acquires 50% or more of the voting securities of the acquisition target, our shareholders prior to the business combination may collectively own a minority interest in the post-transaction company, depending on valuations ascribed to the acquisition target and us in the business combination transaction. For example, we could pursue a transaction in which we issue a substantial number of new shares in exchange for all of the outstanding capital stock of a target. In this case, we could acquire a 100% controlling interest in the acquisition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an acquisition target(s) are owned or acquired by the post-transaction company, the portion of such business or businesses that is owned or acquired is what will be valued for purposes of the 80% fair market value test, as described above.</w:t>
      </w:r>
    </w:p>
    <w:p>
      <w:pPr>
        <w:spacing w:after="0" w:line="174" w:lineRule="exact"/>
        <w:rPr>
          <w:sz w:val="20"/>
          <w:szCs w:val="20"/>
          <w:color w:val="auto"/>
        </w:rPr>
      </w:pPr>
    </w:p>
    <w:p>
      <w:pPr>
        <w:ind w:left="300" w:right="60" w:firstLine="425"/>
        <w:spacing w:after="0" w:line="258" w:lineRule="auto"/>
        <w:rPr>
          <w:sz w:val="20"/>
          <w:szCs w:val="20"/>
          <w:color w:val="auto"/>
        </w:rPr>
      </w:pPr>
      <w:r>
        <w:rPr>
          <w:rFonts w:ascii="Times New Roman" w:cs="Times New Roman" w:eastAsia="Times New Roman" w:hAnsi="Times New Roman"/>
          <w:sz w:val="18"/>
          <w:szCs w:val="18"/>
          <w:color w:val="auto"/>
        </w:rPr>
        <w:t>As more fully discussed in “</w:t>
      </w:r>
      <w:r>
        <w:rPr>
          <w:rFonts w:ascii="Times New Roman" w:cs="Times New Roman" w:eastAsia="Times New Roman" w:hAnsi="Times New Roman"/>
          <w:sz w:val="18"/>
          <w:szCs w:val="18"/>
          <w:i w:val="1"/>
          <w:iCs w:val="1"/>
          <w:color w:val="auto"/>
        </w:rPr>
        <w:t>Management—Conflicts of Interest</w:t>
      </w:r>
      <w:r>
        <w:rPr>
          <w:rFonts w:ascii="Times New Roman" w:cs="Times New Roman" w:eastAsia="Times New Roman" w:hAnsi="Times New Roman"/>
          <w:sz w:val="18"/>
          <w:szCs w:val="18"/>
          <w:color w:val="auto"/>
        </w:rPr>
        <w:t>” if any of our officers or directors becomes aware of a business combination opportunity that falls within the line of business of any entity to which he or she has fiduciary or contractual obligations, including, among other things, UpHealth, Inc., QT Imaging Holdings, Inc. and GIG7, he or she may be required to present such business combination opportunity to such entities prior to presenting such business combination opportunity to us. Certain of our directors currently have, and any of our officers or directors may in the future have, certain relevant fiduciary duties or contractual obligations.</w:t>
      </w:r>
    </w:p>
    <w:p>
      <w:pPr>
        <w:spacing w:after="0" w:line="184" w:lineRule="exact"/>
        <w:rPr>
          <w:sz w:val="20"/>
          <w:szCs w:val="20"/>
          <w:color w:val="auto"/>
        </w:rPr>
      </w:pPr>
    </w:p>
    <w:p>
      <w:pPr>
        <w:ind w:left="300" w:right="20" w:firstLine="425"/>
        <w:spacing w:after="0" w:line="252" w:lineRule="auto"/>
        <w:rPr>
          <w:sz w:val="20"/>
          <w:szCs w:val="20"/>
          <w:color w:val="auto"/>
        </w:rPr>
      </w:pPr>
      <w:r>
        <w:rPr>
          <w:rFonts w:ascii="Times New Roman" w:cs="Times New Roman" w:eastAsia="Times New Roman" w:hAnsi="Times New Roman"/>
          <w:sz w:val="18"/>
          <w:szCs w:val="18"/>
          <w:color w:val="auto"/>
        </w:rPr>
        <w:t>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Further, there is a significant overlap among the directors and officers of UpHealth, Inc., QT Imaging Holdings, Inc., GIG7 and our company. Dr. Katz, our Chief Executive Officer and Chairman, serves as the Chairman of UpHealth, Inc. and QT Imaging Holdings, Inc. and the Chief Executive Officer and Chairman of GIG7. Dr. Dinu, our director, is also the Chief Executive Officer and a member of the board of directors of QT Imaging Holdings, Inc., as well as a member of the board of directors of each of UpHealth, Inc. and GIG7. Our directors, Raanan Horowitz and Ambassador Adrian Zuckerman, are also board members of GIG7. Our directors, James Greene and Luis Machuca, serve on the board of directors of UpHealth, Inc., and Mr. Greene is also a board member of QT Imaging Holdings, Inc. Christine Marshall, our Chief Financial Officer, serves in the same position at GIG7. Any of such companies may present additional conflicts of interest in pursuing an acquisition target. However, we do not believe that any potential conflicts would materially affect our ability to complete our initial business combination, particularly as we are planning to focus the target search of our company in different industries, such as A&amp;D services, cybersecurity and secured communications and quantum-based command and control systems, and AI and ML verticals.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 Status and Other Information</w:t>
      </w:r>
    </w:p>
    <w:p>
      <w:pPr>
        <w:spacing w:after="0" w:line="121" w:lineRule="exact"/>
        <w:rPr>
          <w:sz w:val="20"/>
          <w:szCs w:val="20"/>
          <w:color w:val="auto"/>
        </w:rPr>
      </w:pPr>
    </w:p>
    <w:p>
      <w:pPr>
        <w:ind w:left="300" w:firstLine="425"/>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81"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3660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1350" cy="3660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firstLine="425"/>
        <w:spacing w:after="0" w:line="260"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2" w:lineRule="exact"/>
        <w:rPr>
          <w:sz w:val="20"/>
          <w:szCs w:val="20"/>
          <w:color w:val="auto"/>
        </w:rPr>
      </w:pPr>
    </w:p>
    <w:p>
      <w:pPr>
        <w:jc w:val="both"/>
        <w:ind w:left="300" w:right="120" w:firstLine="425"/>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which means the market value of our ordinary shares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82" w:lineRule="exact"/>
        <w:rPr>
          <w:sz w:val="20"/>
          <w:szCs w:val="20"/>
          <w:color w:val="auto"/>
        </w:rPr>
      </w:pPr>
    </w:p>
    <w:p>
      <w:pPr>
        <w:ind w:left="300" w:firstLine="425"/>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$220 million as of the prior June 30th, and (2) our annual revenues exceeded $100 million during such completed fiscal year and the market value of our ordinary shares held by non-affiliates exceeds $700 million as of the prior June 30.</w:t>
      </w:r>
    </w:p>
    <w:p>
      <w:pPr>
        <w:spacing w:after="0" w:line="182" w:lineRule="exact"/>
        <w:rPr>
          <w:sz w:val="20"/>
          <w:szCs w:val="20"/>
          <w:color w:val="auto"/>
        </w:rPr>
      </w:pPr>
    </w:p>
    <w:p>
      <w:pPr>
        <w:ind w:left="300" w:right="220" w:firstLine="425"/>
        <w:spacing w:after="0" w:line="260" w:lineRule="auto"/>
        <w:rPr>
          <w:sz w:val="20"/>
          <w:szCs w:val="20"/>
          <w:color w:val="auto"/>
        </w:rPr>
      </w:pPr>
      <w:r>
        <w:rPr>
          <w:rFonts w:ascii="Times New Roman" w:cs="Times New Roman" w:eastAsia="Times New Roman" w:hAnsi="Times New Roman"/>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executive offices are located at 1731 Embarcadero Rd., Suite 200, Palo Alto, CA 94303, and our telephone number is (650) 276-7040.</w:t>
      </w:r>
    </w:p>
    <w:p>
      <w:pPr>
        <w:spacing w:after="0" w:line="34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80"/>
          </w:cols>
          <w:pgMar w:left="320" w:top="481" w:right="6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4152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1350" cy="54152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80"/>
        <w:spacing w:after="0" w:line="261" w:lineRule="auto"/>
        <w:rPr>
          <w:sz w:val="20"/>
          <w:szCs w:val="20"/>
          <w:color w:val="auto"/>
        </w:rPr>
      </w:pPr>
      <w:r>
        <w:rPr>
          <w:rFonts w:ascii="Times New Roman" w:cs="Times New Roman" w:eastAsia="Times New Roman" w:hAnsi="Times New Roman"/>
          <w:sz w:val="18"/>
          <w:szCs w:val="18"/>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22,000,000 public units (or 25,300,000 public units if the underwriters’ over-allotment</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 is exercised in full), at $10.00 per unit, each public unit consisting of one Class A</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ordinary share and one right to receive one-tenth (1/10) of one Class A ordinary share upon</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consummation of our initial business combination, subject to the conditions described in</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this prospectus. Every ten rights entitle the holder to receive one ordinary share upon</w:t>
            </w:r>
          </w:p>
        </w:tc>
      </w:tr>
      <w:tr>
        <w:trPr>
          <w:trHeight w:val="234"/>
        </w:trPr>
        <w:tc>
          <w:tcPr>
            <w:tcW w:w="388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r>
      <w:tr>
        <w:trPr>
          <w:trHeight w:val="319"/>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 of our securities and proposed symbols</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anticipate that the public units, as well as the public shares and public rights underlying</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public units (once they begin separate trading), will be listed on Nasdaq under the</w:t>
            </w:r>
          </w:p>
        </w:tc>
      </w:tr>
      <w:tr>
        <w:trPr>
          <w:trHeight w:val="234"/>
        </w:trPr>
        <w:tc>
          <w:tcPr>
            <w:tcW w:w="388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symbols “GIWWU,” “GIW,” and “GIWWR,” respectively.</w:t>
            </w:r>
          </w:p>
        </w:tc>
      </w:tr>
      <w:tr>
        <w:trPr>
          <w:trHeight w:val="319"/>
        </w:trPr>
        <w:tc>
          <w:tcPr>
            <w:tcW w:w="3880" w:type="dxa"/>
            <w:vAlign w:val="bottom"/>
          </w:tcPr>
          <w:p>
            <w:pPr>
              <w:spacing w:after="0"/>
              <w:rPr>
                <w:sz w:val="24"/>
                <w:szCs w:val="24"/>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Each of the public units, public shares and public rights may trade separately on the 52nd</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day after the date of this prospectus unless the underwriters determine that an earlier date is</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acceptable. In no event will the underwriters allow separate trading of our public shares</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public rights until we file a Current Report on Form 8-K with the SEC with an audited</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sheet reflecting our receipt of the gross proceeds at the closing of this offering.</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Once our public shares and public rights commence separate trading, the holders thereof</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will have the option to continue to hold units or separate their units into the component</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Holders will need to have their brokers contact our transfer agent in order to</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separate the public units into public shares and public rights. No fractional rights will be</w:t>
            </w:r>
          </w:p>
        </w:tc>
      </w:tr>
      <w:tr>
        <w:trPr>
          <w:trHeight w:val="234"/>
        </w:trPr>
        <w:tc>
          <w:tcPr>
            <w:tcW w:w="388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upon separation of the public units and only whole rights will trade.</w:t>
            </w:r>
          </w:p>
        </w:tc>
      </w:tr>
      <w:tr>
        <w:trPr>
          <w:trHeight w:val="319"/>
        </w:trPr>
        <w:tc>
          <w:tcPr>
            <w:tcW w:w="3880" w:type="dxa"/>
            <w:vAlign w:val="bottom"/>
          </w:tcPr>
          <w:p>
            <w:pPr>
              <w:spacing w:after="0"/>
              <w:rPr>
                <w:sz w:val="24"/>
                <w:szCs w:val="24"/>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will file a Current Report on Form 8-K with the SEC, including an audited balance</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sheet reflecting our receipt of the gross proceeds at the closing of this offering, promptly</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upon the closing of this offering, which is anticipated to take place two business days from</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date the public units commence trading. If the underwriters’ over-allotment option is</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 following the initial filing of such Current Report on Form 8-K, a second or</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Current Report on Form 8-K will be filed to provide updated financial</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to reflect the exercise of the over- allotment option. We will also include in the</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initial Current Report on Form 8-K, or any amendment thereto or subsequent filing, as</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 information indicating if the underwriters have allowed separate trading of the</w:t>
            </w:r>
          </w:p>
        </w:tc>
      </w:tr>
      <w:tr>
        <w:trPr>
          <w:trHeight w:val="234"/>
        </w:trPr>
        <w:tc>
          <w:tcPr>
            <w:tcW w:w="388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public shares and public rights prior to the 52nd day after the date of this prospectus.</w:t>
            </w:r>
          </w:p>
        </w:tc>
      </w:tr>
      <w:tr>
        <w:trPr>
          <w:trHeight w:val="172"/>
        </w:trPr>
        <w:tc>
          <w:tcPr>
            <w:tcW w:w="38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r>
      <w:tr>
        <w:trPr>
          <w:trHeight w:val="361"/>
        </w:trPr>
        <w:tc>
          <w:tcPr>
            <w:tcW w:w="3880" w:type="dxa"/>
            <w:vAlign w:val="bottom"/>
          </w:tcPr>
          <w:p>
            <w:pPr>
              <w:spacing w:after="0"/>
              <w:rPr>
                <w:sz w:val="24"/>
                <w:szCs w:val="24"/>
                <w:color w:val="auto"/>
              </w:rPr>
            </w:pPr>
          </w:p>
        </w:tc>
        <w:tc>
          <w:tcPr>
            <w:tcW w:w="71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140"/>
          </w:cols>
          <w:pgMar w:left="320" w:top="481"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35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1350" cy="5835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820" w:type="dxa"/>
            <w:vAlign w:val="bottom"/>
          </w:tcPr>
          <w:p>
            <w:pPr>
              <w:spacing w:after="0"/>
              <w:rPr>
                <w:sz w:val="20"/>
                <w:szCs w:val="20"/>
                <w:color w:val="auto"/>
              </w:rPr>
            </w:pPr>
          </w:p>
        </w:tc>
      </w:tr>
      <w:tr>
        <w:trPr>
          <w:trHeight w:val="33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before this offering:</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 units</w:t>
            </w:r>
          </w:p>
        </w:tc>
      </w:tr>
      <w:tr>
        <w:trPr>
          <w:trHeight w:val="3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after this offering and the</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22,337,675 units</w:t>
            </w:r>
            <w:r>
              <w:rPr>
                <w:rFonts w:ascii="Times New Roman" w:cs="Times New Roman" w:eastAsia="Times New Roman" w:hAnsi="Times New Roman"/>
                <w:sz w:val="22"/>
                <w:szCs w:val="22"/>
                <w:color w:val="auto"/>
                <w:vertAlign w:val="superscript"/>
              </w:rPr>
              <w:t>(1)</w:t>
            </w:r>
          </w:p>
        </w:tc>
      </w:tr>
      <w:tr>
        <w:trPr>
          <w:trHeight w:val="234"/>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concurrent private placement:</w:t>
            </w:r>
          </w:p>
        </w:tc>
        <w:tc>
          <w:tcPr>
            <w:tcW w:w="6820" w:type="dxa"/>
            <w:vAlign w:val="bottom"/>
          </w:tcPr>
          <w:p>
            <w:pPr>
              <w:spacing w:after="0"/>
              <w:rPr>
                <w:sz w:val="20"/>
                <w:szCs w:val="20"/>
                <w:color w:val="auto"/>
              </w:rPr>
            </w:pPr>
          </w:p>
        </w:tc>
      </w:tr>
      <w:tr>
        <w:trPr>
          <w:trHeight w:val="55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6820" w:type="dxa"/>
            <w:vAlign w:val="bottom"/>
          </w:tcPr>
          <w:p>
            <w:pPr>
              <w:spacing w:after="0"/>
              <w:rPr>
                <w:sz w:val="24"/>
                <w:szCs w:val="24"/>
                <w:color w:val="auto"/>
              </w:rPr>
            </w:pPr>
          </w:p>
        </w:tc>
      </w:tr>
      <w:tr>
        <w:trPr>
          <w:trHeight w:val="39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before this offering:</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7,850,229 shares</w:t>
            </w:r>
            <w:r>
              <w:rPr>
                <w:rFonts w:ascii="Times New Roman" w:cs="Times New Roman" w:eastAsia="Times New Roman" w:hAnsi="Times New Roman"/>
                <w:sz w:val="22"/>
                <w:szCs w:val="22"/>
                <w:color w:val="auto"/>
                <w:vertAlign w:val="superscript"/>
              </w:rPr>
              <w:t>(2)</w:t>
            </w:r>
          </w:p>
        </w:tc>
      </w:t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after this offering and the</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31,741,483 shares</w:t>
            </w:r>
            <w:r>
              <w:rPr>
                <w:rFonts w:ascii="Times New Roman" w:cs="Times New Roman" w:eastAsia="Times New Roman" w:hAnsi="Times New Roman"/>
                <w:sz w:val="22"/>
                <w:szCs w:val="22"/>
                <w:color w:val="auto"/>
                <w:vertAlign w:val="superscript"/>
              </w:rPr>
              <w:t>(3)</w:t>
            </w:r>
          </w:p>
        </w:tc>
      </w:tr>
      <w:tr>
        <w:trPr>
          <w:trHeight w:val="234"/>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concurrent private placement:</w:t>
            </w:r>
          </w:p>
        </w:tc>
        <w:tc>
          <w:tcPr>
            <w:tcW w:w="6820" w:type="dxa"/>
            <w:vAlign w:val="bottom"/>
          </w:tcPr>
          <w:p>
            <w:pPr>
              <w:spacing w:after="0"/>
              <w:rPr>
                <w:sz w:val="20"/>
                <w:szCs w:val="20"/>
                <w:color w:val="auto"/>
              </w:rPr>
            </w:pPr>
          </w:p>
        </w:tc>
      </w:tr>
      <w:tr>
        <w:trPr>
          <w:trHeight w:val="55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6820" w:type="dxa"/>
            <w:vAlign w:val="bottom"/>
          </w:tcPr>
          <w:p>
            <w:pPr>
              <w:spacing w:after="0"/>
              <w:rPr>
                <w:sz w:val="24"/>
                <w:szCs w:val="24"/>
                <w:color w:val="auto"/>
              </w:rPr>
            </w:pPr>
          </w:p>
        </w:tc>
      </w:tr>
      <w:tr>
        <w:trPr>
          <w:trHeight w:val="33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before this offering</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 rights</w:t>
            </w:r>
          </w:p>
        </w:tc>
      </w:tr>
      <w:tr>
        <w:trPr>
          <w:trHeight w:val="3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after this offering and the concurrent</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22,337,675</w:t>
            </w:r>
            <w:r>
              <w:rPr>
                <w:rFonts w:ascii="Times New Roman" w:cs="Times New Roman" w:eastAsia="Times New Roman" w:hAnsi="Times New Roman"/>
                <w:sz w:val="22"/>
                <w:szCs w:val="22"/>
                <w:color w:val="auto"/>
                <w:vertAlign w:val="superscript"/>
              </w:rPr>
              <w:t>(4)</w:t>
            </w:r>
          </w:p>
        </w:tc>
      </w:tr>
      <w:tr>
        <w:trPr>
          <w:trHeight w:val="234"/>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placement</w:t>
            </w:r>
          </w:p>
        </w:tc>
        <w:tc>
          <w:tcPr>
            <w:tcW w:w="6820" w:type="dxa"/>
            <w:vAlign w:val="bottom"/>
          </w:tcPr>
          <w:p>
            <w:pPr>
              <w:spacing w:after="0"/>
              <w:rPr>
                <w:sz w:val="20"/>
                <w:szCs w:val="20"/>
                <w:color w:val="auto"/>
              </w:rPr>
            </w:pPr>
          </w:p>
        </w:tc>
      </w:tr>
      <w:tr>
        <w:trPr>
          <w:trHeight w:val="3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Term of Rights</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Except in cases where we are not the surviving company in an initial business combination,</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each holder of a right will automatically receive one-tenth (1/10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of one Class A ordinary</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upon consummation of our initial business combination. In the event we will not be</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the surviving company upon completion of our initial business combination, each holder of</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right will be required to affirmatively convert his, her or its rights in order to receive the</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one-tenth (1/10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of a Class A ordinary share of the new entity underlying each right upon</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consummation of the initial business combination. We will not issue fractional shares in</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connection with an exchange of rights. Fractional shares will either be rounded down to the</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nearest whole share or otherwise determined by the board of directors as provided by</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Cayman Islands laws. As a result, you must hold rights in multiples of ten in order to</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receive shares for all of your rights upon closing of an initial business combination. If we</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are unable to complete an initial business combination within the required time period and</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 redeem the public shares for the funds held in the trust account, holders of rights will</w:t>
            </w:r>
          </w:p>
        </w:tc>
      </w:tr>
      <w:tr>
        <w:trPr>
          <w:trHeight w:val="234"/>
        </w:trPr>
        <w:tc>
          <w:tcPr>
            <w:tcW w:w="3800" w:type="dxa"/>
            <w:vAlign w:val="bottom"/>
          </w:tcPr>
          <w:p>
            <w:pPr>
              <w:spacing w:after="0"/>
              <w:rPr>
                <w:sz w:val="20"/>
                <w:szCs w:val="20"/>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receive any of such funds for their rights and the rights will expire worthless</w:t>
            </w:r>
          </w:p>
        </w:tc>
      </w:tr>
    </w:tbl>
    <w:p>
      <w:pPr>
        <w:spacing w:after="0" w:line="103" w:lineRule="exact"/>
        <w:rPr>
          <w:sz w:val="20"/>
          <w:szCs w:val="20"/>
          <w:color w:val="auto"/>
        </w:rPr>
      </w:pPr>
    </w:p>
    <w:p>
      <w:pPr>
        <w:ind w:left="720" w:right="240" w:hanging="415"/>
        <w:spacing w:after="0" w:line="26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includes, accordingly, (i) an aggregate of 22,000,000 public units and (ii) 337,675 private placement units purchased by our sponsor and non-managing investors.</w:t>
      </w:r>
    </w:p>
    <w:p>
      <w:pPr>
        <w:spacing w:after="0" w:line="1" w:lineRule="exact"/>
        <w:rPr>
          <w:rFonts w:ascii="Times New Roman" w:cs="Times New Roman" w:eastAsia="Times New Roman" w:hAnsi="Times New Roman"/>
          <w:sz w:val="18"/>
          <w:szCs w:val="18"/>
          <w:color w:val="auto"/>
        </w:rPr>
      </w:pPr>
    </w:p>
    <w:p>
      <w:pPr>
        <w:ind w:left="720" w:right="20" w:hanging="415"/>
        <w:spacing w:after="0" w:line="25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1,023,943 founder shares issued to the insiders that are subject to forfeiture if the over-allotment option is not exercised. Founder shares are currently classified as Class B ordinary shares, which shares will automatically convert into Class A ordinary shares at the time of our initial business combination or earlier at the option of a holder on a one-for-one basis, subject to adjustment as described below adjacent to the caption “</w:t>
      </w:r>
      <w:r>
        <w:rPr>
          <w:rFonts w:ascii="Times New Roman" w:cs="Times New Roman" w:eastAsia="Times New Roman" w:hAnsi="Times New Roman"/>
          <w:sz w:val="18"/>
          <w:szCs w:val="18"/>
          <w:i w:val="1"/>
          <w:iCs w:val="1"/>
          <w:color w:val="auto"/>
        </w:rPr>
        <w:t>Conversion of founder shares and private investor shares and anti-dilution rights</w:t>
      </w:r>
      <w:r>
        <w:rPr>
          <w:rFonts w:ascii="Times New Roman" w:cs="Times New Roman" w:eastAsia="Times New Roman" w:hAnsi="Times New Roman"/>
          <w:sz w:val="18"/>
          <w:szCs w:val="18"/>
          <w:color w:val="auto"/>
        </w:rPr>
        <w:t>” and in our amended and restated memorandum and articles of association.</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481"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612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1350" cy="56127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00" w:hanging="415"/>
        <w:spacing w:after="0" w:line="257"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includes, accordingly, (i) an aggregate of 22,000,000 public shares, (ii) an aggregate of 9,403,808 Class B ordinary shares purchased by our sponsor and non-managing investors, and (iii) 337,675 private placement shares included in the private placement units purchased by our sponsor and non-managing investors.</w:t>
      </w:r>
    </w:p>
    <w:p>
      <w:pPr>
        <w:ind w:left="720" w:hanging="415"/>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22,000,000 public rights and 337,675 private placement rights.</w:t>
      </w:r>
    </w:p>
    <w:p>
      <w:pPr>
        <w:sectPr>
          <w:pgSz w:w="11900" w:h="16838" w:orient="portrait"/>
          <w:cols w:equalWidth="0" w:num="1">
            <w:col w:w="10920"/>
          </w:cols>
          <w:pgMar w:left="320" w:top="481" w:right="659" w:bottom="1440" w:gutter="0" w:footer="0" w:header="0"/>
        </w:sectPr>
      </w:pPr>
    </w:p>
    <w:p>
      <w:pPr>
        <w:spacing w:after="0" w:line="233" w:lineRule="exact"/>
        <w:rPr>
          <w:sz w:val="20"/>
          <w:szCs w:val="20"/>
          <w:color w:val="auto"/>
        </w:rPr>
      </w:pPr>
    </w:p>
    <w:p>
      <w:pPr>
        <w:ind w:left="380" w:hanging="78"/>
        <w:spacing w:after="0" w:line="281" w:lineRule="auto"/>
        <w:rPr>
          <w:sz w:val="20"/>
          <w:szCs w:val="20"/>
          <w:color w:val="auto"/>
        </w:rPr>
      </w:pPr>
      <w:r>
        <w:rPr>
          <w:rFonts w:ascii="Times New Roman" w:cs="Times New Roman" w:eastAsia="Times New Roman" w:hAnsi="Times New Roman"/>
          <w:sz w:val="18"/>
          <w:szCs w:val="18"/>
          <w:color w:val="auto"/>
        </w:rPr>
        <w:t>Founder shares, private investor shares and private placement units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Our sponsor intends at the time of this offering to sell 375,397 founder shares in the aggregate to Messrs. Greene, Machuca, Timm and Horowitz at an aggregate price of $9,244, or $0.02462 per share, thus reducing the price paid by our sponsor for the 7,474,832 founder shares which it is retaining to $15,756, or $0.002108 per share.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sponsor which is owned by two of our directors, Dr. Avi S. Katz and Dr. Raluca Dinu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non-affiliated investors to which our sponsor assigns this subscription as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together with four of our other directors, James Greene, Luis Machuca, Bryan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Timm and Raanan Horowitz, will subscribe to purchase an aggregate of 95,200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units (including if the underwriters’ over-allotment option is exercised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price of $9.7374 per private placement unit, for an aggregate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$927,000 in a private placement that will close simultaneously with the closing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Each private placement unit sold in this private placement consists of one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 and one right to receive one-tenth of one Class A ordinary share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an initial business combination.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non-managing investors, which are eight groups of institutional accredited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which are affiliated with any member of our management, our sponsor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investor), have committed to purchase an aggregate of (a) 2,964,203 Class B ordinary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which up to 386,681 Class B ordinary shares remain subject to forfeiture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extent to which the underwriters’ over-allotment option is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this offering) as the private investor shares at a purchase price per Class B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$0.023254, and (b) an aggregate of 242,475 private placement units (or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262,457 private placement units if the underwriters’ over-allotment option is exercised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at a price of $9.7374 per private placement unit, for an aggregate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$2,430,006 (or $2,624,578 if the underwriters’ over-allotment option is exercised in full)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private placement that will close simultaneously with the completion of this offering.</w:t>
      </w:r>
    </w:p>
    <w:p>
      <w:pPr>
        <w:spacing w:after="0" w:line="200" w:lineRule="exact"/>
        <w:rPr>
          <w:sz w:val="20"/>
          <w:szCs w:val="20"/>
          <w:color w:val="auto"/>
        </w:rPr>
      </w:pPr>
    </w:p>
    <w:p>
      <w:pPr>
        <w:sectPr>
          <w:pgSz w:w="11900" w:h="16838" w:orient="portrait"/>
          <w:cols w:equalWidth="0" w:num="2">
            <w:col w:w="3960" w:space="380"/>
            <w:col w:w="6580"/>
          </w:cols>
          <w:pgMar w:left="320" w:top="481" w:right="659" w:bottom="1440" w:gutter="0" w:footer="0" w:header="0"/>
          <w:type w:val="continuous"/>
        </w:sectPr>
      </w:pP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320" w:top="481" w:right="6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963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1350" cy="5963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The number of founder shares and private investor shares, and the forfeiture mechanism underlying the founder shares and private investor shares, has been determined in order to ensure that the founder shares and private investor shares will collectively represent 30% of the outstanding ordinary shares upon completion of this offering and the exercise of the underwriters’ over-allotment option, if any (not including the private placement shares). If we increase or decrease the size of this offering pursuant to Rule 462(b) under the Securities Act, we will effect a share dividend or a share contribution back to capital, as applicable, immediately prior to the consummation of the offering, in such amount so that the founder shares and private investor shares will continue collectively representing 30% of the issued and outstanding ordinary shares (not including the private placement shares) upon completion of this offering. Prior to the investment in the company of an aggregate of $25,000 by our sponsor (before giving effect to the sales of shares to the other insiders), we had no assets, tangible or intangible.</w:t>
      </w:r>
    </w:p>
    <w:p>
      <w:pPr>
        <w:spacing w:after="0" w:line="101" w:lineRule="exact"/>
        <w:rPr>
          <w:sz w:val="20"/>
          <w:szCs w:val="20"/>
          <w:color w:val="auto"/>
        </w:rPr>
      </w:pPr>
    </w:p>
    <w:p>
      <w:pPr>
        <w:ind w:left="4340" w:right="200"/>
        <w:spacing w:after="0" w:line="256" w:lineRule="auto"/>
        <w:rPr>
          <w:sz w:val="20"/>
          <w:szCs w:val="20"/>
          <w:color w:val="auto"/>
        </w:rPr>
      </w:pPr>
      <w:r>
        <w:rPr>
          <w:rFonts w:ascii="Times New Roman" w:cs="Times New Roman" w:eastAsia="Times New Roman" w:hAnsi="Times New Roman"/>
          <w:sz w:val="18"/>
          <w:szCs w:val="18"/>
          <w:color w:val="auto"/>
        </w:rPr>
        <w:t>A portion of the purchase price of the private placement units and private investor shares will be added to the proceeds of this offering to be held in the trust account. If we do not complete our initial business combination within 24 months from the closing of this offering, the proceeds from the sale of the private placement units and private investor shares held in the trust account will be used to fund the redemption of our public shares (subject to the requirements of applicable law).</w:t>
      </w:r>
    </w:p>
    <w:p>
      <w:pPr>
        <w:spacing w:after="0" w:line="91" w:lineRule="exact"/>
        <w:rPr>
          <w:sz w:val="20"/>
          <w:szCs w:val="20"/>
          <w:color w:val="auto"/>
        </w:rPr>
      </w:pPr>
    </w:p>
    <w:p>
      <w:pPr>
        <w:ind w:left="4340" w:right="200"/>
        <w:spacing w:after="0" w:line="260" w:lineRule="auto"/>
        <w:rPr>
          <w:sz w:val="20"/>
          <w:szCs w:val="20"/>
          <w:color w:val="auto"/>
        </w:rPr>
      </w:pPr>
      <w:r>
        <w:rPr>
          <w:rFonts w:ascii="Times New Roman" w:cs="Times New Roman" w:eastAsia="Times New Roman" w:hAnsi="Times New Roman"/>
          <w:sz w:val="18"/>
          <w:szCs w:val="18"/>
          <w:color w:val="auto"/>
        </w:rPr>
        <w:t>The founder shares, private investor shares, private placement shares and shares issued upon conversion of the private placement rights upon the consummation of our initial business combination are identical to the public shares being sold in this offering, except that:</w:t>
      </w:r>
    </w:p>
    <w:p>
      <w:pPr>
        <w:spacing w:after="0" w:line="87" w:lineRule="exact"/>
        <w:rPr>
          <w:sz w:val="20"/>
          <w:szCs w:val="20"/>
          <w:color w:val="auto"/>
        </w:rPr>
      </w:pPr>
    </w:p>
    <w:p>
      <w:pPr>
        <w:ind w:left="4840" w:right="80" w:hanging="288"/>
        <w:spacing w:after="0" w:line="260" w:lineRule="auto"/>
        <w:tabs>
          <w:tab w:leader="none" w:pos="4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the founder shares and private investor shares have the right to vote on the appointment of directors prior to the completion of our initial business combination (by a majority of votes cast by the holders of the founder shares and private investor shares);</w:t>
      </w:r>
    </w:p>
    <w:p>
      <w:pPr>
        <w:spacing w:after="0" w:line="87" w:lineRule="exact"/>
        <w:rPr>
          <w:rFonts w:ascii="Times New Roman" w:cs="Times New Roman" w:eastAsia="Times New Roman" w:hAnsi="Times New Roman"/>
          <w:sz w:val="18"/>
          <w:szCs w:val="18"/>
          <w:color w:val="auto"/>
        </w:rPr>
      </w:pPr>
    </w:p>
    <w:p>
      <w:pPr>
        <w:ind w:left="4840" w:right="380" w:hanging="288"/>
        <w:spacing w:after="0" w:line="265" w:lineRule="auto"/>
        <w:tabs>
          <w:tab w:leader="none" w:pos="4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private investor and private placement units (including underlying securities) are subject to certain transfer restrictions, as described in more detail below;</w:t>
      </w:r>
    </w:p>
    <w:p>
      <w:pPr>
        <w:spacing w:after="0" w:line="80" w:lineRule="exact"/>
        <w:rPr>
          <w:rFonts w:ascii="Times New Roman" w:cs="Times New Roman" w:eastAsia="Times New Roman" w:hAnsi="Times New Roman"/>
          <w:sz w:val="18"/>
          <w:szCs w:val="18"/>
          <w:color w:val="auto"/>
        </w:rPr>
      </w:pPr>
    </w:p>
    <w:p>
      <w:pPr>
        <w:ind w:left="4840" w:right="120" w:hanging="288"/>
        <w:spacing w:after="0" w:line="273" w:lineRule="auto"/>
        <w:tabs>
          <w:tab w:leader="none" w:pos="48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below adjacent to the caption “</w:t>
      </w:r>
      <w:r>
        <w:rPr>
          <w:rFonts w:ascii="Times New Roman" w:cs="Times New Roman" w:eastAsia="Times New Roman" w:hAnsi="Times New Roman"/>
          <w:sz w:val="17"/>
          <w:szCs w:val="17"/>
          <w:i w:val="1"/>
          <w:iCs w:val="1"/>
          <w:color w:val="auto"/>
        </w:rPr>
        <w:t>Voting arrangements with our sponsor,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non-managing investors and related parties</w:t>
      </w:r>
      <w:r>
        <w:rPr>
          <w:rFonts w:ascii="Times New Roman" w:cs="Times New Roman" w:eastAsia="Times New Roman" w:hAnsi="Times New Roman"/>
          <w:sz w:val="17"/>
          <w:szCs w:val="17"/>
          <w:color w:val="auto"/>
        </w:rPr>
        <w:t>,” our sponsor, officers and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each enter into a letter agreement with us, pursuant to which they will agree:</w:t>
      </w:r>
    </w:p>
    <w:p>
      <w:pPr>
        <w:ind w:left="48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320" w:top="481" w:right="6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6553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1350" cy="56553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60" w:right="40"/>
        <w:spacing w:after="0" w:line="266" w:lineRule="auto"/>
        <w:rPr>
          <w:sz w:val="20"/>
          <w:szCs w:val="20"/>
          <w:color w:val="auto"/>
        </w:rPr>
      </w:pPr>
      <w:r>
        <w:rPr>
          <w:rFonts w:ascii="Times New Roman" w:cs="Times New Roman" w:eastAsia="Times New Roman" w:hAnsi="Times New Roman"/>
          <w:sz w:val="17"/>
          <w:szCs w:val="17"/>
          <w:color w:val="auto"/>
        </w:rPr>
        <w:t>from the closing of this offering;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The non-managing investors have entered into written agreements, pursuant to which they have agreed: (1) 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w:t>
      </w:r>
    </w:p>
    <w:p>
      <w:pPr>
        <w:spacing w:after="0" w:line="5" w:lineRule="exact"/>
        <w:rPr>
          <w:sz w:val="20"/>
          <w:szCs w:val="20"/>
          <w:color w:val="auto"/>
        </w:rPr>
      </w:pPr>
    </w:p>
    <w:p>
      <w:pPr>
        <w:ind w:left="4860" w:firstLine="2"/>
        <w:spacing w:after="0" w:line="251" w:lineRule="auto"/>
        <w:tabs>
          <w:tab w:leader="none" w:pos="51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redemption rights with respect to their private investor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w:t>
      </w:r>
    </w:p>
    <w:p>
      <w:pPr>
        <w:spacing w:after="0" w:line="94" w:lineRule="exact"/>
        <w:rPr>
          <w:rFonts w:ascii="Times New Roman" w:cs="Times New Roman" w:eastAsia="Times New Roman" w:hAnsi="Times New Roman"/>
          <w:sz w:val="18"/>
          <w:szCs w:val="18"/>
          <w:color w:val="auto"/>
        </w:rPr>
      </w:pPr>
    </w:p>
    <w:p>
      <w:pPr>
        <w:ind w:left="4840" w:hanging="288"/>
        <w:spacing w:after="0" w:line="253" w:lineRule="auto"/>
        <w:tabs>
          <w:tab w:leader="none" w:pos="4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non-managing investors are not granted any shareholder or other rights in addition to those afforded to our other public shareholders, and will only be issued the private investor shares and private placement units of our company.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320" w:top="481" w:right="6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00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1350" cy="5800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60" w:right="300"/>
        <w:spacing w:after="0" w:line="254" w:lineRule="auto"/>
        <w:rPr>
          <w:sz w:val="20"/>
          <w:szCs w:val="20"/>
          <w:color w:val="auto"/>
        </w:rPr>
      </w:pPr>
      <w:r>
        <w:rPr>
          <w:rFonts w:ascii="Times New Roman" w:cs="Times New Roman" w:eastAsia="Times New Roman" w:hAnsi="Times New Roman"/>
          <w:sz w:val="18"/>
          <w:szCs w:val="18"/>
          <w:color w:val="auto"/>
        </w:rPr>
        <w:t>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w:t>
      </w:r>
    </w:p>
    <w:p>
      <w:pPr>
        <w:spacing w:after="0" w:line="95" w:lineRule="exact"/>
        <w:rPr>
          <w:sz w:val="20"/>
          <w:szCs w:val="20"/>
          <w:color w:val="auto"/>
        </w:rPr>
      </w:pPr>
    </w:p>
    <w:p>
      <w:pPr>
        <w:ind w:left="4560"/>
        <w:spacing w:after="0"/>
        <w:tabs>
          <w:tab w:leader="none" w:pos="4820" w:val="left"/>
        </w:tabs>
        <w:rPr>
          <w:sz w:val="20"/>
          <w:szCs w:val="20"/>
          <w:color w:val="auto"/>
        </w:rPr>
      </w:pPr>
      <w:r>
        <w:rPr>
          <w:rFonts w:ascii="Times New Roman" w:cs="Times New Roman" w:eastAsia="Times New Roman" w:hAnsi="Times New Roman"/>
          <w:sz w:val="18"/>
          <w:szCs w:val="18"/>
          <w:color w:val="auto"/>
        </w:rPr>
        <w:t>•</w:t>
        <w:tab/>
        <w:t>the founder shares and private investor shares will automatically convert into our</w:t>
      </w:r>
    </w:p>
    <w:p>
      <w:pPr>
        <w:spacing w:after="0" w:line="27" w:lineRule="exact"/>
        <w:rPr>
          <w:sz w:val="20"/>
          <w:szCs w:val="20"/>
          <w:color w:val="auto"/>
        </w:rPr>
      </w:pPr>
    </w:p>
    <w:p>
      <w:pPr>
        <w:ind w:left="4840" w:right="340"/>
        <w:spacing w:after="0" w:line="271" w:lineRule="auto"/>
        <w:rPr>
          <w:sz w:val="20"/>
          <w:szCs w:val="20"/>
          <w:color w:val="auto"/>
        </w:rPr>
      </w:pPr>
      <w:r>
        <w:rPr>
          <w:rFonts w:ascii="Times New Roman" w:cs="Times New Roman" w:eastAsia="Times New Roman" w:hAnsi="Times New Roman"/>
          <w:sz w:val="17"/>
          <w:szCs w:val="17"/>
          <w:color w:val="auto"/>
        </w:rPr>
        <w:t>Class A ordinary shares at the time of our initial business combination or earlier at the option of the holder on a one-for-one basis, subject to adjustment pursuant to certain anti-dilution rights, as described below adjacent to the caption “</w:t>
      </w: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founder shares and private investor shares and anti-dilution rights</w:t>
      </w:r>
      <w:r>
        <w:rPr>
          <w:rFonts w:ascii="Times New Roman" w:cs="Times New Roman" w:eastAsia="Times New Roman" w:hAnsi="Times New Roman"/>
          <w:sz w:val="17"/>
          <w:szCs w:val="17"/>
          <w:color w:val="auto"/>
        </w:rPr>
        <w:t>” and 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and restated memorandum and articles of association; and</w:t>
      </w:r>
    </w:p>
    <w:p>
      <w:pPr>
        <w:sectPr>
          <w:pgSz w:w="11900" w:h="16838" w:orient="portrait"/>
          <w:cols w:equalWidth="0" w:num="1">
            <w:col w:w="11140"/>
          </w:cols>
          <w:pgMar w:left="320" w:top="481" w:right="439" w:bottom="1440" w:gutter="0" w:footer="0" w:header="0"/>
        </w:sectPr>
      </w:pPr>
    </w:p>
    <w:p>
      <w:pPr>
        <w:spacing w:after="0" w:line="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founder shares, private investor shares, private placement shares and any shares issued upon conversion of the private placement rights are entitled to registration rights.</w:t>
      </w:r>
    </w:p>
    <w:p>
      <w:pPr>
        <w:spacing w:after="0" w:line="83" w:lineRule="exact"/>
        <w:rPr>
          <w:sz w:val="20"/>
          <w:szCs w:val="20"/>
          <w:color w:val="auto"/>
        </w:rPr>
      </w:pPr>
    </w:p>
    <w:p>
      <w:pPr>
        <w:sectPr>
          <w:pgSz w:w="11900" w:h="16838" w:orient="portrait"/>
          <w:cols w:equalWidth="0" w:num="2">
            <w:col w:w="4620" w:space="220"/>
            <w:col w:w="6300"/>
          </w:cols>
          <w:pgMar w:left="320" w:top="481"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Sponsor’s Securities and Compensation</w:t>
      </w:r>
    </w:p>
    <w:p>
      <w:pPr>
        <w:spacing w:after="0" w:line="20" w:lineRule="exact"/>
        <w:rPr>
          <w:sz w:val="20"/>
          <w:szCs w:val="20"/>
          <w:color w:val="auto"/>
        </w:rPr>
      </w:pPr>
      <w:r>
        <w:rPr>
          <w:sz w:val="20"/>
          <w:szCs w:val="20"/>
          <w:color w:val="auto"/>
        </w:rPr>
        <w:br w:type="column"/>
      </w:r>
    </w:p>
    <w:p>
      <w:pPr>
        <w:ind w:right="320"/>
        <w:spacing w:after="0" w:line="288" w:lineRule="auto"/>
        <w:rPr>
          <w:sz w:val="20"/>
          <w:szCs w:val="20"/>
          <w:color w:val="auto"/>
        </w:rPr>
      </w:pPr>
      <w:r>
        <w:rPr>
          <w:rFonts w:ascii="Times New Roman" w:cs="Times New Roman" w:eastAsia="Times New Roman" w:hAnsi="Times New Roman"/>
          <w:sz w:val="17"/>
          <w:szCs w:val="17"/>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pacing w:after="0" w:line="178" w:lineRule="exact"/>
        <w:rPr>
          <w:sz w:val="20"/>
          <w:szCs w:val="20"/>
          <w:color w:val="auto"/>
        </w:rPr>
      </w:pPr>
    </w:p>
    <w:p>
      <w:pPr>
        <w:sectPr>
          <w:pgSz w:w="11900" w:h="16838" w:orient="portrait"/>
          <w:cols w:equalWidth="0" w:num="2">
            <w:col w:w="3620" w:space="720"/>
            <w:col w:w="6800"/>
          </w:cols>
          <w:pgMar w:left="320" w:top="481" w:right="4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4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founder shares</w:t>
            </w:r>
          </w:p>
        </w:tc>
        <w:tc>
          <w:tcPr>
            <w:tcW w:w="33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Description</w:t>
            </w:r>
          </w:p>
        </w:tc>
        <w:tc>
          <w:tcPr>
            <w:tcW w:w="30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i w:val="1"/>
                <w:iCs w:val="1"/>
                <w:color w:val="auto"/>
              </w:rPr>
              <w:t>Price Paid or Payable</w:t>
            </w:r>
          </w:p>
        </w:tc>
        <w:tc>
          <w:tcPr>
            <w:tcW w:w="0" w:type="dxa"/>
            <w:vAlign w:val="bottom"/>
          </w:tcPr>
          <w:p>
            <w:pPr>
              <w:spacing w:after="0"/>
              <w:rPr>
                <w:sz w:val="1"/>
                <w:szCs w:val="1"/>
                <w:color w:val="auto"/>
              </w:rPr>
            </w:pPr>
          </w:p>
        </w:tc>
      </w:tr>
      <w:tr>
        <w:trPr>
          <w:trHeight w:val="174"/>
        </w:trPr>
        <w:tc>
          <w:tcPr>
            <w:tcW w:w="4560" w:type="dxa"/>
            <w:vAlign w:val="bottom"/>
            <w:vMerge w:val="continue"/>
          </w:tcPr>
          <w:p>
            <w:pPr>
              <w:spacing w:after="0"/>
              <w:rPr>
                <w:sz w:val="15"/>
                <w:szCs w:val="15"/>
                <w:color w:val="auto"/>
              </w:rPr>
            </w:pPr>
          </w:p>
        </w:tc>
        <w:tc>
          <w:tcPr>
            <w:tcW w:w="318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7,850,229 Class B ordinary shares, of which</w:t>
            </w:r>
          </w:p>
        </w:tc>
        <w:tc>
          <w:tcPr>
            <w:tcW w:w="200" w:type="dxa"/>
            <w:vAlign w:val="bottom"/>
          </w:tcPr>
          <w:p>
            <w:pPr>
              <w:spacing w:after="0"/>
              <w:rPr>
                <w:sz w:val="15"/>
                <w:szCs w:val="15"/>
                <w:color w:val="auto"/>
              </w:rPr>
            </w:pPr>
          </w:p>
        </w:tc>
        <w:tc>
          <w:tcPr>
            <w:tcW w:w="286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$25,000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1,023,943 Class B ordinary shares remain</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subject to forfeiture depending on the extent</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which the underwriters’ over-allotment</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option is exercised during this offering. Our</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sponsor intends at the time of this offering to</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 375,397 founder shares in the aggregate</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Messrs. Greene, Machuca, Timm and</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Horowitz at an aggregate price of $9,244, thus</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reducing its holding to 7,474,832 founder</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private placement units</w:t>
            </w: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95,200 private placement units to be</w:t>
            </w:r>
          </w:p>
        </w:tc>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$927,000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purchased simultaneously with the closing of</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this offering (including if the underwriters’</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over-allotment option is exercised in full)</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Office space and general and administrative services</w:t>
            </w: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 space, administrative and shared</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$30,000 per month</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personnel support services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5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560" w:type="dxa"/>
            <w:vAlign w:val="bottom"/>
          </w:tcPr>
          <w:p>
            <w:pPr>
              <w:spacing w:after="0"/>
              <w:rPr>
                <w:sz w:val="24"/>
                <w:szCs w:val="24"/>
                <w:color w:val="auto"/>
              </w:rPr>
            </w:pPr>
          </w:p>
        </w:tc>
        <w:tc>
          <w:tcPr>
            <w:tcW w:w="3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1"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886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1350" cy="5886450"/>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301"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31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Description</w:t>
            </w:r>
          </w:p>
        </w:tc>
      </w:tr>
      <w:tr>
        <w:trPr>
          <w:trHeight w:val="288"/>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Compensation to Chief Financial Officer</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Up to $15,000 per month</w:t>
            </w:r>
          </w:p>
        </w:tc>
      </w:tr>
      <w:tr>
        <w:trPr>
          <w:trHeight w:val="526"/>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Promissory Note</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Up to $100,000 in loans</w:t>
            </w:r>
          </w:p>
        </w:tc>
      </w:tr>
      <w:tr>
        <w:trPr>
          <w:trHeight w:val="695"/>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Working Capital Loans</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Up to $1,500,000 in working capital loans,</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which loans may be convertible into private</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w w:val="99"/>
              </w:rPr>
              <w:t>placement units at a price of $10.00 per unit at</w:t>
            </w:r>
          </w:p>
        </w:tc>
      </w:tr>
      <w:tr>
        <w:trPr>
          <w:trHeight w:val="291"/>
        </w:trPr>
        <w:tc>
          <w:tcPr>
            <w:tcW w:w="4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the option of the lender</w:t>
            </w:r>
            <w:r>
              <w:rPr>
                <w:rFonts w:ascii="Times New Roman" w:cs="Times New Roman" w:eastAsia="Times New Roman" w:hAnsi="Times New Roman"/>
                <w:sz w:val="21"/>
                <w:szCs w:val="21"/>
                <w:color w:val="auto"/>
                <w:vertAlign w:val="superscript"/>
              </w:rPr>
              <w:t>(1)</w:t>
            </w:r>
          </w:p>
        </w:tc>
      </w:tr>
      <w:tr>
        <w:trPr>
          <w:trHeight w:val="222"/>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 reimbursement</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Services in connection with identifying,</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investigating and completing an initial</w:t>
            </w:r>
          </w:p>
        </w:tc>
      </w:tr>
      <w:tr>
        <w:trPr>
          <w:trHeight w:val="222"/>
        </w:trPr>
        <w:tc>
          <w:tcPr>
            <w:tcW w:w="43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business combination</w:t>
            </w:r>
          </w:p>
        </w:tc>
      </w:tr>
      <w:tr>
        <w:trPr>
          <w:trHeight w:val="505"/>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Anti-dilution protection upon conversion of Class B</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Anti-dilution protection upon conversion</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into Class A ordinary shares at a greater</w:t>
            </w:r>
          </w:p>
        </w:tc>
      </w:tr>
      <w:tr>
        <w:trPr>
          <w:trHeight w:val="234"/>
        </w:trPr>
        <w:tc>
          <w:tcPr>
            <w:tcW w:w="43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than one-to-one ratio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i w:val="1"/>
          <w:iCs w:val="1"/>
          <w:color w:val="auto"/>
        </w:rPr>
        <w:t>Price Paid or Payable</w:t>
      </w:r>
    </w:p>
    <w:p>
      <w:pPr>
        <w:spacing w:after="0" w:line="114"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Monthly payments to Chief Financial Officer</w:t>
      </w:r>
    </w:p>
    <w:p>
      <w:pPr>
        <w:spacing w:after="0" w:line="6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Repayment of loans made to us to cover offering related and organizational expenses</w:t>
      </w:r>
    </w:p>
    <w:p>
      <w:pPr>
        <w:spacing w:after="0" w:line="7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Working capital loans to finance transaction costs in connection with an initial business combination</w:t>
      </w:r>
    </w:p>
    <w:p>
      <w:pPr>
        <w:spacing w:after="0" w:line="27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Reimbursement for any out-of-pocket expenses related to identifying, investigating and completing an initial business combination</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Issuance of the Class A ordinary shares issuable in connection with the conversion of the founder shares on a greater than one-to-one basis upon conversion</w:t>
      </w:r>
    </w:p>
    <w:p>
      <w:pPr>
        <w:spacing w:after="0" w:line="200" w:lineRule="exact"/>
        <w:rPr>
          <w:sz w:val="20"/>
          <w:szCs w:val="20"/>
          <w:color w:val="auto"/>
        </w:rPr>
      </w:pPr>
    </w:p>
    <w:p>
      <w:pPr>
        <w:sectPr>
          <w:pgSz w:w="11900" w:h="16838" w:orient="portrait"/>
          <w:cols w:equalWidth="0" w:num="2">
            <w:col w:w="7860" w:space="200"/>
            <w:col w:w="2860"/>
          </w:cols>
          <w:pgMar w:left="320" w:top="481" w:right="659" w:bottom="1440" w:gutter="0" w:footer="0" w:header="0"/>
          <w:type w:val="continuous"/>
        </w:sectPr>
      </w:pPr>
    </w:p>
    <w:p>
      <w:pPr>
        <w:spacing w:after="0" w:line="22" w:lineRule="exact"/>
        <w:rPr>
          <w:sz w:val="20"/>
          <w:szCs w:val="20"/>
          <w:color w:val="auto"/>
        </w:rPr>
      </w:pPr>
    </w:p>
    <w:p>
      <w:pPr>
        <w:ind w:left="720" w:hanging="415"/>
        <w:spacing w:after="0" w:line="25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completion of this offering, our board of directors may approve working capital loans for the purpose of funding working capital, which loans may be converted into our private placement units. </w:t>
      </w:r>
      <w:r>
        <w:rPr>
          <w:rFonts w:ascii="Times New Roman" w:cs="Times New Roman" w:eastAsia="Times New Roman" w:hAnsi="Times New Roman"/>
          <w:sz w:val="18"/>
          <w:szCs w:val="18"/>
          <w:b w:val="1"/>
          <w:b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 Factors — Risks Relating to our Search for, and Consummation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of or Inability to Consummate, a Business Combination — We may issue additional ordinary or preferred shares to complete our initial business combination or under an employee incentive plan upon or after consummation of our initial business combination, which would dilute the interest of our shareholders and likely present other risks. </w:t>
      </w:r>
      <w:r>
        <w:rPr>
          <w:rFonts w:ascii="Times New Roman" w:cs="Times New Roman" w:eastAsia="Times New Roman" w:hAnsi="Times New Roman"/>
          <w:sz w:val="18"/>
          <w:szCs w:val="18"/>
          <w:b w:val="1"/>
          <w:bCs w:val="1"/>
          <w:color w:val="auto"/>
        </w:rPr>
        <w:t>” and</w:t>
      </w:r>
      <w:r>
        <w:rPr>
          <w:rFonts w:ascii="Times New Roman" w:cs="Times New Roman" w:eastAsia="Times New Roman" w:hAnsi="Times New Roman"/>
          <w:sz w:val="18"/>
          <w:szCs w:val="18"/>
          <w:b w:val="1"/>
          <w:bCs w:val="1"/>
          <w:i w:val="1"/>
          <w:iCs w:val="1"/>
          <w:color w:val="auto"/>
        </w:rPr>
        <w:t xml:space="preserve"> “Risks Relating to our Securities — Unlike some other similarly structured blank check companies, our sponsor will receive additional Class A ordinary shares if we issue shares to consummate an initial business combination.</w:t>
      </w: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ind w:left="4340" w:right="20"/>
        <w:spacing w:after="0" w:line="253" w:lineRule="auto"/>
        <w:rPr>
          <w:sz w:val="20"/>
          <w:szCs w:val="20"/>
          <w:color w:val="auto"/>
        </w:rPr>
      </w:pPr>
      <w:r>
        <w:rPr>
          <w:rFonts w:ascii="Times New Roman" w:cs="Times New Roman" w:eastAsia="Times New Roman" w:hAnsi="Times New Roman"/>
          <w:sz w:val="18"/>
          <w:szCs w:val="18"/>
          <w:color w:val="auto"/>
        </w:rPr>
        <w:t>As described below adjacent to the caption “</w:t>
      </w:r>
      <w:r>
        <w:rPr>
          <w:rFonts w:ascii="Times New Roman" w:cs="Times New Roman" w:eastAsia="Times New Roman" w:hAnsi="Times New Roman"/>
          <w:sz w:val="18"/>
          <w:szCs w:val="18"/>
          <w:i w:val="1"/>
          <w:iCs w:val="1"/>
          <w:color w:val="auto"/>
        </w:rPr>
        <w:t>Conversion of founder shares and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 shares and anti-dilution rights</w:t>
      </w:r>
      <w:r>
        <w:rPr>
          <w:rFonts w:ascii="Times New Roman" w:cs="Times New Roman" w:eastAsia="Times New Roman" w:hAnsi="Times New Roman"/>
          <w:sz w:val="18"/>
          <w:szCs w:val="18"/>
          <w:color w:val="auto"/>
        </w:rPr>
        <w:t>” the founder shares and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in connection with the conversion of the founder shares may result in material dilution to our public shareholders due to the nominal price of $0.002108 per founder share at which our sponsor purchased the founder shares (or $0.02462 per founder share paid by four of our directors for the founder shares) and/or the anti-dilution rights of our founder shares and private placement shares that may result in an issuance of Class A ordinary shares on a greater than one-to-one basis upon conversion. Our sponsor or its affiliates may receive additional compensation and/or may be issued additional securities in connection with an initial business combination, including securities that may result in material dilution to public shareholders. For more information also see below adjacent to the caption “</w:t>
      </w:r>
      <w:r>
        <w:rPr>
          <w:rFonts w:ascii="Times New Roman" w:cs="Times New Roman" w:eastAsia="Times New Roman" w:hAnsi="Times New Roman"/>
          <w:sz w:val="18"/>
          <w:szCs w:val="18"/>
          <w:i w:val="1"/>
          <w:iCs w:val="1"/>
          <w:color w:val="auto"/>
        </w:rPr>
        <w:t>Limited payments to insiders</w:t>
      </w:r>
      <w:r>
        <w:rPr>
          <w:rFonts w:ascii="Times New Roman" w:cs="Times New Roman" w:eastAsia="Times New Roman" w:hAnsi="Times New Roman"/>
          <w:sz w:val="18"/>
          <w:szCs w:val="18"/>
          <w:color w:val="auto"/>
        </w:rPr>
        <w:t>.”</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320" w:top="481" w:right="6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124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1350" cy="5124450"/>
                    </a:xfrm>
                    <a:prstGeom prst="rect">
                      <a:avLst/>
                    </a:prstGeom>
                    <a:noFill/>
                  </pic:spPr>
                </pic:pic>
              </a:graphicData>
            </a:graphic>
          </wp:anchor>
        </w:drawing>
      </w:r>
    </w:p>
    <w:p>
      <w:pPr>
        <w:sectPr>
          <w:pgSz w:w="11900" w:h="16838" w:orient="portrait"/>
          <w:cols w:equalWidth="0" w:num="1">
            <w:col w:w="10900"/>
          </w:cols>
          <w:pgMar w:left="320" w:top="481" w:right="67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80" w:hanging="78"/>
        <w:spacing w:after="0" w:line="260" w:lineRule="auto"/>
        <w:rPr>
          <w:sz w:val="20"/>
          <w:szCs w:val="20"/>
          <w:color w:val="auto"/>
        </w:rPr>
      </w:pPr>
      <w:r>
        <w:rPr>
          <w:rFonts w:ascii="Times New Roman" w:cs="Times New Roman" w:eastAsia="Times New Roman" w:hAnsi="Times New Roman"/>
          <w:sz w:val="18"/>
          <w:szCs w:val="18"/>
          <w:color w:val="auto"/>
        </w:rPr>
        <w:t>Transfer restrictions applicable to founder shares, private placement units, private investor shares, private placement shares and private placement rights (and shares into which the rights convert)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0" w:right="340" w:hanging="78"/>
        <w:spacing w:after="0" w:line="281" w:lineRule="auto"/>
        <w:rPr>
          <w:sz w:val="20"/>
          <w:szCs w:val="20"/>
          <w:color w:val="auto"/>
        </w:rPr>
      </w:pPr>
      <w:r>
        <w:rPr>
          <w:rFonts w:ascii="Times New Roman" w:cs="Times New Roman" w:eastAsia="Times New Roman" w:hAnsi="Times New Roman"/>
          <w:sz w:val="18"/>
          <w:szCs w:val="18"/>
          <w:color w:val="auto"/>
        </w:rPr>
        <w:t>Conversion of founder shares and private investor shares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Except with respect to permitted transferees as described herein under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our initial shareholders have agreed not to transfer, assign or sell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founder shares and private investor shares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their private placement units, private placement shares, private placement rights and shares issued upon conversion of the private placement rights until thirty days after the consummation of the initial business combination.</w:t>
      </w:r>
    </w:p>
    <w:p>
      <w:pPr>
        <w:spacing w:after="0" w:line="10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private placement shares and shares issued upon conversion of the private placement rights held by the non-managing investors from the lock-up provisions.</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permitted transferees would be subject to the same restrictions and other agreements of our initial shareholders with respect to any founder shares, private investor shares, private placement units, private placement shares, private placement rights and shares issued upon conversion of the private placement rights. We refer to such transfer restrictions throughout this prospectus as the “lock-up.”</w:t>
      </w:r>
    </w:p>
    <w:p>
      <w:pPr>
        <w:spacing w:after="0" w:line="8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Subject to adjustment for share sub-divisions, share capitalizations, reorganizations, recapitalizations and the like, and subject to further adjustment as provided herein, the founder shares and private investor</w:t>
      </w:r>
    </w:p>
    <w:p>
      <w:pPr>
        <w:spacing w:after="0" w:line="200" w:lineRule="exact"/>
        <w:rPr>
          <w:sz w:val="20"/>
          <w:szCs w:val="20"/>
          <w:color w:val="auto"/>
        </w:rPr>
      </w:pPr>
    </w:p>
    <w:p>
      <w:pPr>
        <w:sectPr>
          <w:pgSz w:w="11900" w:h="16838" w:orient="portrait"/>
          <w:cols w:equalWidth="0" w:num="2">
            <w:col w:w="4240" w:space="100"/>
            <w:col w:w="6560"/>
          </w:cols>
          <w:pgMar w:left="320" w:top="481" w:right="679" w:bottom="1440" w:gutter="0" w:footer="0" w:header="0"/>
          <w:type w:val="continuous"/>
        </w:sectPr>
      </w:pPr>
    </w:p>
    <w:p>
      <w:pPr>
        <w:spacing w:after="0" w:line="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0"/>
          </w:cols>
          <w:pgMar w:left="320" w:top="481" w:right="6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330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1350" cy="5330190"/>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hanging="78"/>
        <w:spacing w:after="0" w:line="281" w:lineRule="auto"/>
        <w:rPr>
          <w:sz w:val="20"/>
          <w:szCs w:val="20"/>
          <w:color w:val="auto"/>
        </w:rPr>
      </w:pPr>
      <w:r>
        <w:rPr>
          <w:rFonts w:ascii="Times New Roman" w:cs="Times New Roman" w:eastAsia="Times New Roman" w:hAnsi="Times New Roman"/>
          <w:sz w:val="18"/>
          <w:szCs w:val="18"/>
          <w:color w:val="auto"/>
        </w:rPr>
        <w:t>Voting arrangements with our sponsor, non-managing investors and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shares, which are designated as Class B ordinary shares, will be convertible at the option of the holder on a one-for-one basis or will automatically convert into Class A ordinary shares concurrently with or immediately following the consummation of our initial business combination at a ratio such that the number of Class A ordinary shares issuable upon conversion of all founder shares and private investor shares will equal, in the aggregate, on an as-converted basis,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2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sponsor, officers and directors will each enter into a letter agreement with us, pursuant to which they will agree: (1)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w:t>
      </w:r>
    </w:p>
    <w:p>
      <w:pPr>
        <w:spacing w:after="0" w:line="200" w:lineRule="exact"/>
        <w:rPr>
          <w:sz w:val="20"/>
          <w:szCs w:val="20"/>
          <w:color w:val="auto"/>
        </w:rPr>
      </w:pPr>
    </w:p>
    <w:p>
      <w:pPr>
        <w:sectPr>
          <w:pgSz w:w="11900" w:h="16838" w:orient="portrait"/>
          <w:cols w:equalWidth="0" w:num="2">
            <w:col w:w="4160" w:space="180"/>
            <w:col w:w="6580"/>
          </w:cols>
          <w:pgMar w:left="320" w:top="481" w:right="659" w:bottom="1440" w:gutter="0" w:footer="0" w:header="0"/>
          <w:type w:val="continuous"/>
        </w:sectPr>
      </w:pP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320" w:top="481" w:right="6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95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1350" cy="5595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right="320"/>
        <w:spacing w:after="0" w:line="276" w:lineRule="auto"/>
        <w:rPr>
          <w:sz w:val="20"/>
          <w:szCs w:val="20"/>
          <w:color w:val="auto"/>
        </w:rPr>
      </w:pPr>
      <w:r>
        <w:rPr>
          <w:rFonts w:ascii="Times New Roman" w:cs="Times New Roman" w:eastAsia="Times New Roman" w:hAnsi="Times New Roman"/>
          <w:sz w:val="17"/>
          <w:szCs w:val="17"/>
          <w:color w:val="auto"/>
        </w:rPr>
        <w:t>shareholders’ rights or pre-business combination activity. The non-managing investors have entered into written subscription agreements, pursuant to which they have agreed:</w:t>
      </w:r>
    </w:p>
    <w:p>
      <w:pPr>
        <w:ind w:left="4340" w:right="20" w:hanging="4"/>
        <w:spacing w:after="0" w:line="264" w:lineRule="auto"/>
        <w:tabs>
          <w:tab w:leader="none" w:pos="45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w:t>
      </w:r>
    </w:p>
    <w:p>
      <w:pPr>
        <w:spacing w:after="0" w:line="4" w:lineRule="exact"/>
        <w:rPr>
          <w:rFonts w:ascii="Times New Roman" w:cs="Times New Roman" w:eastAsia="Times New Roman" w:hAnsi="Times New Roman"/>
          <w:sz w:val="17"/>
          <w:szCs w:val="17"/>
          <w:color w:val="auto"/>
        </w:rPr>
      </w:pPr>
    </w:p>
    <w:p>
      <w:pPr>
        <w:ind w:left="4340" w:right="20" w:hanging="4"/>
        <w:spacing w:after="0" w:line="267" w:lineRule="auto"/>
        <w:tabs>
          <w:tab w:leader="none" w:pos="45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waive their redemption rights with respect to their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w:t>
      </w:r>
    </w:p>
    <w:p>
      <w:pPr>
        <w:spacing w:after="0" w:line="99" w:lineRule="exact"/>
        <w:rPr>
          <w:sz w:val="20"/>
          <w:szCs w:val="20"/>
          <w:color w:val="auto"/>
        </w:rPr>
      </w:pPr>
    </w:p>
    <w:p>
      <w:pPr>
        <w:ind w:left="4340" w:right="160"/>
        <w:spacing w:after="0" w:line="281" w:lineRule="auto"/>
        <w:rPr>
          <w:sz w:val="20"/>
          <w:szCs w:val="20"/>
          <w:color w:val="auto"/>
        </w:rPr>
      </w:pPr>
      <w:r>
        <w:rPr>
          <w:rFonts w:ascii="Times New Roman" w:cs="Times New Roman" w:eastAsia="Times New Roman" w:hAnsi="Times New Roman"/>
          <w:sz w:val="18"/>
          <w:szCs w:val="18"/>
          <w:color w:val="auto"/>
        </w:rPr>
        <w:t>Any permitted transferees would be subject to the same restrictions and other agreements as the transferor.</w:t>
      </w:r>
    </w:p>
    <w:p>
      <w:pPr>
        <w:spacing w:after="0" w:line="55"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If we submit an initial business combination to our shareholders for a vote, we will complete our initial business combination only if a majority of the ordinary shares, represented in person or by proxy and entitled to vote thereon, voted at a shareholder meeting, are voted in favor of the business combination. Our initial shareholders have agreed to vote their founder shares, private investor shares and private placement shares in favor of such initial business combination. However, our sponsor, officers and directors have also agreed to vote any public shares they may hold in favor of such initial business combination. As a result, in addition to the founder shares, private investor shares and private placement shares that our insiders and the non-managing investors have committed to purchase (as described above), we would need approximately 6,129,258 public shares, or approximately 27.9% of the 22,000,000 public shares sold in this offering, to be voted in favor of a transaction (assuming all issued and outstanding shares are voted, the over-allotment option is not exercised and 1,023,943 founder shares and 386,681 private investor shares have been forfeited) in order to have such initial business combination approved.</w:t>
      </w:r>
    </w:p>
    <w:p>
      <w:pPr>
        <w:spacing w:after="0" w:line="192" w:lineRule="exact"/>
        <w:rPr>
          <w:sz w:val="20"/>
          <w:szCs w:val="20"/>
          <w:color w:val="auto"/>
        </w:rPr>
      </w:pPr>
    </w:p>
    <w:p>
      <w:pPr>
        <w:ind w:left="4340" w:right="80"/>
        <w:spacing w:after="0" w:line="281" w:lineRule="auto"/>
        <w:rPr>
          <w:sz w:val="20"/>
          <w:szCs w:val="20"/>
          <w:color w:val="auto"/>
        </w:rPr>
      </w:pPr>
      <w:r>
        <w:rPr>
          <w:rFonts w:ascii="Times New Roman" w:cs="Times New Roman" w:eastAsia="Times New Roman" w:hAnsi="Times New Roman"/>
          <w:sz w:val="18"/>
          <w:szCs w:val="18"/>
          <w:color w:val="auto"/>
        </w:rPr>
        <w:t>Assuming that only the holders of one-third of our issued and outstanding ordinary shares, representing a quorum under our</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320" w:top="481"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amended and restated memorandum and articles of association, vote their shares, we will</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 need any public shares in addition to our founder shares held by our insiders to be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voted in favor of an initial business combination in order to approve such initial business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combination. In addition, if the non-managing investors purchase any public units, and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assuming none of them will trade such public units after this offering, depending upon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amount of public units purchased by the non-managing investors, we may be able to have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our initial shareholders approve our initial business combination without vote of the other</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public shareholders.</w:t>
            </w:r>
          </w:p>
        </w:tc>
      </w:tr>
      <w:tr>
        <w:trPr>
          <w:trHeight w:val="31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Expression of Interest</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purchasing any of the public units in this offering and neither us nor the representatives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have had discussions with any non-managing investors regarding any purchases of public</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units in this offering. However, we expect that some or all of the non-managing investors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may seek to purchase public units in the offering, but if they do indicate an interest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doing so, that a smaller amount of the public units in this offering will be offered by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to the non-managing investors than the amount for which the non-managing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investors may express an interest. Furthermore, we would not expect any of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non-managing investors to express an interest to purchase more than 9.9% of the public</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units to be sold in this offering. There can be no assurance that the non-managing investors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will acquire any public units, either directly or indirectly, in this offering, or as to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amount of the public units the non-managing investors will retain, if any, prior to or upon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consummation of our initial business combination. In addition,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full discretion to allocate the public units to investors and may determine to sell a different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number or no public units to the non-managing investors. If the non-managing investors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purchase public units in the offering, and depending on how many public units are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purchased by the non-managing investors, the post-offering trading volume, volatility and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liquidity of our securities may be reduced relative to what they would have been had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units been more widely offered and sold to other public investors. We do not expect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potential purchases of units by the non-managing investors to negatively impact our ability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to meet Nasdaq listing eligibility requirements. The underwriters will receive the same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upfront discounts and commissions on public units purchased by the non-managing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investors in the offering, if any, as it will on the other public units sold to the public in this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offering. In addition, although the non-managing investors have agreed to vote their private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investor shares and private placement shares in favor of an initial business combination,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 of the non-managing investors has any obligation to vote any public shares which</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they may hold in favor of our initial business combination. Nevertheless, regardless of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number of public units they may purchase, the non-managing investors will be incentivized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to vote their public shares in favor of a business combination due to their ownership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private investor shares and private placement shares and private placement rights issued as</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 of the private placement units. In</w:t>
            </w:r>
          </w:p>
        </w:tc>
      </w:tr>
      <w:tr>
        <w:trPr>
          <w:trHeight w:val="172"/>
        </w:trPr>
        <w:tc>
          <w:tcPr>
            <w:tcW w:w="2980" w:type="dxa"/>
            <w:vAlign w:val="bottom"/>
            <w:tcBorders>
              <w:left w:val="single" w:sz="8" w:color="auto"/>
              <w:bottom w:val="single" w:sz="8" w:color="auto"/>
            </w:tcBorders>
          </w:tcPr>
          <w:p>
            <w:pPr>
              <w:spacing w:after="0"/>
              <w:rPr>
                <w:sz w:val="14"/>
                <w:szCs w:val="14"/>
                <w:color w:val="auto"/>
              </w:rPr>
            </w:pPr>
          </w:p>
        </w:tc>
        <w:tc>
          <w:tcPr>
            <w:tcW w:w="8040" w:type="dxa"/>
            <w:vAlign w:val="bottom"/>
            <w:tcBorders>
              <w:bottom w:val="single" w:sz="8" w:color="auto"/>
              <w:right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36</w:t>
            </w:r>
          </w:p>
        </w:tc>
      </w:tr>
    </w:tbl>
    <w:p>
      <w:pPr>
        <w:sectPr>
          <w:pgSz w:w="11900" w:h="16838" w:orient="portrait"/>
          <w:cols w:equalWidth="0" w:num="1">
            <w:col w:w="11140"/>
          </w:cols>
          <w:pgMar w:left="320" w:top="481"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270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1350" cy="5527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67" w:lineRule="auto"/>
        <w:rPr>
          <w:sz w:val="20"/>
          <w:szCs w:val="20"/>
          <w:color w:val="auto"/>
        </w:rPr>
      </w:pPr>
      <w:r>
        <w:rPr>
          <w:rFonts w:ascii="Times New Roman" w:cs="Times New Roman" w:eastAsia="Times New Roman" w:hAnsi="Times New Roman"/>
          <w:sz w:val="17"/>
          <w:szCs w:val="17"/>
          <w:color w:val="auto"/>
        </w:rPr>
        <w:t xml:space="preserve">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 shareholders, </w:t>
      </w:r>
      <w:r>
        <w:rPr>
          <w:rFonts w:ascii="Times New Roman" w:cs="Times New Roman" w:eastAsia="Times New Roman" w:hAnsi="Times New Roman"/>
          <w:sz w:val="17"/>
          <w:szCs w:val="17"/>
          <w:b w:val="1"/>
          <w:bCs w:val="1"/>
          <w:color w:val="auto"/>
        </w:rPr>
        <w:t>please see “</w:t>
      </w:r>
      <w:r>
        <w:rPr>
          <w:rFonts w:ascii="Times New Roman" w:cs="Times New Roman" w:eastAsia="Times New Roman" w:hAnsi="Times New Roman"/>
          <w:sz w:val="17"/>
          <w:szCs w:val="17"/>
          <w:b w:val="1"/>
          <w:bCs w:val="1"/>
          <w:i w:val="1"/>
          <w:iCs w:val="1"/>
          <w:color w:val="auto"/>
        </w:rPr>
        <w:t>Risk Factors — Risks Relating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Search for, and Consummation of or Inability to Consummate, a Business Combination</w:t>
      </w:r>
    </w:p>
    <w:p>
      <w:pPr>
        <w:spacing w:after="0" w:line="196" w:lineRule="exact"/>
        <w:rPr>
          <w:sz w:val="20"/>
          <w:szCs w:val="20"/>
          <w:color w:val="auto"/>
        </w:rPr>
      </w:pPr>
    </w:p>
    <w:p>
      <w:pPr>
        <w:ind w:left="4340" w:right="18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Our management team, the non-managing investors and our sponsor may make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91" w:lineRule="exact"/>
        <w:rPr>
          <w:sz w:val="20"/>
          <w:szCs w:val="20"/>
          <w:color w:val="auto"/>
        </w:rPr>
      </w:pPr>
    </w:p>
    <w:p>
      <w:pPr>
        <w:ind w:left="4340" w:right="40"/>
        <w:spacing w:after="0" w:line="253" w:lineRule="auto"/>
        <w:rPr>
          <w:sz w:val="20"/>
          <w:szCs w:val="20"/>
          <w:color w:val="auto"/>
        </w:rPr>
      </w:pPr>
      <w:r>
        <w:rPr>
          <w:rFonts w:ascii="Times New Roman" w:cs="Times New Roman" w:eastAsia="Times New Roman" w:hAnsi="Times New Roman"/>
          <w:sz w:val="18"/>
          <w:szCs w:val="18"/>
          <w:color w:val="auto"/>
        </w:rPr>
        <w:t>The non-managing investors are not granted any shareholder or other rights in addition to those afforded to our other public shareholders, and will only be issued the private investor shares and private placement units of our company.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w:t>
      </w: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320" w:top="481"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non-managing investors will have the same rights to the funds held in the trust account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with respect to the public shares comprising part of the public units they may purchase in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this offering or otherwise acquire as the rights afforded to our other public shareholders.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However, if the non-managing investors purchase public units or public shares or otherwise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hold a substantial number of our public units or public shares, then the non-managing</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investors will potentially have different interests than our other public shareholders in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approving our initial business combination and otherwise exercising their rights as public</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shareholders because of their ownership of private investor shares and private placement</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units.</w:t>
            </w:r>
          </w:p>
        </w:tc>
      </w:tr>
      <w:tr>
        <w:trPr>
          <w:trHeight w:val="328"/>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For more information on additional financing we may raise in connection with our initial</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business combination and risks related thereto, see “</w:t>
            </w:r>
            <w:r>
              <w:rPr>
                <w:rFonts w:ascii="Times New Roman" w:cs="Times New Roman" w:eastAsia="Times New Roman" w:hAnsi="Times New Roman"/>
                <w:sz w:val="18"/>
                <w:szCs w:val="18"/>
                <w:b w:val="1"/>
                <w:bCs w:val="1"/>
                <w:i w:val="1"/>
                <w:iCs w:val="1"/>
                <w:color w:val="auto"/>
              </w:rPr>
              <w:t>Risk Factors — Risks Relating to Our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Search for, and Consummation of or Inability to Consummate, a Business Combination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We may issue additional ordinary or preferred shares to complete our initial business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combination or under an employee incentive plan upon or after consummation of our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initial business combination, which would dilute the interest of our shareholders and</w:t>
            </w:r>
          </w:p>
        </w:tc>
      </w:tr>
      <w:tr>
        <w:trPr>
          <w:trHeight w:val="238"/>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likely present other risks.”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proceeds to be held in the trust account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Nasdaq rules provide that at least 90% of the gross proceeds from this offering and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sale of the public units be deposited in a trust account. Of the $220,000,000 gross proceeds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 will receive from this offering and the sale of the private investor shares and private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placement units (or $253,000,000 if the over-allotment option is exercised in full), an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aggregate of $220,000,000 (or $10.00 per unit), or $253,000,000 (or $10.00 per unit) if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over-allotment option is exercised in full, will be placed in a segregated trust account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located in the United States maintained by Continental Stock Transfer &amp; Trust Company</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acting as trustee pursuant to an agreement to be signed on the date of this prospectus.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funds in the trust account will be invested only in specified U.S. government treasury bills</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or in specified money market funds.</w:t>
            </w:r>
          </w:p>
        </w:tc>
      </w:tr>
      <w:tr>
        <w:trPr>
          <w:trHeight w:val="319"/>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Except as set forth below, the proceeds held in the trust account will not be released until</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earlier of: (1) the completion of our initial business combination within the required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time period; (2) our redemption of 100% of the outstanding public shares if we have not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completed an initial business combination in the required time period; or (3) our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redemption of our public shares in connection with the approval of any amendment to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provisions of our amended and restated memorandum and articles of association governing</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our pre-initial business combination activity and related shareholders’ rights. Therefore,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unless and until our initial business combination is consummated, the proceeds held in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trust account will not be available for our use for any expenses related to this offering 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expenses which we may incur related to the investigation and selection of a target business</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and the negotiation of an agreement to</w:t>
            </w:r>
          </w:p>
        </w:tc>
      </w:tr>
      <w:tr>
        <w:trPr>
          <w:trHeight w:val="172"/>
        </w:trPr>
        <w:tc>
          <w:tcPr>
            <w:tcW w:w="3940" w:type="dxa"/>
            <w:vAlign w:val="bottom"/>
            <w:tcBorders>
              <w:left w:val="single" w:sz="8" w:color="auto"/>
              <w:bottom w:val="single" w:sz="8" w:color="auto"/>
            </w:tcBorders>
          </w:tcPr>
          <w:p>
            <w:pPr>
              <w:spacing w:after="0"/>
              <w:rPr>
                <w:sz w:val="14"/>
                <w:szCs w:val="14"/>
                <w:color w:val="auto"/>
              </w:rPr>
            </w:pPr>
          </w:p>
        </w:tc>
        <w:tc>
          <w:tcPr>
            <w:tcW w:w="7080" w:type="dxa"/>
            <w:vAlign w:val="bottom"/>
            <w:tcBorders>
              <w:bottom w:val="single" w:sz="8" w:color="auto"/>
              <w:right w:val="single" w:sz="8" w:color="auto"/>
            </w:tcBorders>
          </w:tcPr>
          <w:p>
            <w:pPr>
              <w:spacing w:after="0"/>
              <w:rPr>
                <w:sz w:val="14"/>
                <w:szCs w:val="14"/>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140"/>
          </w:cols>
          <w:pgMar w:left="320" w:top="481"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52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1350" cy="5852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40"/>
        <w:spacing w:after="0" w:line="265" w:lineRule="auto"/>
        <w:rPr>
          <w:sz w:val="20"/>
          <w:szCs w:val="20"/>
          <w:color w:val="auto"/>
        </w:rPr>
      </w:pPr>
      <w:r>
        <w:rPr>
          <w:rFonts w:ascii="Times New Roman" w:cs="Times New Roman" w:eastAsia="Times New Roman" w:hAnsi="Times New Roman"/>
          <w:sz w:val="18"/>
          <w:szCs w:val="18"/>
          <w:color w:val="auto"/>
        </w:rPr>
        <w:t>acquire a target business. The proceeds deposited in the trust account could become subject to the claims of our creditors, if any, which could have priority over the claims of our public shareholders.</w:t>
      </w:r>
    </w:p>
    <w:p>
      <w:pPr>
        <w:spacing w:after="0" w:line="96" w:lineRule="exact"/>
        <w:rPr>
          <w:sz w:val="20"/>
          <w:szCs w:val="20"/>
          <w:color w:val="auto"/>
        </w:rPr>
      </w:pPr>
    </w:p>
    <w:p>
      <w:pPr>
        <w:ind w:left="4340" w:right="200"/>
        <w:spacing w:after="0" w:line="256" w:lineRule="auto"/>
        <w:rPr>
          <w:sz w:val="20"/>
          <w:szCs w:val="20"/>
          <w:color w:val="auto"/>
        </w:rPr>
      </w:pPr>
      <w:r>
        <w:rPr>
          <w:rFonts w:ascii="Times New Roman" w:cs="Times New Roman" w:eastAsia="Times New Roman" w:hAnsi="Times New Roman"/>
          <w:sz w:val="18"/>
          <w:szCs w:val="18"/>
          <w:color w:val="auto"/>
        </w:rPr>
        <w:t>Unless and until we complete our initial business combination, no proceeds held in the trust account will be available for our use, except for permitted withdrawals. Based upon current interest rates, we expect the trust account to generate approximately $9,108,000 of interest annually (or $10,474,200 if the over-allotment option is exercised in full) (assuming an interest rate of 4.14% per year). Unless and until we complete our initial business combination, we may pay our expenses only from:</w:t>
      </w:r>
    </w:p>
    <w:p>
      <w:pPr>
        <w:spacing w:after="0" w:line="91" w:lineRule="exact"/>
        <w:rPr>
          <w:sz w:val="20"/>
          <w:szCs w:val="20"/>
          <w:color w:val="auto"/>
        </w:rPr>
      </w:pPr>
    </w:p>
    <w:p>
      <w:pPr>
        <w:ind w:left="4840" w:right="220" w:hanging="279"/>
        <w:spacing w:after="0" w:line="255" w:lineRule="auto"/>
        <w:tabs>
          <w:tab w:leader="none" w:pos="4820" w:val="left"/>
        </w:tabs>
        <w:rPr>
          <w:sz w:val="20"/>
          <w:szCs w:val="20"/>
          <w:color w:val="auto"/>
        </w:rPr>
      </w:pPr>
      <w:r>
        <w:rPr>
          <w:rFonts w:ascii="Times New Roman" w:cs="Times New Roman" w:eastAsia="Times New Roman" w:hAnsi="Times New Roman"/>
          <w:sz w:val="18"/>
          <w:szCs w:val="18"/>
          <w:color w:val="auto"/>
        </w:rPr>
        <w:t>•</w:t>
        <w:tab/>
        <w:t>that portion of the net proceeds of this offering not held in the trust account and cash held outside the trust account before the offering, which will be approximately $1,400,000 in working capital (or, if the underwriters exercise the over-allotment option in full, $1,507,000 in working capital) after the payment of approximately $1,957,006 in net offering expenses (or, if the underwriters exercise the over-allotment option in full, approximately $2,044,578 in net offering expenses), relating to this offering; and</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77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any loans or additional investments from our sponsor, members of our management</w:t>
            </w:r>
          </w:p>
        </w:tc>
      </w:tr>
      <w:tr>
        <w:trPr>
          <w:trHeight w:val="216"/>
        </w:trPr>
        <w:tc>
          <w:tcPr>
            <w:tcW w:w="32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team or any of their affiliates or other third parties, although they are under no</w:t>
            </w:r>
          </w:p>
        </w:tc>
      </w:tr>
      <w:tr>
        <w:trPr>
          <w:trHeight w:val="216"/>
        </w:trPr>
        <w:tc>
          <w:tcPr>
            <w:tcW w:w="32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obligation to loan funds or invest in us and provided that any such loans will not</w:t>
            </w:r>
          </w:p>
        </w:tc>
      </w:tr>
      <w:tr>
        <w:trPr>
          <w:trHeight w:val="216"/>
        </w:trPr>
        <w:tc>
          <w:tcPr>
            <w:tcW w:w="32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have any claim on the proceeds held in the trust account unless such proceeds are</w:t>
            </w:r>
          </w:p>
        </w:tc>
      </w:tr>
      <w:tr>
        <w:trPr>
          <w:trHeight w:val="234"/>
        </w:trPr>
        <w:tc>
          <w:tcPr>
            <w:tcW w:w="3240" w:type="dxa"/>
            <w:vAlign w:val="bottom"/>
          </w:tcPr>
          <w:p>
            <w:pPr>
              <w:spacing w:after="0"/>
              <w:rPr>
                <w:sz w:val="20"/>
                <w:szCs w:val="20"/>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released to us upon completion of our initial business combination.</w:t>
            </w:r>
          </w:p>
        </w:tc>
      </w:tr>
      <w:tr>
        <w:trPr>
          <w:trHeight w:val="31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payments to insiders</w:t>
            </w:r>
          </w:p>
        </w:tc>
        <w:tc>
          <w:tcPr>
            <w:tcW w:w="7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There will be no fees, reimbursements or other cash payments paid to our sponsor, officers</w:t>
            </w:r>
          </w:p>
        </w:tc>
      </w:tr>
      <w:tr>
        <w:trPr>
          <w:trHeight w:val="216"/>
        </w:trPr>
        <w:tc>
          <w:tcPr>
            <w:tcW w:w="3240" w:type="dxa"/>
            <w:vAlign w:val="bottom"/>
          </w:tcPr>
          <w:p>
            <w:pPr>
              <w:spacing w:after="0"/>
              <w:rPr>
                <w:sz w:val="18"/>
                <w:szCs w:val="18"/>
                <w:color w:val="auto"/>
              </w:rPr>
            </w:pPr>
          </w:p>
        </w:tc>
        <w:tc>
          <w:tcPr>
            <w:tcW w:w="7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and directors, or their affiliates prior to, or for any services they render in order to</w:t>
            </w:r>
          </w:p>
        </w:tc>
      </w:tr>
      <w:tr>
        <w:trPr>
          <w:trHeight w:val="216"/>
        </w:trPr>
        <w:tc>
          <w:tcPr>
            <w:tcW w:w="3240" w:type="dxa"/>
            <w:vAlign w:val="bottom"/>
          </w:tcPr>
          <w:p>
            <w:pPr>
              <w:spacing w:after="0"/>
              <w:rPr>
                <w:sz w:val="18"/>
                <w:szCs w:val="18"/>
                <w:color w:val="auto"/>
              </w:rPr>
            </w:pPr>
          </w:p>
        </w:tc>
        <w:tc>
          <w:tcPr>
            <w:tcW w:w="7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effectuate, the consummation of our initial business combination (regardless of the type of</w:t>
            </w:r>
          </w:p>
        </w:tc>
      </w:tr>
      <w:tr>
        <w:trPr>
          <w:trHeight w:val="216"/>
        </w:trPr>
        <w:tc>
          <w:tcPr>
            <w:tcW w:w="3240" w:type="dxa"/>
            <w:vAlign w:val="bottom"/>
          </w:tcPr>
          <w:p>
            <w:pPr>
              <w:spacing w:after="0"/>
              <w:rPr>
                <w:sz w:val="18"/>
                <w:szCs w:val="18"/>
                <w:color w:val="auto"/>
              </w:rPr>
            </w:pPr>
          </w:p>
        </w:tc>
        <w:tc>
          <w:tcPr>
            <w:tcW w:w="7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transaction that it is) other than the following payments, none of which will be made from</w:t>
            </w:r>
          </w:p>
        </w:tc>
      </w:tr>
      <w:tr>
        <w:trPr>
          <w:trHeight w:val="216"/>
        </w:trPr>
        <w:tc>
          <w:tcPr>
            <w:tcW w:w="3240" w:type="dxa"/>
            <w:vAlign w:val="bottom"/>
          </w:tcPr>
          <w:p>
            <w:pPr>
              <w:spacing w:after="0"/>
              <w:rPr>
                <w:sz w:val="18"/>
                <w:szCs w:val="18"/>
                <w:color w:val="auto"/>
              </w:rPr>
            </w:pPr>
          </w:p>
        </w:tc>
        <w:tc>
          <w:tcPr>
            <w:tcW w:w="7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that portion of the proceeds of this offering prior to the consummation of our initial</w:t>
            </w:r>
          </w:p>
        </w:tc>
      </w:tr>
      <w:tr>
        <w:trPr>
          <w:trHeight w:val="234"/>
        </w:trPr>
        <w:tc>
          <w:tcPr>
            <w:tcW w:w="3240" w:type="dxa"/>
            <w:vAlign w:val="bottom"/>
          </w:tcPr>
          <w:p>
            <w:pPr>
              <w:spacing w:after="0"/>
              <w:rPr>
                <w:sz w:val="20"/>
                <w:szCs w:val="20"/>
                <w:color w:val="auto"/>
              </w:rPr>
            </w:pPr>
          </w:p>
        </w:tc>
        <w:tc>
          <w:tcPr>
            <w:tcW w:w="7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business combination:</w:t>
            </w:r>
          </w:p>
        </w:tc>
      </w:tr>
      <w:tr>
        <w:trPr>
          <w:trHeight w:val="319"/>
        </w:trPr>
        <w:tc>
          <w:tcPr>
            <w:tcW w:w="3240" w:type="dxa"/>
            <w:vAlign w:val="bottom"/>
          </w:tcPr>
          <w:p>
            <w:pPr>
              <w:spacing w:after="0"/>
              <w:rPr>
                <w:sz w:val="24"/>
                <w:szCs w:val="24"/>
                <w:color w:val="auto"/>
              </w:rPr>
            </w:pPr>
          </w:p>
        </w:tc>
        <w:tc>
          <w:tcPr>
            <w:tcW w:w="77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payment to an affiliate of our sponsor, GigManagement, LLC, of a monthly fee of</w:t>
            </w:r>
          </w:p>
        </w:tc>
      </w:tr>
      <w:tr>
        <w:trPr>
          <w:trHeight w:val="216"/>
        </w:trPr>
        <w:tc>
          <w:tcPr>
            <w:tcW w:w="32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$30,000 for office space and administrative and support services until the</w:t>
            </w:r>
          </w:p>
        </w:tc>
      </w:tr>
      <w:tr>
        <w:trPr>
          <w:trHeight w:val="234"/>
        </w:trPr>
        <w:tc>
          <w:tcPr>
            <w:tcW w:w="3240" w:type="dxa"/>
            <w:vAlign w:val="bottom"/>
          </w:tcPr>
          <w:p>
            <w:pPr>
              <w:spacing w:after="0"/>
              <w:rPr>
                <w:sz w:val="20"/>
                <w:szCs w:val="20"/>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consummation of an initial business combination;</w:t>
            </w:r>
          </w:p>
        </w:tc>
      </w:tr>
      <w:tr>
        <w:trPr>
          <w:trHeight w:val="319"/>
        </w:trPr>
        <w:tc>
          <w:tcPr>
            <w:tcW w:w="3240" w:type="dxa"/>
            <w:vAlign w:val="bottom"/>
          </w:tcPr>
          <w:p>
            <w:pPr>
              <w:spacing w:after="0"/>
              <w:rPr>
                <w:sz w:val="24"/>
                <w:szCs w:val="24"/>
                <w:color w:val="auto"/>
              </w:rPr>
            </w:pPr>
          </w:p>
        </w:tc>
        <w:tc>
          <w:tcPr>
            <w:tcW w:w="77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payment to the company’s Chief Financial Officer of up to $15,000 per month for</w:t>
            </w:r>
          </w:p>
        </w:tc>
      </w:tr>
      <w:tr>
        <w:trPr>
          <w:trHeight w:val="234"/>
        </w:trPr>
        <w:tc>
          <w:tcPr>
            <w:tcW w:w="3240" w:type="dxa"/>
            <w:vAlign w:val="bottom"/>
          </w:tcPr>
          <w:p>
            <w:pPr>
              <w:spacing w:after="0"/>
              <w:rPr>
                <w:sz w:val="20"/>
                <w:szCs w:val="20"/>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her services to the company;</w:t>
            </w:r>
          </w:p>
        </w:tc>
      </w:tr>
      <w:tr>
        <w:trPr>
          <w:trHeight w:val="319"/>
        </w:trPr>
        <w:tc>
          <w:tcPr>
            <w:tcW w:w="3240" w:type="dxa"/>
            <w:vAlign w:val="bottom"/>
          </w:tcPr>
          <w:p>
            <w:pPr>
              <w:spacing w:after="0"/>
              <w:rPr>
                <w:sz w:val="24"/>
                <w:szCs w:val="24"/>
                <w:color w:val="auto"/>
              </w:rPr>
            </w:pPr>
          </w:p>
        </w:tc>
        <w:tc>
          <w:tcPr>
            <w:tcW w:w="77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reimbursement of out-of-pocket expenses incurred by our executive officers and</w:t>
            </w:r>
          </w:p>
        </w:tc>
      </w:tr>
      <w:tr>
        <w:trPr>
          <w:trHeight w:val="216"/>
        </w:trPr>
        <w:tc>
          <w:tcPr>
            <w:tcW w:w="32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directors and advisory fees to directors in connection with certain activities on our</w:t>
            </w:r>
          </w:p>
        </w:tc>
      </w:tr>
      <w:tr>
        <w:trPr>
          <w:trHeight w:val="216"/>
        </w:trPr>
        <w:tc>
          <w:tcPr>
            <w:tcW w:w="32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behalf, such as identifying and investigating possible business targets and business</w:t>
            </w:r>
          </w:p>
        </w:tc>
      </w:tr>
      <w:tr>
        <w:trPr>
          <w:trHeight w:val="216"/>
        </w:trPr>
        <w:tc>
          <w:tcPr>
            <w:tcW w:w="32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combinations as well as advisory fees to directors pertaining to board committee</w:t>
            </w:r>
          </w:p>
        </w:tc>
      </w:tr>
      <w:tr>
        <w:trPr>
          <w:trHeight w:val="234"/>
        </w:trPr>
        <w:tc>
          <w:tcPr>
            <w:tcW w:w="3240" w:type="dxa"/>
            <w:vAlign w:val="bottom"/>
          </w:tcPr>
          <w:p>
            <w:pPr>
              <w:spacing w:after="0"/>
              <w:rPr>
                <w:sz w:val="20"/>
                <w:szCs w:val="20"/>
                <w:color w:val="auto"/>
              </w:rPr>
            </w:pPr>
          </w:p>
        </w:tc>
        <w:tc>
          <w:tcPr>
            <w:tcW w:w="7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service and extraordinary administrative and analytical services;</w:t>
            </w:r>
          </w:p>
        </w:tc>
      </w:tr>
      <w:tr>
        <w:trPr>
          <w:trHeight w:val="172"/>
        </w:trPr>
        <w:tc>
          <w:tcPr>
            <w:tcW w:w="3240" w:type="dxa"/>
            <w:vAlign w:val="bottom"/>
            <w:tcBorders>
              <w:bottom w:val="single" w:sz="8" w:color="auto"/>
            </w:tcBorders>
          </w:tcPr>
          <w:p>
            <w:pPr>
              <w:spacing w:after="0"/>
              <w:rPr>
                <w:sz w:val="14"/>
                <w:szCs w:val="14"/>
                <w:color w:val="auto"/>
              </w:rPr>
            </w:pPr>
          </w:p>
        </w:tc>
        <w:tc>
          <w:tcPr>
            <w:tcW w:w="7780" w:type="dxa"/>
            <w:vAlign w:val="bottom"/>
            <w:tcBorders>
              <w:bottom w:val="single" w:sz="8" w:color="auto"/>
            </w:tcBorders>
          </w:tcPr>
          <w:p>
            <w:pPr>
              <w:spacing w:after="0"/>
              <w:rPr>
                <w:sz w:val="14"/>
                <w:szCs w:val="14"/>
                <w:color w:val="auto"/>
              </w:rPr>
            </w:pPr>
          </w:p>
        </w:tc>
      </w:tr>
      <w:tr>
        <w:trPr>
          <w:trHeight w:val="361"/>
        </w:trPr>
        <w:tc>
          <w:tcPr>
            <w:tcW w:w="3240" w:type="dxa"/>
            <w:vAlign w:val="bottom"/>
          </w:tcPr>
          <w:p>
            <w:pPr>
              <w:spacing w:after="0"/>
              <w:rPr>
                <w:sz w:val="24"/>
                <w:szCs w:val="24"/>
                <w:color w:val="auto"/>
              </w:rPr>
            </w:pPr>
          </w:p>
        </w:tc>
        <w:tc>
          <w:tcPr>
            <w:tcW w:w="77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39</w:t>
            </w:r>
          </w:p>
        </w:tc>
      </w:tr>
    </w:tbl>
    <w:p>
      <w:pPr>
        <w:sectPr>
          <w:pgSz w:w="11900" w:h="16838" w:orient="portrait"/>
          <w:cols w:equalWidth="0" w:num="1">
            <w:col w:w="11140"/>
          </w:cols>
          <w:pgMar w:left="320" w:top="481"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86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1350" cy="5586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40" w:right="360" w:hanging="288"/>
        <w:spacing w:after="0" w:line="281" w:lineRule="auto"/>
        <w:tabs>
          <w:tab w:leader="none" w:pos="4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analyst and consultant services as approved by our board of directors; and</w:t>
      </w:r>
    </w:p>
    <w:p>
      <w:pPr>
        <w:spacing w:after="0" w:line="68" w:lineRule="exact"/>
        <w:rPr>
          <w:rFonts w:ascii="Times New Roman" w:cs="Times New Roman" w:eastAsia="Times New Roman" w:hAnsi="Times New Roman"/>
          <w:sz w:val="18"/>
          <w:szCs w:val="18"/>
          <w:color w:val="auto"/>
        </w:rPr>
      </w:pPr>
    </w:p>
    <w:p>
      <w:pPr>
        <w:ind w:left="4840" w:right="240" w:hanging="288"/>
        <w:spacing w:after="0" w:line="258" w:lineRule="auto"/>
        <w:tabs>
          <w:tab w:leader="none" w:pos="4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upon consummation of our initial business combination of any loans which may be made by our sponsor, executive officers and directors, or their affiliates, to finance transaction costs in connection with an intended initial business combination. The terms of any such loans have not been determined nor have any written agreements been executed with respect thereto.</w:t>
      </w:r>
    </w:p>
    <w:p>
      <w:pPr>
        <w:spacing w:after="0" w:line="88" w:lineRule="exact"/>
        <w:rPr>
          <w:sz w:val="20"/>
          <w:szCs w:val="20"/>
          <w:color w:val="auto"/>
        </w:rPr>
      </w:pPr>
    </w:p>
    <w:p>
      <w:pPr>
        <w:ind w:left="4340" w:right="240"/>
        <w:spacing w:after="0" w:line="260" w:lineRule="auto"/>
        <w:rPr>
          <w:sz w:val="20"/>
          <w:szCs w:val="20"/>
          <w:color w:val="auto"/>
        </w:rPr>
      </w:pPr>
      <w:r>
        <w:rPr>
          <w:rFonts w:ascii="Times New Roman" w:cs="Times New Roman" w:eastAsia="Times New Roman" w:hAnsi="Times New Roman"/>
          <w:sz w:val="18"/>
          <w:szCs w:val="18"/>
          <w:color w:val="auto"/>
        </w:rPr>
        <w:t>These payments may be funded using that portion of the net proceeds of this offering not held in the trust account, plus any working capital funded as a permitted withdrawal, or, upon completion of the initial business combination, from any amounts remaining from the proceeds of the trust account released to us in connection therewith.</w:t>
      </w:r>
    </w:p>
    <w:p>
      <w:pPr>
        <w:spacing w:after="0" w:line="87" w:lineRule="exact"/>
        <w:rPr>
          <w:sz w:val="20"/>
          <w:szCs w:val="20"/>
          <w:color w:val="auto"/>
        </w:rPr>
      </w:pPr>
    </w:p>
    <w:p>
      <w:pPr>
        <w:ind w:left="4340" w:right="440"/>
        <w:spacing w:after="0" w:line="281" w:lineRule="auto"/>
        <w:rPr>
          <w:sz w:val="20"/>
          <w:szCs w:val="20"/>
          <w:color w:val="auto"/>
        </w:rPr>
      </w:pPr>
      <w:r>
        <w:rPr>
          <w:rFonts w:ascii="Times New Roman" w:cs="Times New Roman" w:eastAsia="Times New Roman" w:hAnsi="Times New Roman"/>
          <w:sz w:val="18"/>
          <w:szCs w:val="18"/>
          <w:color w:val="auto"/>
        </w:rPr>
        <w:t>Our audit committee will review on a quarterly basis all payments that were made to our sponsor, executive officers or directors, or our or any of their affiliates.</w:t>
      </w:r>
    </w:p>
    <w:p>
      <w:pPr>
        <w:spacing w:after="0" w:line="122" w:lineRule="exact"/>
        <w:rPr>
          <w:sz w:val="20"/>
          <w:szCs w:val="20"/>
          <w:color w:val="auto"/>
        </w:rPr>
      </w:pPr>
    </w:p>
    <w:p>
      <w:pPr>
        <w:ind w:left="300" w:right="440"/>
        <w:spacing w:after="0" w:line="260" w:lineRule="auto"/>
        <w:rPr>
          <w:sz w:val="20"/>
          <w:szCs w:val="20"/>
          <w:color w:val="auto"/>
        </w:rPr>
      </w:pPr>
      <w:r>
        <w:rPr>
          <w:rFonts w:ascii="Times New Roman" w:cs="Times New Roman" w:eastAsia="Times New Roman" w:hAnsi="Times New Roman"/>
          <w:sz w:val="18"/>
          <w:szCs w:val="18"/>
          <w:color w:val="auto"/>
        </w:rPr>
        <w:t>Our sponsor, officers and directors, or their affiliates, may have interests that differ from you in connection with the business combination, including the fact that they will receive payments for services rendered prior to, or in order to effectuate, the consummation of an initial business combination and accordingly, may have a conflict of interest in determining whether a particular target business is an appropriate business with which to effectuate our initial business combination.</w:t>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Prior to the effectiveness of this registration statement, we will have established and will</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maintain an audit committee (which will be composed entirely of independent directors) to,</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among other things, monitor compliance with the terms described above and the other</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terms relating to this offering. If any noncompliance is identified, then the audit committee</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will be charged with the responsibility to immediately take all action necessary to rectify</w:t>
            </w:r>
          </w:p>
        </w:tc>
      </w:tr>
      <w:tr>
        <w:trPr>
          <w:trHeight w:val="214"/>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such noncompliance or otherwise to cause compliance with the terms of this offering. For</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more information, see “</w:t>
            </w:r>
            <w:r>
              <w:rPr>
                <w:rFonts w:ascii="Times New Roman" w:cs="Times New Roman" w:eastAsia="Times New Roman" w:hAnsi="Times New Roman"/>
                <w:sz w:val="18"/>
                <w:szCs w:val="18"/>
                <w:i w:val="1"/>
                <w:iCs w:val="1"/>
                <w:color w:val="auto"/>
              </w:rPr>
              <w:t>Management—Committees of the Board of Directors—Audit</w:t>
            </w:r>
          </w:p>
        </w:tc>
      </w:tr>
      <w:tr>
        <w:trPr>
          <w:trHeight w:val="236"/>
        </w:trPr>
        <w:tc>
          <w:tcPr>
            <w:tcW w:w="3440" w:type="dxa"/>
            <w:vAlign w:val="bottom"/>
          </w:tcPr>
          <w:p>
            <w:pPr>
              <w:spacing w:after="0"/>
              <w:rPr>
                <w:sz w:val="20"/>
                <w:szCs w:val="20"/>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p>
        </w:tc>
      </w:tr>
      <w:tr>
        <w:trPr>
          <w:trHeight w:val="332"/>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Election of directors; Voting rights</w:t>
            </w: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Prior to the completion of our initial business combination, only holders of our founder</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shares and private investor shares will have the right to vote on the appointment of</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directors (by a majority of votes cast by the holders of the founder shares, private investor</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shares and private placement shares). Holders of our public shares will not be entitled to</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vote on the election of directors during such time. These provisions of our amended and</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restated memorandum and articles of association may only be amended by a special</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resolution passed by a majority of at least 90% (or, where such amendment is proposed in</w:t>
            </w:r>
          </w:p>
        </w:tc>
      </w:tr>
      <w:tr>
        <w:trPr>
          <w:trHeight w:val="216"/>
        </w:trPr>
        <w:tc>
          <w:tcPr>
            <w:tcW w:w="3440" w:type="dxa"/>
            <w:vAlign w:val="bottom"/>
          </w:tcPr>
          <w:p>
            <w:pPr>
              <w:spacing w:after="0"/>
              <w:rPr>
                <w:sz w:val="18"/>
                <w:szCs w:val="18"/>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respect of the consummation of our initial business combination, two-thirds) of our</w:t>
            </w:r>
          </w:p>
        </w:tc>
      </w:tr>
      <w:tr>
        <w:trPr>
          <w:trHeight w:val="234"/>
        </w:trPr>
        <w:tc>
          <w:tcPr>
            <w:tcW w:w="3440" w:type="dxa"/>
            <w:vAlign w:val="bottom"/>
          </w:tcPr>
          <w:p>
            <w:pPr>
              <w:spacing w:after="0"/>
              <w:rPr>
                <w:sz w:val="20"/>
                <w:szCs w:val="20"/>
                <w:color w:val="auto"/>
              </w:rPr>
            </w:pPr>
          </w:p>
        </w:tc>
        <w:tc>
          <w:tcPr>
            <w:tcW w:w="7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ordinary shares voting at the applicable general meeting.</w:t>
            </w:r>
          </w:p>
        </w:tc>
      </w:tr>
      <w:tr>
        <w:trPr>
          <w:trHeight w:val="158"/>
        </w:trPr>
        <w:tc>
          <w:tcPr>
            <w:tcW w:w="3440" w:type="dxa"/>
            <w:vAlign w:val="bottom"/>
            <w:tcBorders>
              <w:bottom w:val="single" w:sz="8" w:color="auto"/>
            </w:tcBorders>
          </w:tcPr>
          <w:p>
            <w:pPr>
              <w:spacing w:after="0"/>
              <w:rPr>
                <w:sz w:val="13"/>
                <w:szCs w:val="13"/>
                <w:color w:val="auto"/>
              </w:rPr>
            </w:pPr>
          </w:p>
        </w:tc>
        <w:tc>
          <w:tcPr>
            <w:tcW w:w="7580" w:type="dxa"/>
            <w:vAlign w:val="bottom"/>
            <w:tcBorders>
              <w:bottom w:val="single" w:sz="8" w:color="auto"/>
            </w:tcBorders>
          </w:tcPr>
          <w:p>
            <w:pPr>
              <w:spacing w:after="0"/>
              <w:rPr>
                <w:sz w:val="13"/>
                <w:szCs w:val="13"/>
                <w:color w:val="auto"/>
              </w:rPr>
            </w:pPr>
          </w:p>
        </w:tc>
      </w:tr>
      <w:tr>
        <w:trPr>
          <w:trHeight w:val="361"/>
        </w:trPr>
        <w:tc>
          <w:tcPr>
            <w:tcW w:w="3440" w:type="dxa"/>
            <w:vAlign w:val="bottom"/>
          </w:tcPr>
          <w:p>
            <w:pPr>
              <w:spacing w:after="0"/>
              <w:rPr>
                <w:sz w:val="24"/>
                <w:szCs w:val="24"/>
                <w:color w:val="auto"/>
              </w:rPr>
            </w:pPr>
          </w:p>
        </w:tc>
        <w:tc>
          <w:tcPr>
            <w:tcW w:w="7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140"/>
          </w:cols>
          <w:pgMar w:left="320" w:top="481"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047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1350" cy="5047615"/>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0" w:right="80" w:hanging="78"/>
        <w:spacing w:after="0" w:line="281" w:lineRule="auto"/>
        <w:rPr>
          <w:sz w:val="20"/>
          <w:szCs w:val="20"/>
          <w:color w:val="auto"/>
        </w:rPr>
      </w:pPr>
      <w:r>
        <w:rPr>
          <w:rFonts w:ascii="Times New Roman" w:cs="Times New Roman" w:eastAsia="Times New Roman" w:hAnsi="Times New Roman"/>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any other matter submitted to a vote of our shareholders, including any vote in connection with our initial business combination, except as required by law or the applicable rules of Nasdaq then in effect, holders of our founder shares, private investor shares and private placement shares and holders of our public shares will vote together as a single class, with each share entitling the holder to one vote.</w:t>
      </w:r>
    </w:p>
    <w:p>
      <w:pPr>
        <w:spacing w:after="0" w:line="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is no limitation on our ability to raise funds privately or through loans in connection with our initial business combination. The Nasdaq rules require that our initial business combination must be with one or more operating businesses or assets with a fair market value equal to at least 80% of the net assets held in trust (less permitted withdrawals) at the time of our signing a definitive agreement in connection with our initial business combination. Such initial business combination must be approved by a majority of the company’s independent directors. We do not currently intend to purchase multiple businesses in unrelated industries in conjunction with our initial business combination.</w:t>
      </w:r>
    </w:p>
    <w:p>
      <w:pPr>
        <w:spacing w:after="0" w:line="9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If our board of directors is not able to independently determine the fair market value of the acquisition target(s), we may obtain an opinion, in our sole discretion, from an independent investment banking firm that is a member of FINRA, or from another independent entity.</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However, unless we consummate our initial business combination with an affiliated entity, our board of directors is not required to obtain an opinion from an independent investment banking firm or another independent entity that the price we are paying is fair to our shareholders from a financial point of view. We will complete our initial business combination only if the post-transaction company in which our public shareholders own shares will own or acquire 50% or more of the issued and outstanding voting securities of the acquisition target or otherwise acquire a controlling interest in the acquisition target sufficient for it not to be required to register as an investment company under the Investment Company Act. Even if the post-transaction company owns or acquires 50% or more of the voting securities of the acquisition target, our shareholders prior to our initial business combination may collectively own a minority interest in the post-transaction company, depending on valuations ascribed to the acquisition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acquisition targets.</w:t>
      </w:r>
    </w:p>
    <w:p>
      <w:pPr>
        <w:spacing w:after="0" w:line="200" w:lineRule="exact"/>
        <w:rPr>
          <w:sz w:val="20"/>
          <w:szCs w:val="20"/>
          <w:color w:val="auto"/>
        </w:rPr>
      </w:pPr>
    </w:p>
    <w:p>
      <w:pPr>
        <w:sectPr>
          <w:pgSz w:w="11900" w:h="16838" w:orient="portrait"/>
          <w:cols w:equalWidth="0" w:num="2">
            <w:col w:w="3620" w:space="720"/>
            <w:col w:w="6580"/>
          </w:cols>
          <w:pgMar w:left="320" w:top="481" w:right="659" w:bottom="1440" w:gutter="0" w:footer="0" w:header="0"/>
          <w:type w:val="continuous"/>
        </w:sectPr>
      </w:pP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20"/>
          </w:cols>
          <w:pgMar w:left="320" w:top="481" w:right="6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95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1350" cy="5595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Permitted purchases of public shares by our affiliates</w:t>
      </w:r>
      <w:r>
        <w:rPr>
          <w:sz w:val="20"/>
          <w:szCs w:val="20"/>
          <w:color w:val="auto"/>
        </w:rPr>
        <w:tab/>
      </w:r>
      <w:r>
        <w:rPr>
          <w:rFonts w:ascii="Times New Roman" w:cs="Times New Roman" w:eastAsia="Times New Roman" w:hAnsi="Times New Roman"/>
          <w:sz w:val="17"/>
          <w:szCs w:val="17"/>
          <w:color w:val="auto"/>
        </w:rPr>
        <w:t>If we seek shareholder approval of our initial business combination and we do not conduct</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redemptions in connection with our initial business combination pursuant to the tender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offer rules, our sponsor, directors, executive officers, or any of their affiliates may purchase</w:t>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shares of our public shares in privately negotiated transactions or on the open market either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prior to or following the completion of our initial business combination. Please see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Proposed Business—Initial Business Combination</w:t>
      </w:r>
      <w:r>
        <w:rPr>
          <w:rFonts w:ascii="Times New Roman" w:cs="Times New Roman" w:eastAsia="Times New Roman" w:hAnsi="Times New Roman"/>
          <w:sz w:val="18"/>
          <w:szCs w:val="18"/>
          <w:color w:val="auto"/>
        </w:rPr>
        <w:t>” for a description of how such persons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will determine from which shareholders to seek to acquire shares. There is no limit on the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number of shares such persons may purchase, or any restriction on the price that they may</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pay. Any such price per share may be different than the amount per share a public</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shareholder would receive if it elected to redeem its shares in connection with our initial</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business combination. However, such persons have no current commitments, plans 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intentions to engage in such transactions and have not formulated any terms or conditions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for any such transactions. In the event our sponsor, directors, executive officers, or any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their affiliates determine to make any such purchases at the time of a shareholder vote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relating to our initial business combination, such purchases could have the effect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influencing the vote necessary to approve such transaction. None of the funds in the trust</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account will be used to purchase public shares in such transactions. If any of our sponsor,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directors, executive officers, or any of their affiliates engages in such transactions, they will</w:t>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not make any such purchases when they are in possession of any material non-public</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information not disclosed to the seller or if such purchases are prohibited by Regulation M</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under the Securities Exchange Act of 1934, as amended (the “Exchange Act”).</w:t>
      </w:r>
    </w:p>
    <w:p>
      <w:pPr>
        <w:spacing w:after="0" w:line="112" w:lineRule="exact"/>
        <w:rPr>
          <w:sz w:val="20"/>
          <w:szCs w:val="20"/>
          <w:color w:val="auto"/>
        </w:rPr>
      </w:pPr>
    </w:p>
    <w:p>
      <w:pPr>
        <w:ind w:left="4340" w:right="40"/>
        <w:spacing w:after="0" w:line="253" w:lineRule="auto"/>
        <w:rPr>
          <w:sz w:val="20"/>
          <w:szCs w:val="20"/>
          <w:color w:val="auto"/>
        </w:rPr>
      </w:pPr>
      <w:r>
        <w:rPr>
          <w:rFonts w:ascii="Times New Roman" w:cs="Times New Roman" w:eastAsia="Times New Roman" w:hAnsi="Times New Roman"/>
          <w:sz w:val="18"/>
          <w:szCs w:val="18"/>
          <w:color w:val="auto"/>
        </w:rPr>
        <w:t>Subsequent to the consummation of this offering, we will adopt an insider trading policy which will require insiders (hereinafter in this paragraph, as defined in the Exchange Act) to (1) refrain from purchasing securities during certain blackout periods and when they are in possession of any material non-public information and (2) clear all trades with our legal counsel prior to execution. We cannot currently determine whether any of our insiders will make such purchases pursuant to a Rule 10b5-1 plan, as that would be dependent upon several factors, including but not limited to, the timing and size of any such purchase. Depending on the circumstances, any of our insiders may decide to make purchases of our public shares pursuant to a Rule 10b5-1 plan or may determine that acting pursuant to such a plan is not required under the Exchange Act.</w:t>
      </w:r>
    </w:p>
    <w:p>
      <w:pPr>
        <w:spacing w:after="0" w:line="97" w:lineRule="exact"/>
        <w:rPr>
          <w:sz w:val="20"/>
          <w:szCs w:val="20"/>
          <w:color w:val="auto"/>
        </w:rPr>
      </w:pPr>
    </w:p>
    <w:p>
      <w:pPr>
        <w:ind w:left="4340" w:right="20"/>
        <w:spacing w:after="0" w:line="255" w:lineRule="auto"/>
        <w:rPr>
          <w:sz w:val="20"/>
          <w:szCs w:val="20"/>
          <w:color w:val="auto"/>
        </w:rPr>
      </w:pPr>
      <w:r>
        <w:rPr>
          <w:rFonts w:ascii="Times New Roman" w:cs="Times New Roman" w:eastAsia="Times New Roman" w:hAnsi="Times New Roman"/>
          <w:sz w:val="18"/>
          <w:szCs w:val="18"/>
          <w:color w:val="auto"/>
        </w:rPr>
        <w:t>We do not currently anticipate that purchases of our public shares by any of our sponsor, directors, executive officers or any of their affiliates,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None of our sponsor, directors, officers or any of their</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320" w:top="481"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920" w:type="dxa"/>
            <w:vAlign w:val="bottom"/>
            <w:tcBorders>
              <w:top w:val="single" w:sz="8" w:color="auto"/>
              <w:left w:val="single" w:sz="8" w:color="auto"/>
            </w:tcBorders>
          </w:tcPr>
          <w:p>
            <w:pPr>
              <w:spacing w:after="0"/>
              <w:rPr>
                <w:sz w:val="24"/>
                <w:szCs w:val="24"/>
                <w:color w:val="auto"/>
              </w:rPr>
            </w:pPr>
          </w:p>
        </w:tc>
        <w:tc>
          <w:tcPr>
            <w:tcW w:w="710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affiliates will purchase public shares if such purchases would violate Section 9(a)(2) or</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Rule 10b-5 of the Exchange Act.</w:t>
            </w:r>
          </w:p>
        </w:tc>
      </w:tr>
      <w:tr>
        <w:trPr>
          <w:trHeight w:val="332"/>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rights for public shareholders upon</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w:t>
            </w:r>
          </w:p>
        </w:tc>
      </w:tr>
      <w:tr>
        <w:trPr>
          <w:trHeight w:val="216"/>
        </w:trPr>
        <w:tc>
          <w:tcPr>
            <w:tcW w:w="39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completion of our initial business combination</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their public shares upon the completion of our initial business combination at a per-share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price, payable in cash, equal to the aggregate amount then on deposit in the trust account as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of two business days prior to the consummation of our initial business combination,</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including interest (which interest shall be net of permitted withdrawals), divided by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number of then issued and outstanding public shares, subject to the limitations described</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herein.</w:t>
            </w:r>
          </w:p>
        </w:tc>
      </w:tr>
      <w:tr>
        <w:trPr>
          <w:trHeight w:val="319"/>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amount in the trust account is initially anticipated to be $10.00 per public share. Our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initial shareholders have entered into agreements with us, pursuant to which they agree to</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waive their redemption rights with respect to their founder shares, private investor shares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and any Class A ordinary shares issuable upon conversion thereof in connection with the</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r>
      <w:tr>
        <w:trPr>
          <w:trHeight w:val="319"/>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non-managing investors are not granted any shareholder or other rights in addition to</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those afforded to our other public shareholders, and will only be issued the private investor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shares and private placement units of our company. The non-managing investors are not</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required to (i) hold any public units, public shares or public rights they may purchase in</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this offering or thereafter for any amount of time, (ii) vote any public shares they may own</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at the applicable time in favor of our initial business combination (although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non-managing investors have agreed to vote their private investor shares and private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placement shares in favor of an initial business combination), or (iii) refrain from</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exercising their right to redeem their public shares at the time of our initial business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combination. The non-managing investors will have the same rights to the funds held in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trust account with respect to the public shares comprising part of the public units they may</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purchase in this offering or otherwise acquire as the rights afforded to our other public</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shareholders. However, if the non-managing investors purchase public units or public</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shares or otherwise hold a substantial number of our public units or public shares, then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non-managing investors will potentially have different interests than our other public</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shareholders in approving our initial business combination and otherwise exercising their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rights as public shareholders because of their ownership of private investor shares and</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private placement units.</w:t>
            </w:r>
          </w:p>
        </w:tc>
      </w:tr>
      <w:tr>
        <w:trPr>
          <w:trHeight w:val="319"/>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Manner of conducting redemptions</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their public shares upon the completion of our initial business combination either (1) in</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connection with a shareholder meeting called to approve the business combination or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 by means of a tender offer. The decision as to whether we will seek shareholder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approval of a proposed business combination or conduct a tender offer will be made by us,</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solely in our discretion,</w:t>
            </w:r>
          </w:p>
        </w:tc>
      </w:tr>
      <w:tr>
        <w:trPr>
          <w:trHeight w:val="172"/>
        </w:trPr>
        <w:tc>
          <w:tcPr>
            <w:tcW w:w="3920" w:type="dxa"/>
            <w:vAlign w:val="bottom"/>
            <w:tcBorders>
              <w:left w:val="single" w:sz="8" w:color="auto"/>
              <w:bottom w:val="single" w:sz="8" w:color="auto"/>
            </w:tcBorders>
          </w:tcPr>
          <w:p>
            <w:pPr>
              <w:spacing w:after="0"/>
              <w:rPr>
                <w:sz w:val="14"/>
                <w:szCs w:val="14"/>
                <w:color w:val="auto"/>
              </w:rPr>
            </w:pPr>
          </w:p>
        </w:tc>
        <w:tc>
          <w:tcPr>
            <w:tcW w:w="7100" w:type="dxa"/>
            <w:vAlign w:val="bottom"/>
            <w:tcBorders>
              <w:bottom w:val="single" w:sz="8" w:color="auto"/>
              <w:right w:val="single" w:sz="8" w:color="auto"/>
            </w:tcBorders>
          </w:tcPr>
          <w:p>
            <w:pPr>
              <w:spacing w:after="0"/>
              <w:rPr>
                <w:sz w:val="14"/>
                <w:szCs w:val="14"/>
                <w:color w:val="auto"/>
              </w:rPr>
            </w:pPr>
          </w:p>
        </w:tc>
      </w:tr>
      <w:tr>
        <w:trPr>
          <w:trHeight w:val="361"/>
        </w:trPr>
        <w:tc>
          <w:tcPr>
            <w:tcW w:w="3920" w:type="dxa"/>
            <w:vAlign w:val="bottom"/>
          </w:tcPr>
          <w:p>
            <w:pPr>
              <w:spacing w:after="0"/>
              <w:rPr>
                <w:sz w:val="24"/>
                <w:szCs w:val="24"/>
                <w:color w:val="auto"/>
              </w:rPr>
            </w:pPr>
          </w:p>
        </w:tc>
        <w:tc>
          <w:tcPr>
            <w:tcW w:w="71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140"/>
          </w:cols>
          <w:pgMar w:left="320" w:top="481"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143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1350" cy="6143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70" w:lineRule="auto"/>
        <w:rPr>
          <w:sz w:val="20"/>
          <w:szCs w:val="20"/>
          <w:color w:val="auto"/>
        </w:rPr>
      </w:pPr>
      <w:r>
        <w:rPr>
          <w:rFonts w:ascii="Times New Roman" w:cs="Times New Roman" w:eastAsia="Times New Roman" w:hAnsi="Times New Roman"/>
          <w:sz w:val="17"/>
          <w:szCs w:val="17"/>
          <w:color w:val="auto"/>
        </w:rPr>
        <w:t>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rule or we choose to conduct redemptions pursuant to the tender offer rules of the SEC for business or other reasons.</w:t>
      </w:r>
    </w:p>
    <w:p>
      <w:pPr>
        <w:spacing w:after="0" w:line="93" w:lineRule="exact"/>
        <w:rPr>
          <w:sz w:val="20"/>
          <w:szCs w:val="20"/>
          <w:color w:val="auto"/>
        </w:rPr>
      </w:pPr>
    </w:p>
    <w:p>
      <w:pPr>
        <w:ind w:left="4340" w:right="40"/>
        <w:spacing w:after="0" w:line="265" w:lineRule="auto"/>
        <w:rPr>
          <w:sz w:val="20"/>
          <w:szCs w:val="20"/>
          <w:color w:val="auto"/>
        </w:rPr>
      </w:pPr>
      <w:r>
        <w:rPr>
          <w:rFonts w:ascii="Times New Roman" w:cs="Times New Roman" w:eastAsia="Times New Roman" w:hAnsi="Times New Roman"/>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83" w:lineRule="exact"/>
        <w:rPr>
          <w:sz w:val="20"/>
          <w:szCs w:val="20"/>
          <w:color w:val="auto"/>
        </w:rPr>
      </w:pPr>
    </w:p>
    <w:p>
      <w:pPr>
        <w:ind w:left="4840" w:right="680" w:hanging="288"/>
        <w:spacing w:after="0" w:line="281" w:lineRule="auto"/>
        <w:tabs>
          <w:tab w:leader="none" w:pos="4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68" w:lineRule="exact"/>
        <w:rPr>
          <w:rFonts w:ascii="Times New Roman" w:cs="Times New Roman" w:eastAsia="Times New Roman" w:hAnsi="Times New Roman"/>
          <w:sz w:val="18"/>
          <w:szCs w:val="18"/>
          <w:color w:val="auto"/>
        </w:rPr>
      </w:pPr>
    </w:p>
    <w:p>
      <w:pPr>
        <w:ind w:left="4840" w:hanging="288"/>
        <w:spacing w:after="0" w:line="280" w:lineRule="auto"/>
        <w:tabs>
          <w:tab w:leader="none" w:pos="48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72" w:lineRule="exact"/>
        <w:rPr>
          <w:sz w:val="20"/>
          <w:szCs w:val="20"/>
          <w:color w:val="auto"/>
        </w:rPr>
      </w:pPr>
    </w:p>
    <w:p>
      <w:pPr>
        <w:ind w:left="4340" w:right="60"/>
        <w:spacing w:after="0" w:line="258"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 redemptions pursuant to the tender offer rules, we and our sponsor, directors and executive officers will terminate any plan established in accordance with Rule 10b5-1 under the Exchange Act to purchase public shares on the open market, in order to comply with Rule 14e-5 under the Exchange Act.</w:t>
      </w:r>
    </w:p>
    <w:p>
      <w:pPr>
        <w:spacing w:after="0" w:line="88" w:lineRule="exact"/>
        <w:rPr>
          <w:sz w:val="20"/>
          <w:szCs w:val="20"/>
          <w:color w:val="auto"/>
        </w:rPr>
      </w:pPr>
    </w:p>
    <w:p>
      <w:pPr>
        <w:ind w:left="4340" w:right="60"/>
        <w:spacing w:after="0" w:line="260"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w:t>
      </w:r>
    </w:p>
    <w:p>
      <w:pPr>
        <w:spacing w:after="0" w:line="87" w:lineRule="exact"/>
        <w:rPr>
          <w:sz w:val="20"/>
          <w:szCs w:val="20"/>
          <w:color w:val="auto"/>
        </w:rPr>
      </w:pPr>
    </w:p>
    <w:p>
      <w:pPr>
        <w:jc w:val="both"/>
        <w:ind w:left="4340" w:right="120"/>
        <w:spacing w:after="0" w:line="265" w:lineRule="auto"/>
        <w:rPr>
          <w:sz w:val="20"/>
          <w:szCs w:val="20"/>
          <w:color w:val="auto"/>
        </w:rPr>
      </w:pPr>
      <w:r>
        <w:rPr>
          <w:rFonts w:ascii="Times New Roman" w:cs="Times New Roman" w:eastAsia="Times New Roman" w:hAnsi="Times New Roman"/>
          <w:sz w:val="18"/>
          <w:szCs w:val="18"/>
          <w:color w:val="auto"/>
        </w:rPr>
        <w:t>If, however, shareholder approval of the transaction is required by applicable law or stock exchange listing requirement, or we decide to obtain shareholder approval for business or other reasons, we will:</w:t>
      </w:r>
    </w:p>
    <w:p>
      <w:pPr>
        <w:spacing w:after="0" w:line="83" w:lineRule="exact"/>
        <w:rPr>
          <w:sz w:val="20"/>
          <w:szCs w:val="20"/>
          <w:color w:val="auto"/>
        </w:rPr>
      </w:pPr>
    </w:p>
    <w:p>
      <w:pPr>
        <w:ind w:left="4840" w:right="260" w:hanging="288"/>
        <w:spacing w:after="0" w:line="265" w:lineRule="auto"/>
        <w:tabs>
          <w:tab w:leader="none" w:pos="4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2" w:lineRule="exact"/>
        <w:rPr>
          <w:rFonts w:ascii="Times New Roman" w:cs="Times New Roman" w:eastAsia="Times New Roman" w:hAnsi="Times New Roman"/>
          <w:sz w:val="18"/>
          <w:szCs w:val="18"/>
          <w:color w:val="auto"/>
        </w:rPr>
      </w:pPr>
    </w:p>
    <w:p>
      <w:pPr>
        <w:ind w:left="4840" w:hanging="288"/>
        <w:spacing w:after="0"/>
        <w:tabs>
          <w:tab w:leader="none" w:pos="4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130" w:lineRule="exact"/>
        <w:rPr>
          <w:sz w:val="20"/>
          <w:szCs w:val="20"/>
          <w:color w:val="auto"/>
        </w:rPr>
      </w:pPr>
    </w:p>
    <w:p>
      <w:pPr>
        <w:ind w:left="4340" w:right="100"/>
        <w:spacing w:after="0" w:line="288" w:lineRule="auto"/>
        <w:rPr>
          <w:sz w:val="20"/>
          <w:szCs w:val="20"/>
          <w:color w:val="auto"/>
        </w:rPr>
      </w:pPr>
      <w:r>
        <w:rPr>
          <w:rFonts w:ascii="Times New Roman" w:cs="Times New Roman" w:eastAsia="Times New Roman" w:hAnsi="Times New Roman"/>
          <w:sz w:val="17"/>
          <w:szCs w:val="17"/>
          <w:color w:val="auto"/>
        </w:rPr>
        <w:t>We expect that a final proxy statement would be mailed to public shareholders at least 20 days prior to the shareholder vote. However, we expect that a draft proxy statement would be made available to such shareholders well in advance of such time, providing additional</w:t>
      </w:r>
    </w:p>
    <w:p>
      <w:pPr>
        <w:spacing w:after="0" w:line="2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320" w:top="481" w:right="6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41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1350" cy="57410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20"/>
        <w:spacing w:after="0" w:line="280" w:lineRule="auto"/>
        <w:rPr>
          <w:sz w:val="20"/>
          <w:szCs w:val="20"/>
          <w:color w:val="auto"/>
        </w:rPr>
      </w:pPr>
      <w:r>
        <w:rPr>
          <w:rFonts w:ascii="Times New Roman" w:cs="Times New Roman" w:eastAsia="Times New Roman" w:hAnsi="Times New Roman"/>
          <w:sz w:val="17"/>
          <w:szCs w:val="17"/>
          <w:color w:val="auto"/>
        </w:rPr>
        <w:t>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listings or Exchange Act registration.</w:t>
      </w:r>
    </w:p>
    <w:p>
      <w:pPr>
        <w:spacing w:after="0" w:line="86" w:lineRule="exact"/>
        <w:rPr>
          <w:sz w:val="20"/>
          <w:szCs w:val="20"/>
          <w:color w:val="auto"/>
        </w:rPr>
      </w:pPr>
    </w:p>
    <w:p>
      <w:pPr>
        <w:ind w:left="4340"/>
        <w:spacing w:after="0" w:line="251"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pursuant to the terms of agreements entered into with us, our initial shareholders will agree (and any of their permitted transferees will agree) to vote their founder shares, private investor shares and private placement shares held by them in favor of our initial business combination, but not any public shares that the non-managing investors may buy in this offering or after this offering on the open market. As a result, in addition to the founder shares, private investor shares and private placement shares that our insiders and the non-managing investors have purchased or committed to purchase (as described above), we would need approximately 6,129,258 public shares, or approximately 27.9% of the 22,000,000 public shares sold in this offering, to be voted in favor of a transaction (assuming all issued and outstanding shares are voted, the over-allotment option is not exercised and 1,023,943 founder shares and 386,681 private investor shares have been forfeited) in order to have such initial business combination approved. Assuming that only the holders of one-third of our issued and outstanding ordinary shares, representing a quorum under our amended and restated memorandum and articles of association, vote their shares, we will not need any public shares in addition to our founder shares held by our sponsor to be voted in favor of an initial business combination in order to approve an initial business combination. These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transaction. Our amended and restated memorandum and articles of association will require that at least five clear days’ notice will be given of any such shareholder meeting.</w:t>
      </w:r>
    </w:p>
    <w:p>
      <w:pPr>
        <w:spacing w:after="0" w:line="103" w:lineRule="exact"/>
        <w:rPr>
          <w:sz w:val="20"/>
          <w:szCs w:val="20"/>
          <w:color w:val="auto"/>
        </w:rPr>
      </w:pPr>
    </w:p>
    <w:p>
      <w:pPr>
        <w:ind w:left="4340"/>
        <w:spacing w:after="0" w:line="253" w:lineRule="auto"/>
        <w:rPr>
          <w:sz w:val="20"/>
          <w:szCs w:val="20"/>
          <w:color w:val="auto"/>
        </w:rPr>
      </w:pPr>
      <w:r>
        <w:rPr>
          <w:rFonts w:ascii="Times New Roman" w:cs="Times New Roman" w:eastAsia="Times New Roman" w:hAnsi="Times New Roman"/>
          <w:sz w:val="18"/>
          <w:szCs w:val="18"/>
          <w:color w:val="auto"/>
        </w:rPr>
        <w:t>Redemptions of our public shares may also be subject to a cash requirement pursuant to an agreement relating to our initial business combination. For example, the proposed business combination may require: (1) cash consideration to be paid to the acquisition target or its owners; (2) cash to be transferred to the acquisition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would not complete the</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0"/>
          </w:cols>
          <w:pgMar w:left="320" w:top="481" w:right="6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193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1350" cy="5193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0"/>
        <w:spacing w:after="0" w:line="281" w:lineRule="auto"/>
        <w:rPr>
          <w:sz w:val="20"/>
          <w:szCs w:val="20"/>
          <w:color w:val="auto"/>
        </w:rPr>
      </w:pPr>
      <w:r>
        <w:rPr>
          <w:rFonts w:ascii="Times New Roman" w:cs="Times New Roman" w:eastAsia="Times New Roman" w:hAnsi="Times New Roman"/>
          <w:sz w:val="18"/>
          <w:szCs w:val="18"/>
          <w:color w:val="auto"/>
        </w:rPr>
        <w:t>business combination or redeem any public shares, and all public shares submitted for redemption would be returned to the holders thereof.</w:t>
      </w:r>
    </w:p>
    <w:p>
      <w:pPr>
        <w:spacing w:after="0" w:line="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Tendering share certificates in connection with a tender We may require our public shareholders seeking to exercise their redemption rights,</w:t>
      </w:r>
    </w:p>
    <w:p>
      <w:pPr>
        <w:spacing w:after="0" w:line="27" w:lineRule="exact"/>
        <w:rPr>
          <w:sz w:val="20"/>
          <w:szCs w:val="20"/>
          <w:color w:val="auto"/>
        </w:rPr>
      </w:pPr>
    </w:p>
    <w:p>
      <w:pPr>
        <w:ind w:left="4340" w:right="120" w:hanging="3950"/>
        <w:spacing w:after="0" w:line="267" w:lineRule="auto"/>
        <w:tabs>
          <w:tab w:leader="none" w:pos="4320" w:val="left"/>
        </w:tabs>
        <w:rPr>
          <w:sz w:val="20"/>
          <w:szCs w:val="20"/>
          <w:color w:val="auto"/>
        </w:rPr>
      </w:pPr>
      <w:r>
        <w:rPr>
          <w:rFonts w:ascii="Times New Roman" w:cs="Times New Roman" w:eastAsia="Times New Roman" w:hAnsi="Times New Roman"/>
          <w:sz w:val="18"/>
          <w:szCs w:val="18"/>
          <w:color w:val="auto"/>
        </w:rPr>
        <w:t>offer or redemption rights</w:t>
      </w:r>
      <w:r>
        <w:rPr>
          <w:sz w:val="20"/>
          <w:szCs w:val="20"/>
          <w:color w:val="auto"/>
        </w:rPr>
        <w:tab/>
      </w:r>
      <w:r>
        <w:rPr>
          <w:rFonts w:ascii="Times New Roman" w:cs="Times New Roman" w:eastAsia="Times New Roman" w:hAnsi="Times New Roman"/>
          <w:sz w:val="17"/>
          <w:szCs w:val="17"/>
          <w:color w:val="auto"/>
        </w:rPr>
        <w:t>whether they are record holders or hold their shares in “street name,” to either tender their certificates to our transfer agent prior to the date set forth in the tender offer documents or proxy materials mailed to such holders, or up to two (2)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w:t>
      </w:r>
    </w:p>
    <w:p>
      <w:pPr>
        <w:sectPr>
          <w:pgSz w:w="11900" w:h="16838" w:orient="portrait"/>
          <w:cols w:equalWidth="0" w:num="1">
            <w:col w:w="10920"/>
          </w:cols>
          <w:pgMar w:left="320" w:top="481" w:right="659" w:bottom="1440" w:gutter="0" w:footer="0" w:header="0"/>
        </w:sectPr>
      </w:pPr>
    </w:p>
    <w:p>
      <w:pPr>
        <w:spacing w:after="0" w:line="86" w:lineRule="exact"/>
        <w:rPr>
          <w:sz w:val="20"/>
          <w:szCs w:val="20"/>
          <w:color w:val="auto"/>
        </w:rPr>
      </w:pPr>
    </w:p>
    <w:p>
      <w:pPr>
        <w:ind w:left="380" w:hanging="78"/>
        <w:spacing w:after="0" w:line="265" w:lineRule="auto"/>
        <w:rPr>
          <w:sz w:val="20"/>
          <w:szCs w:val="20"/>
          <w:color w:val="auto"/>
        </w:rPr>
      </w:pPr>
      <w:r>
        <w:rPr>
          <w:rFonts w:ascii="Times New Roman" w:cs="Times New Roman" w:eastAsia="Times New Roman" w:hAnsi="Times New Roman"/>
          <w:sz w:val="18"/>
          <w:szCs w:val="18"/>
          <w:color w:val="auto"/>
        </w:rPr>
        <w:t>Limitation on redemption rights of shareholders holding more than 15% of the public shares sold in this offering if we hold a shareholder vote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public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w:t>
      </w:r>
    </w:p>
    <w:p>
      <w:pPr>
        <w:spacing w:after="0" w:line="200" w:lineRule="exact"/>
        <w:rPr>
          <w:sz w:val="20"/>
          <w:szCs w:val="20"/>
          <w:color w:val="auto"/>
        </w:rPr>
      </w:pPr>
    </w:p>
    <w:p>
      <w:pPr>
        <w:sectPr>
          <w:pgSz w:w="11900" w:h="16838" w:orient="portrait"/>
          <w:cols w:equalWidth="0" w:num="2">
            <w:col w:w="4060" w:space="280"/>
            <w:col w:w="6580"/>
          </w:cols>
          <w:pgMar w:left="320" w:top="481" w:right="659" w:bottom="1440" w:gutter="0" w:footer="0" w:header="0"/>
          <w:type w:val="continuous"/>
        </w:sectPr>
      </w:pP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320" w:top="481" w:right="6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758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1350" cy="5758180"/>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78"/>
        <w:spacing w:after="0" w:line="312" w:lineRule="auto"/>
        <w:rPr>
          <w:sz w:val="20"/>
          <w:szCs w:val="20"/>
          <w:color w:val="auto"/>
        </w:rPr>
      </w:pPr>
      <w:r>
        <w:rPr>
          <w:rFonts w:ascii="Times New Roman" w:cs="Times New Roman" w:eastAsia="Times New Roman" w:hAnsi="Times New Roman"/>
          <w:sz w:val="17"/>
          <w:szCs w:val="17"/>
          <w:color w:val="auto"/>
        </w:rPr>
        <w:t>Redemption rights in connection with proposed amendments to our charter 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those shareholders that hold more than 15% of the shares sold in this offering) for or against our initial business combination.</w:t>
      </w:r>
    </w:p>
    <w:p>
      <w:pPr>
        <w:spacing w:after="0" w:line="8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amendments to any its provisions relating to our pre-initial business combination activity and related shareholder rights, as well as any other provision of the amended and restated memorandum and articles of association, may be amended if approved by holders of a majority of our issued and outstanding ordinary shares, which attend and vote at a shareholder meeting of the company, subject to applicable stock exchange rules. If an amendment to any such provision is approved by the requisite shareholder vote, then the corresponding provisions of the trust agreement governing the release of funds from our trust account may be amended.</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After the completion of this offering, and prior to the consummation of our initial business combination, we may not issue any additional shares that would entitle the holders thereof to receive funds from the trust account or vote on an initial business combination, on any pre-business combination activity or on any amendment to the provisions of our amended and restated memorandum and articles of association relating to our pre-initial business combination activity and related shareholders’ rights.</w:t>
      </w:r>
    </w:p>
    <w:p>
      <w:pPr>
        <w:spacing w:after="0" w:line="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Our sponsor, executive officers and directors (and any of their permitted transferees), who will beneficially own approximately 21.8% of our outstanding ordinary shares upon the closing of this offering (assuming they do not purchase public units in this offering and that the underwriters do not exercise their over-allotment option), may participate in any vote to amend our amended and restated memorandum and articles of association and will have the discretion to vote in any manner they choose;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each of them has agreed (and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w:t>
      </w:r>
    </w:p>
    <w:p>
      <w:pPr>
        <w:spacing w:after="0" w:line="9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initial shareholders will enter into agreements with us pursuant to which they will agree to waive their redemption rights with respect to their founder shares, private placement shares and any Class A ordinary shares issuable upon conversion thereof in connection with any amendment to the provisions of our amended and restated memorandum and articles of association relating to our pre-initial business combination activity and related shareholders’ rights.</w:t>
      </w:r>
    </w:p>
    <w:p>
      <w:pPr>
        <w:spacing w:after="0" w:line="200" w:lineRule="exact"/>
        <w:rPr>
          <w:sz w:val="20"/>
          <w:szCs w:val="20"/>
          <w:color w:val="auto"/>
        </w:rPr>
      </w:pPr>
    </w:p>
    <w:p>
      <w:pPr>
        <w:sectPr>
          <w:pgSz w:w="11900" w:h="16838" w:orient="portrait"/>
          <w:cols w:equalWidth="0" w:num="2">
            <w:col w:w="3720" w:space="620"/>
            <w:col w:w="6580"/>
          </w:cols>
          <w:pgMar w:left="320" w:top="481" w:right="659" w:bottom="1440" w:gutter="0" w:footer="0" w:header="0"/>
          <w:type w:val="continuous"/>
        </w:sectPr>
      </w:pPr>
    </w:p>
    <w:p>
      <w:pPr>
        <w:spacing w:after="0" w:line="1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20"/>
          </w:cols>
          <w:pgMar w:left="320" w:top="481" w:right="6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244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1350" cy="5244465"/>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80" w:hanging="78"/>
        <w:spacing w:after="0" w:line="281" w:lineRule="auto"/>
        <w:rPr>
          <w:sz w:val="20"/>
          <w:szCs w:val="20"/>
          <w:color w:val="auto"/>
        </w:rPr>
      </w:pPr>
      <w:r>
        <w:rPr>
          <w:rFonts w:ascii="Times New Roman" w:cs="Times New Roman" w:eastAsia="Times New Roman" w:hAnsi="Times New Roman"/>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right="60" w:hanging="78"/>
        <w:spacing w:after="0" w:line="281" w:lineRule="auto"/>
        <w:rPr>
          <w:sz w:val="20"/>
          <w:szCs w:val="20"/>
          <w:color w:val="auto"/>
        </w:rPr>
      </w:pPr>
      <w:r>
        <w:rPr>
          <w:rFonts w:ascii="Times New Roman" w:cs="Times New Roman" w:eastAsia="Times New Roman" w:hAnsi="Times New Roman"/>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the completion of our initial business combination, the funds held in the trust account will be used to pay amounts due to any public shareholders who exercise their redemption rights as described above under “</w:t>
      </w:r>
      <w:r>
        <w:rPr>
          <w:rFonts w:ascii="Times New Roman" w:cs="Times New Roman" w:eastAsia="Times New Roman" w:hAnsi="Times New Roman"/>
          <w:sz w:val="18"/>
          <w:szCs w:val="18"/>
          <w:i w:val="1"/>
          <w:iCs w:val="1"/>
          <w:color w:val="auto"/>
        </w:rPr>
        <w:t>Redemption rights for public shareholders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completion of our initial business combination</w:t>
      </w:r>
      <w:r>
        <w:rPr>
          <w:rFonts w:ascii="Times New Roman" w:cs="Times New Roman" w:eastAsia="Times New Roman" w:hAnsi="Times New Roman"/>
          <w:sz w:val="18"/>
          <w:szCs w:val="18"/>
          <w:color w:val="auto"/>
        </w:rPr>
        <w:t>,” to pay all or a portion of the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acquisition target or owners of the acquisition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0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will have only 24 months from the closing of this offering to complete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While we do not currently intend to seek such shareholder approval, we may elect to do so in the future. There is no limit on the number of extensions that we may seek; however, we do not expect to extend the completion window beyond 36 months from the closing of this offering.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our insiders’ investment in our founder shares and our private placement units, including the component securities thereof, will be worthless. If we are unable to complete our initial business combination within the completion window,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w:t>
      </w:r>
    </w:p>
    <w:p>
      <w:pPr>
        <w:spacing w:after="0" w:line="200" w:lineRule="exact"/>
        <w:rPr>
          <w:sz w:val="20"/>
          <w:szCs w:val="20"/>
          <w:color w:val="auto"/>
        </w:rPr>
      </w:pPr>
    </w:p>
    <w:p>
      <w:pPr>
        <w:sectPr>
          <w:pgSz w:w="11900" w:h="16838" w:orient="portrait"/>
          <w:cols w:equalWidth="0" w:num="2">
            <w:col w:w="3920" w:space="420"/>
            <w:col w:w="6580"/>
          </w:cols>
          <w:pgMar w:left="320" w:top="481" w:right="659" w:bottom="1440" w:gutter="0" w:footer="0" w:header="0"/>
          <w:type w:val="continuous"/>
        </w:sect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320" w:top="481" w:right="659" w:bottom="1440" w:gutter="0" w:footer="0" w:header="0"/>
          <w:type w:val="continuous"/>
        </w:sectPr>
      </w:pPr>
    </w:p>
    <w:bookmarkStart w:id="58" w:name="page59"/>
    <w:bookmarkEnd w:id="5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140" w:type="dxa"/>
            <w:vAlign w:val="bottom"/>
            <w:tcBorders>
              <w:right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810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public shareholders’ rights as shareholders (including the right to receive further</w:t>
            </w:r>
          </w:p>
        </w:tc>
        <w:tc>
          <w:tcPr>
            <w:tcW w:w="120" w:type="dxa"/>
            <w:vAlign w:val="bottom"/>
          </w:tcPr>
          <w:p>
            <w:pPr>
              <w:spacing w:after="0"/>
              <w:rPr>
                <w:sz w:val="24"/>
                <w:szCs w:val="24"/>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liquidating distributions, if any), subject to applicable law; and (3) as promptly as</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reasonably possible following such redemption, subject to the approval of our remaining</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shareholders and our board of directors, dissolve and liquidate, subject in each case to our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obligations under Cayman Islands law to provide for claims of creditors and the</w:t>
            </w:r>
          </w:p>
        </w:tc>
        <w:tc>
          <w:tcPr>
            <w:tcW w:w="120" w:type="dxa"/>
            <w:vAlign w:val="bottom"/>
          </w:tcPr>
          <w:p>
            <w:pPr>
              <w:spacing w:after="0"/>
              <w:rPr>
                <w:sz w:val="18"/>
                <w:szCs w:val="18"/>
                <w:color w:val="auto"/>
              </w:rPr>
            </w:pPr>
          </w:p>
        </w:tc>
      </w:tr>
      <w:tr>
        <w:trPr>
          <w:trHeight w:val="234"/>
        </w:trPr>
        <w:tc>
          <w:tcPr>
            <w:tcW w:w="1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requirements of other applicable law.</w:t>
            </w:r>
          </w:p>
        </w:tc>
        <w:tc>
          <w:tcPr>
            <w:tcW w:w="120" w:type="dxa"/>
            <w:vAlign w:val="bottom"/>
          </w:tcPr>
          <w:p>
            <w:pPr>
              <w:spacing w:after="0"/>
              <w:rPr>
                <w:sz w:val="20"/>
                <w:szCs w:val="20"/>
                <w:color w:val="auto"/>
              </w:rPr>
            </w:pPr>
          </w:p>
        </w:tc>
      </w:tr>
      <w:tr>
        <w:trPr>
          <w:trHeight w:val="332"/>
        </w:trPr>
        <w:tc>
          <w:tcPr>
            <w:tcW w:w="14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We may, however, raise funds through the issuance of equity-linked securities or through</w:t>
            </w:r>
          </w:p>
        </w:tc>
        <w:tc>
          <w:tcPr>
            <w:tcW w:w="120" w:type="dxa"/>
            <w:vAlign w:val="bottom"/>
          </w:tcPr>
          <w:p>
            <w:pPr>
              <w:spacing w:after="0"/>
              <w:rPr>
                <w:sz w:val="24"/>
                <w:szCs w:val="24"/>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loans, advances or other indebtedness in connection with our initial business combination,</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including pursuant to forward purchase agreements or backstop arrangements we may enter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into following consummation of this offering, in order to, among other reasons, satisfy</w:t>
            </w:r>
          </w:p>
        </w:tc>
        <w:tc>
          <w:tcPr>
            <w:tcW w:w="120" w:type="dxa"/>
            <w:vAlign w:val="bottom"/>
          </w:tcPr>
          <w:p>
            <w:pPr>
              <w:spacing w:after="0"/>
              <w:rPr>
                <w:sz w:val="18"/>
                <w:szCs w:val="18"/>
                <w:color w:val="auto"/>
              </w:rPr>
            </w:pPr>
          </w:p>
        </w:tc>
      </w:tr>
      <w:tr>
        <w:trPr>
          <w:trHeight w:val="234"/>
        </w:trPr>
        <w:tc>
          <w:tcPr>
            <w:tcW w:w="1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such minimum cash requirements.</w:t>
            </w:r>
          </w:p>
        </w:tc>
        <w:tc>
          <w:tcPr>
            <w:tcW w:w="120" w:type="dxa"/>
            <w:vAlign w:val="bottom"/>
          </w:tcPr>
          <w:p>
            <w:pPr>
              <w:spacing w:after="0"/>
              <w:rPr>
                <w:sz w:val="20"/>
                <w:szCs w:val="20"/>
                <w:color w:val="auto"/>
              </w:rPr>
            </w:pPr>
          </w:p>
        </w:tc>
      </w:tr>
      <w:tr>
        <w:trPr>
          <w:trHeight w:val="292"/>
        </w:trPr>
        <w:tc>
          <w:tcPr>
            <w:tcW w:w="14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initial shareholders have entered into agreements with us, pursuant to which they have</w:t>
            </w:r>
          </w:p>
        </w:tc>
        <w:tc>
          <w:tcPr>
            <w:tcW w:w="120" w:type="dxa"/>
            <w:vAlign w:val="bottom"/>
          </w:tcPr>
          <w:p>
            <w:pPr>
              <w:spacing w:after="0"/>
              <w:rPr>
                <w:sz w:val="24"/>
                <w:szCs w:val="24"/>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waived their rights to liquidating distributions from the trust account with respect to their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founder shares, private investor shares and private placement shares if we fail to complete</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initial business combination within 24 months from the closing of this offering.</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However, if our initial shareholders or management team acquire public shares in or after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this offering, they will be entitled to liquidating distributions from the trust account with</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respect to such public shares if we fail to complete our initial business combination within</w:t>
            </w:r>
          </w:p>
        </w:tc>
        <w:tc>
          <w:tcPr>
            <w:tcW w:w="120" w:type="dxa"/>
            <w:vAlign w:val="bottom"/>
          </w:tcPr>
          <w:p>
            <w:pPr>
              <w:spacing w:after="0"/>
              <w:rPr>
                <w:sz w:val="18"/>
                <w:szCs w:val="18"/>
                <w:color w:val="auto"/>
              </w:rPr>
            </w:pPr>
          </w:p>
        </w:tc>
      </w:tr>
      <w:tr>
        <w:trPr>
          <w:trHeight w:val="234"/>
        </w:trPr>
        <w:tc>
          <w:tcPr>
            <w:tcW w:w="1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24-month time frame.</w:t>
            </w:r>
          </w:p>
        </w:tc>
        <w:tc>
          <w:tcPr>
            <w:tcW w:w="120" w:type="dxa"/>
            <w:vAlign w:val="bottom"/>
          </w:tcPr>
          <w:p>
            <w:pPr>
              <w:spacing w:after="0"/>
              <w:rPr>
                <w:sz w:val="20"/>
                <w:szCs w:val="20"/>
                <w:color w:val="auto"/>
              </w:rPr>
            </w:pPr>
          </w:p>
        </w:tc>
      </w:tr>
      <w:tr>
        <w:trPr>
          <w:trHeight w:val="292"/>
        </w:trPr>
        <w:tc>
          <w:tcPr>
            <w:tcW w:w="140" w:type="dxa"/>
            <w:vAlign w:val="bottom"/>
            <w:tcBorders>
              <w:right w:val="single" w:sz="8" w:color="auto"/>
            </w:tcBorders>
          </w:tcPr>
          <w:p>
            <w:pPr>
              <w:spacing w:after="0"/>
              <w:rPr>
                <w:sz w:val="24"/>
                <w:szCs w:val="24"/>
                <w:color w:val="auto"/>
              </w:rPr>
            </w:pPr>
          </w:p>
        </w:tc>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Conflicts of Interest</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w:t>
            </w:r>
          </w:p>
        </w:tc>
        <w:tc>
          <w:tcPr>
            <w:tcW w:w="120" w:type="dxa"/>
            <w:vAlign w:val="bottom"/>
          </w:tcPr>
          <w:p>
            <w:pPr>
              <w:spacing w:after="0"/>
              <w:rPr>
                <w:sz w:val="24"/>
                <w:szCs w:val="24"/>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additional, fiduciary, contractual or other obligations or duties to one or more other entities</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pursuant to which such officer or director is or will be required to present a business</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combination opportunity to such entities. Accordingly, if any of our officers or directors</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becomes aware of a business combination opportunity which is suitable for an entity to</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which he or she has then current fiduciary or contractual obligations, he or she will honor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his or her fiduciary or contractual obligations to present such business combination</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opportunity to such other entity, subject to their fiduciary duties under Cayman Islands law.</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to the</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fullest extent permitted by law: (i) no individual serving as a director or an officer, among</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other persons, shall have any duty, except and to the extent expressly assumed by contract,</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to refrain from engaging directly or indirectly in the same or similar business activities or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lines of business as us, and (ii) we renounce any interest or expectancy in, or in being</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offered an opportunity to participate in, any potential transaction or matter which (a) may</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be a corporate opportunity for any director or officer, on the one hand, and us, on the other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or (b) the presentation of which would breach an existing legal obligation of a director or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officer to any other entity. We do not believe, however, that the fiduciary duties or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contractual obligations of our officers or directors will materially affect our ability to</w:t>
            </w:r>
          </w:p>
        </w:tc>
        <w:tc>
          <w:tcPr>
            <w:tcW w:w="120" w:type="dxa"/>
            <w:vAlign w:val="bottom"/>
          </w:tcPr>
          <w:p>
            <w:pPr>
              <w:spacing w:after="0"/>
              <w:rPr>
                <w:sz w:val="18"/>
                <w:szCs w:val="18"/>
                <w:color w:val="auto"/>
              </w:rPr>
            </w:pPr>
          </w:p>
        </w:tc>
      </w:tr>
      <w:tr>
        <w:trPr>
          <w:trHeight w:val="234"/>
        </w:trPr>
        <w:tc>
          <w:tcPr>
            <w:tcW w:w="1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complete our initial business combination.</w:t>
            </w:r>
          </w:p>
        </w:tc>
        <w:tc>
          <w:tcPr>
            <w:tcW w:w="120" w:type="dxa"/>
            <w:vAlign w:val="bottom"/>
          </w:tcPr>
          <w:p>
            <w:pPr>
              <w:spacing w:after="0"/>
              <w:rPr>
                <w:sz w:val="20"/>
                <w:szCs w:val="20"/>
                <w:color w:val="auto"/>
              </w:rPr>
            </w:pPr>
          </w:p>
        </w:tc>
      </w:tr>
      <w:tr>
        <w:trPr>
          <w:trHeight w:val="319"/>
        </w:trPr>
        <w:tc>
          <w:tcPr>
            <w:tcW w:w="14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sponsor, officers or directors may sponsor or form other special purpose acquisition</w:t>
            </w:r>
          </w:p>
        </w:tc>
        <w:tc>
          <w:tcPr>
            <w:tcW w:w="120" w:type="dxa"/>
            <w:vAlign w:val="bottom"/>
          </w:tcPr>
          <w:p>
            <w:pPr>
              <w:spacing w:after="0"/>
              <w:rPr>
                <w:sz w:val="24"/>
                <w:szCs w:val="24"/>
                <w:color w:val="auto"/>
              </w:rPr>
            </w:pPr>
          </w:p>
        </w:tc>
      </w:tr>
      <w:tr>
        <w:trPr>
          <w:trHeight w:val="234"/>
        </w:trPr>
        <w:tc>
          <w:tcPr>
            <w:tcW w:w="1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companies similar to ours or may pursue other</w:t>
            </w:r>
          </w:p>
        </w:tc>
        <w:tc>
          <w:tcPr>
            <w:tcW w:w="120" w:type="dxa"/>
            <w:vAlign w:val="bottom"/>
          </w:tcPr>
          <w:p>
            <w:pPr>
              <w:spacing w:after="0"/>
              <w:rPr>
                <w:sz w:val="20"/>
                <w:szCs w:val="20"/>
                <w:color w:val="auto"/>
              </w:rPr>
            </w:pPr>
          </w:p>
        </w:tc>
      </w:tr>
      <w:tr>
        <w:trPr>
          <w:trHeight w:val="172"/>
        </w:trPr>
        <w:tc>
          <w:tcPr>
            <w:tcW w:w="140" w:type="dxa"/>
            <w:vAlign w:val="bottom"/>
            <w:tcBorders>
              <w:right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100" w:type="dxa"/>
            <w:vAlign w:val="bottom"/>
            <w:tcBorders>
              <w:bottom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361"/>
        </w:trPr>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r>
      <w:tr>
        <w:trPr>
          <w:trHeight w:val="108"/>
        </w:trPr>
        <w:tc>
          <w:tcPr>
            <w:tcW w:w="1360" w:type="dxa"/>
            <w:vAlign w:val="bottom"/>
            <w:tcBorders>
              <w:bottom w:val="single" w:sz="8" w:color="9A9A9A"/>
            </w:tcBorders>
            <w:gridSpan w:val="2"/>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r>
        <w:trPr>
          <w:trHeight w:val="34"/>
        </w:trPr>
        <w:tc>
          <w:tcPr>
            <w:tcW w:w="1360" w:type="dxa"/>
            <w:vAlign w:val="bottom"/>
            <w:tcBorders>
              <w:bottom w:val="single" w:sz="8" w:color="EEEEEE"/>
            </w:tcBorders>
            <w:gridSpan w:val="2"/>
          </w:tcPr>
          <w:p>
            <w:pPr>
              <w:spacing w:after="0"/>
              <w:rPr>
                <w:sz w:val="2"/>
                <w:szCs w:val="2"/>
                <w:color w:val="auto"/>
              </w:rPr>
            </w:pPr>
          </w:p>
        </w:tc>
        <w:tc>
          <w:tcPr>
            <w:tcW w:w="1680" w:type="dxa"/>
            <w:vAlign w:val="bottom"/>
            <w:tcBorders>
              <w:bottom w:val="single" w:sz="8" w:color="EEEEEE"/>
            </w:tcBorders>
          </w:tcPr>
          <w:p>
            <w:pPr>
              <w:spacing w:after="0"/>
              <w:rPr>
                <w:sz w:val="2"/>
                <w:szCs w:val="2"/>
                <w:color w:val="auto"/>
              </w:rPr>
            </w:pPr>
          </w:p>
        </w:tc>
        <w:tc>
          <w:tcPr>
            <w:tcW w:w="810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r>
      <w:tr>
        <w:trPr>
          <w:trHeight w:val="465"/>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4"/>
        </w:trPr>
        <w:tc>
          <w:tcPr>
            <w:tcW w:w="140" w:type="dxa"/>
            <w:vAlign w:val="bottom"/>
            <w:tcBorders>
              <w:top w:val="single" w:sz="8" w:color="0000EE"/>
            </w:tcBorders>
          </w:tcPr>
          <w:p>
            <w:pPr>
              <w:spacing w:after="0"/>
              <w:rPr>
                <w:sz w:val="24"/>
                <w:szCs w:val="24"/>
                <w:color w:val="auto"/>
              </w:rPr>
            </w:pPr>
          </w:p>
        </w:tc>
        <w:tc>
          <w:tcPr>
            <w:tcW w:w="1220" w:type="dxa"/>
            <w:vAlign w:val="bottom"/>
            <w:tcBorders>
              <w:top w:val="single" w:sz="8" w:color="0000EE"/>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14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business or investment ventures during the period in which we are seeking an initial</w:t>
            </w:r>
          </w:p>
        </w:tc>
        <w:tc>
          <w:tcPr>
            <w:tcW w:w="120" w:type="dxa"/>
            <w:vAlign w:val="bottom"/>
          </w:tcPr>
          <w:p>
            <w:pPr>
              <w:spacing w:after="0"/>
              <w:rPr>
                <w:sz w:val="24"/>
                <w:szCs w:val="24"/>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business combination. As a result, our sponsor, officers and directors could have conflicts</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 interest in determining whether to present business combination opportunities to us or to</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any other special purpose acquisition company with which they may become involved.</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Any such companies, businesses or investments may present additional conflicts of interest</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 pursuing an initial business combination target. As the number of special purpose</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acquisition companies increases, the competition for available targets with attractive</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business models and strong financial presence intensifies, which could cause targets</w:t>
            </w:r>
          </w:p>
        </w:tc>
        <w:tc>
          <w:tcPr>
            <w:tcW w:w="120" w:type="dxa"/>
            <w:vAlign w:val="bottom"/>
          </w:tcPr>
          <w:p>
            <w:pPr>
              <w:spacing w:after="0"/>
              <w:rPr>
                <w:sz w:val="18"/>
                <w:szCs w:val="18"/>
                <w:color w:val="auto"/>
              </w:rPr>
            </w:pPr>
          </w:p>
        </w:tc>
      </w:tr>
      <w:tr>
        <w:trPr>
          <w:trHeight w:val="212"/>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companies to demand improved acquisition terms. This could affect our ability to find and</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 xml:space="preserve">consummate an initial business combination or negotiate favorable to us provisions. </w:t>
            </w:r>
            <w:r>
              <w:rPr>
                <w:rFonts w:ascii="Times New Roman" w:cs="Times New Roman" w:eastAsia="Times New Roman" w:hAnsi="Times New Roman"/>
                <w:sz w:val="18"/>
                <w:szCs w:val="18"/>
                <w:b w:val="1"/>
                <w:bCs w:val="1"/>
                <w:color w:val="auto"/>
              </w:rPr>
              <w:t>See</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Risk Factors — We may engage in our initial business combination with one or more</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target businesses that have relationships with entities that may be affiliated with our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sponsor, executive officers or directors, which may raise potential conflicts of interest.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and “— </w:t>
            </w:r>
            <w:r>
              <w:rPr>
                <w:rFonts w:ascii="Times New Roman" w:cs="Times New Roman" w:eastAsia="Times New Roman" w:hAnsi="Times New Roman"/>
                <w:sz w:val="18"/>
                <w:szCs w:val="18"/>
                <w:b w:val="1"/>
                <w:bCs w:val="1"/>
                <w:i w:val="1"/>
                <w:iCs w:val="1"/>
                <w:color w:val="auto"/>
              </w:rPr>
              <w:t>As the number of special purpose acquisition companies evaluating targets</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increases, and other issued SPAC entities may come to market with superior terms for</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targets, attractive targets may become scarcer and there may be more</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attractive targets. This could increase the cost of our initial business</w:t>
            </w:r>
          </w:p>
        </w:tc>
        <w:tc>
          <w:tcPr>
            <w:tcW w:w="1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combination and could even result in our inability to find a target or to consummate an</w:t>
            </w:r>
          </w:p>
        </w:tc>
        <w:tc>
          <w:tcPr>
            <w:tcW w:w="120" w:type="dxa"/>
            <w:vAlign w:val="bottom"/>
          </w:tcPr>
          <w:p>
            <w:pPr>
              <w:spacing w:after="0"/>
              <w:rPr>
                <w:sz w:val="18"/>
                <w:szCs w:val="18"/>
                <w:color w:val="auto"/>
              </w:rPr>
            </w:pPr>
          </w:p>
        </w:tc>
      </w:tr>
      <w:tr>
        <w:trPr>
          <w:trHeight w:val="220"/>
        </w:trPr>
        <w:tc>
          <w:tcPr>
            <w:tcW w:w="1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initial business combination.” </w:t>
            </w:r>
            <w:r>
              <w:rPr>
                <w:rFonts w:ascii="Times New Roman" w:cs="Times New Roman" w:eastAsia="Times New Roman" w:hAnsi="Times New Roman"/>
                <w:sz w:val="18"/>
                <w:szCs w:val="18"/>
                <w:color w:val="auto"/>
              </w:rPr>
              <w:t>However, we do not believe that any such potential</w:t>
            </w:r>
          </w:p>
        </w:tc>
        <w:tc>
          <w:tcPr>
            <w:tcW w:w="120" w:type="dxa"/>
            <w:vAlign w:val="bottom"/>
          </w:tcPr>
          <w:p>
            <w:pPr>
              <w:spacing w:after="0"/>
              <w:rPr>
                <w:sz w:val="19"/>
                <w:szCs w:val="19"/>
                <w:color w:val="auto"/>
              </w:rPr>
            </w:pPr>
          </w:p>
        </w:tc>
      </w:tr>
      <w:tr>
        <w:trPr>
          <w:trHeight w:val="234"/>
        </w:trPr>
        <w:tc>
          <w:tcPr>
            <w:tcW w:w="1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conflicts would materially affect our ability to complete our initial business combination.</w:t>
            </w:r>
          </w:p>
        </w:tc>
        <w:tc>
          <w:tcPr>
            <w:tcW w:w="120" w:type="dxa"/>
            <w:vAlign w:val="bottom"/>
          </w:tcPr>
          <w:p>
            <w:pPr>
              <w:spacing w:after="0"/>
              <w:rPr>
                <w:sz w:val="20"/>
                <w:szCs w:val="20"/>
                <w:color w:val="auto"/>
              </w:rPr>
            </w:pPr>
          </w:p>
        </w:tc>
      </w:tr>
      <w:tr>
        <w:trPr>
          <w:trHeight w:val="351"/>
        </w:trPr>
        <w:tc>
          <w:tcPr>
            <w:tcW w:w="14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executive officers and our directors may have interests that differ from you in</w:t>
            </w:r>
          </w:p>
        </w:tc>
        <w:tc>
          <w:tcPr>
            <w:tcW w:w="120" w:type="dxa"/>
            <w:vAlign w:val="bottom"/>
          </w:tcPr>
          <w:p>
            <w:pPr>
              <w:spacing w:after="0"/>
              <w:rPr>
                <w:sz w:val="24"/>
                <w:szCs w:val="24"/>
                <w:color w:val="auto"/>
              </w:rPr>
            </w:pPr>
          </w:p>
        </w:tc>
      </w:tr>
      <w:tr>
        <w:trPr>
          <w:trHeight w:val="28"/>
        </w:trPr>
        <w:tc>
          <w:tcPr>
            <w:tcW w:w="14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-3669030</wp:posOffset>
            </wp:positionV>
            <wp:extent cx="33655" cy="679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679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-3669030</wp:posOffset>
            </wp:positionV>
            <wp:extent cx="33655" cy="679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67945"/>
                    </a:xfrm>
                    <a:prstGeom prst="rect">
                      <a:avLst/>
                    </a:prstGeom>
                    <a:noFill/>
                  </pic:spPr>
                </pic:pic>
              </a:graphicData>
            </a:graphic>
          </wp:anchor>
        </w:drawing>
      </w:r>
    </w:p>
    <w:p>
      <w:pPr>
        <w:sectPr>
          <w:pgSz w:w="11900" w:h="16900" w:orient="portrait"/>
          <w:cols w:equalWidth="0" w:num="1">
            <w:col w:w="11260"/>
          </w:cols>
          <w:pgMar w:left="320" w:top="481" w:right="319" w:bottom="0" w:gutter="0" w:footer="0" w:header="0"/>
        </w:sectPr>
      </w:pPr>
    </w:p>
    <w:bookmarkStart w:id="59" w:name="page60"/>
    <w:bookmarkEnd w:id="59"/>
    <w:p>
      <w:pPr>
        <w:ind w:left="4340" w:right="20"/>
        <w:spacing w:after="0" w:line="276" w:lineRule="auto"/>
        <w:rPr>
          <w:sz w:val="20"/>
          <w:szCs w:val="20"/>
          <w:color w:val="auto"/>
        </w:rPr>
      </w:pPr>
      <w:r>
        <w:rPr>
          <w:rFonts w:ascii="Times New Roman" w:cs="Times New Roman" w:eastAsia="Times New Roman" w:hAnsi="Times New Roman"/>
          <w:sz w:val="17"/>
          <w:szCs w:val="17"/>
          <w:color w:val="auto"/>
        </w:rPr>
        <w:t>connection with the business combination, including the fact that they may lose their entire investment in us if our initial 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-701675</wp:posOffset>
            </wp:positionV>
            <wp:extent cx="6991350" cy="23825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1350" cy="2382520"/>
                    </a:xfrm>
                    <a:prstGeom prst="rect">
                      <a:avLst/>
                    </a:prstGeom>
                    <a:noFill/>
                  </pic:spPr>
                </pic:pic>
              </a:graphicData>
            </a:graphic>
          </wp:anchor>
        </w:drawing>
      </w:r>
    </w:p>
    <w:p>
      <w:pPr>
        <w:spacing w:after="0" w:line="56" w:lineRule="exact"/>
        <w:rPr>
          <w:sz w:val="20"/>
          <w:szCs w:val="20"/>
          <w:color w:val="auto"/>
        </w:rPr>
      </w:pPr>
    </w:p>
    <w:p>
      <w:pPr>
        <w:ind w:left="4340" w:right="20"/>
        <w:spacing w:after="0" w:line="253" w:lineRule="auto"/>
        <w:rPr>
          <w:sz w:val="20"/>
          <w:szCs w:val="20"/>
          <w:color w:val="auto"/>
        </w:rPr>
      </w:pPr>
      <w:r>
        <w:rPr>
          <w:rFonts w:ascii="Times New Roman" w:cs="Times New Roman" w:eastAsia="Times New Roman" w:hAnsi="Times New Roman"/>
          <w:sz w:val="18"/>
          <w:szCs w:val="18"/>
          <w:color w:val="auto"/>
        </w:rPr>
        <w:t>Our sponsor, which is owned by two of our directors, Dr. Raluca Dinu and Dr. Avi S. Katz, and four of our other directors, James Greene, Luis Machuca, Bryan Timm, and Raanan Horowitz, will directly or indirectly own our securities following this offering, and accordingly, they may have a conflict of interest in determining whether a particular target business is an appropriate business with which to effectuate our initial business combination, including the fact that they may lose their entire investment in us if our initial business combination is not completed, except to the extent they receive liquidating distributions from assets outside the trust account or are entitled to receive liquidating distributions from the trust account in the event they choose to purchase public shares. Upon the closing of this offering, assuming the underwriters’ over-allotment option is not exercised, our sponsor and the four directors will have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679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679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867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1350" cy="5586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invested in us an aggregate of $952,000, comprised of $15,756 paid by the sponsor for 7,474,832 founder shares (after giving effect to the sales of shares to the four directors) (or $0.002108 per share), $9,244 paid by the four directors for the aggregate of 375,397 founder shares (or $0.02462 per share) and the $927,000 purchase price for the private placement units (or $9.7374 per unit). Accordingly, our management team may be more willing to pursue a business combination with a riskier or less-established target business than would be the case if our insiders had paid the same per share price for the founder shares as our public shareholders paid for their public shares in this offering, as our sponsor and members of our management team would likely not receive any financial benefit unless we consummated such business combination. These interests of our sponsor, executive officers and directors may affect the consideration paid, terms, conditions and timing relating to a business combination in a way that conflicts with the interests of our public shareholders.</w:t>
      </w:r>
    </w:p>
    <w:p>
      <w:pPr>
        <w:spacing w:after="0" w:line="114" w:lineRule="exact"/>
        <w:rPr>
          <w:sz w:val="20"/>
          <w:szCs w:val="20"/>
          <w:color w:val="auto"/>
        </w:rPr>
      </w:pPr>
    </w:p>
    <w:p>
      <w:pPr>
        <w:ind w:left="4340"/>
        <w:spacing w:after="0" w:line="268" w:lineRule="auto"/>
        <w:rPr>
          <w:sz w:val="20"/>
          <w:szCs w:val="20"/>
          <w:color w:val="auto"/>
        </w:rPr>
      </w:pPr>
      <w:r>
        <w:rPr>
          <w:rFonts w:ascii="Times New Roman" w:cs="Times New Roman" w:eastAsia="Times New Roman" w:hAnsi="Times New Roman"/>
          <w:sz w:val="17"/>
          <w:szCs w:val="17"/>
          <w:color w:val="auto"/>
        </w:rPr>
        <w:t>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 consummate a business combination has been extended, the founder shares, private investor shares and the private placement units will expire worthless, which could create an incentive to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83" w:lineRule="exact"/>
        <w:rPr>
          <w:sz w:val="20"/>
          <w:szCs w:val="20"/>
          <w:color w:val="auto"/>
        </w:rPr>
      </w:pPr>
    </w:p>
    <w:p>
      <w:pPr>
        <w:ind w:left="4340"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above, our officers and directors are not required to commit any specified amount of time to our affairs, and, accordingly, may have conflicts of interest in allocating management time among various business activities, including selecting a business combination target and monitoring the related due diligence.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Risk Factors —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Additionally, our sponsor and executive officers and directors have agreed to waive their redemption rights with respect to any founder</w:t>
      </w:r>
    </w:p>
    <w:p>
      <w:pPr>
        <w:sectPr>
          <w:pgSz w:w="11900" w:h="16838" w:orient="portrait"/>
          <w:cols w:equalWidth="0" w:num="1">
            <w:col w:w="10920"/>
          </w:cols>
          <w:pgMar w:left="320" w:top="121" w:right="659" w:bottom="1440" w:gutter="0" w:footer="0" w:header="0"/>
        </w:sectPr>
      </w:pPr>
    </w:p>
    <w:p>
      <w:pPr>
        <w:spacing w:after="0" w:line="3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20"/>
          </w:cols>
          <w:pgMar w:left="320" w:top="121" w:right="6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092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1350" cy="6092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60"/>
        <w:spacing w:after="0" w:line="254" w:lineRule="auto"/>
        <w:rPr>
          <w:sz w:val="20"/>
          <w:szCs w:val="20"/>
          <w:color w:val="auto"/>
        </w:rPr>
      </w:pPr>
      <w:r>
        <w:rPr>
          <w:rFonts w:ascii="Times New Roman" w:cs="Times New Roman" w:eastAsia="Times New Roman" w:hAnsi="Times New Roman"/>
          <w:sz w:val="18"/>
          <w:szCs w:val="18"/>
          <w:color w:val="auto"/>
        </w:rPr>
        <w:t>shares, private placement units and any public shares held by them in connection with the consummation of our initial business combination. Further, our sponsor and executive officers and directors have agreed to waive their redemption rights with respect to any founder shares and private placement units held by them if we are unable to complete our initial business combination within 24 months from the closing of this offering or by such earlier liquidation date as our board of directors may approve. If we do not complete our initial business combination within the completion window, the proceeds of the sale of the private placement units held in the trust account will be used to fund the redemption of our public shares, and the rights may expire worthless.</w:t>
      </w:r>
    </w:p>
    <w:p>
      <w:pPr>
        <w:spacing w:after="0" w:line="105" w:lineRule="exact"/>
        <w:rPr>
          <w:sz w:val="20"/>
          <w:szCs w:val="20"/>
          <w:color w:val="auto"/>
        </w:rPr>
      </w:pPr>
    </w:p>
    <w:p>
      <w:pPr>
        <w:ind w:left="4340" w:right="40"/>
        <w:spacing w:after="0" w:line="253" w:lineRule="auto"/>
        <w:rPr>
          <w:sz w:val="20"/>
          <w:szCs w:val="20"/>
          <w:color w:val="auto"/>
        </w:rPr>
      </w:pPr>
      <w:r>
        <w:rPr>
          <w:rFonts w:ascii="Times New Roman" w:cs="Times New Roman" w:eastAsia="Times New Roman" w:hAnsi="Times New Roman"/>
          <w:sz w:val="18"/>
          <w:szCs w:val="18"/>
          <w:color w:val="auto"/>
        </w:rPr>
        <w:t>With certain limited exceptions, the founder shares will not be transferable, assignable or salable by our sponsor or its permitted transferees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w:t>
      </w:r>
    </w:p>
    <w:p>
      <w:pPr>
        <w:spacing w:after="0" w:line="4" w:lineRule="exact"/>
        <w:rPr>
          <w:sz w:val="20"/>
          <w:szCs w:val="20"/>
          <w:color w:val="auto"/>
        </w:rPr>
      </w:pPr>
    </w:p>
    <w:p>
      <w:pPr>
        <w:ind w:left="4340"/>
        <w:spacing w:after="0" w:line="250" w:lineRule="auto"/>
        <w:rPr>
          <w:sz w:val="20"/>
          <w:szCs w:val="20"/>
          <w:color w:val="auto"/>
        </w:rPr>
      </w:pPr>
      <w:r>
        <w:rPr>
          <w:rFonts w:ascii="Times New Roman" w:cs="Times New Roman" w:eastAsia="Times New Roman" w:hAnsi="Times New Roman"/>
          <w:sz w:val="18"/>
          <w:szCs w:val="18"/>
          <w:color w:val="auto"/>
        </w:rPr>
        <w:t>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With certain limited exceptions, the private placement units (including the securities comprising such units) will not be transferable, assignable or salable by our sponsor or its permitted transferees until 30 days after the completion of our initial business combination. Since our sponsor and executive officers and directors may directly or indirectly own ordinary shares and rights following this offering, our executive officers and directors may have a conflict of interest in determining whether a particular target business is an appropriate business with which to effectuate our initial business combination because of their financial interest in completing an initial business combination within the completion window or by such earlier liquidation date as our board of directors may approve.</w:t>
      </w:r>
    </w:p>
    <w:p>
      <w:pPr>
        <w:spacing w:after="0" w:line="105" w:lineRule="exact"/>
        <w:rPr>
          <w:sz w:val="20"/>
          <w:szCs w:val="20"/>
          <w:color w:val="auto"/>
        </w:rPr>
      </w:pPr>
    </w:p>
    <w:p>
      <w:pPr>
        <w:ind w:left="4340" w:right="20"/>
        <w:spacing w:after="0" w:line="254" w:lineRule="auto"/>
        <w:rPr>
          <w:sz w:val="20"/>
          <w:szCs w:val="20"/>
          <w:color w:val="auto"/>
        </w:rPr>
      </w:pPr>
      <w:r>
        <w:rPr>
          <w:rFonts w:ascii="Times New Roman" w:cs="Times New Roman" w:eastAsia="Times New Roman" w:hAnsi="Times New Roman"/>
          <w:sz w:val="18"/>
          <w:szCs w:val="18"/>
          <w:color w:val="auto"/>
        </w:rPr>
        <w:t>Our insiders, officers, advisors and directors, or any of their respective affiliates, will be reimbursed for any out-of-pocket expenses incurred in connection with activities on our behalf such as identifying and investigation potential target businesses, performing business due diligence on suitable target businesses and business combinations. There is no limit on the amount of out-of-pocket expenses reimbursable by us provided, however, to the extent such expenses exceed the available proceeds not deposited in the trust account, such expenses would not be reimbursed by us unless we consummate an initial business combination.</w:t>
      </w:r>
    </w:p>
    <w:p>
      <w:pPr>
        <w:spacing w:after="0" w:line="95" w:lineRule="exact"/>
        <w:rPr>
          <w:sz w:val="20"/>
          <w:szCs w:val="20"/>
          <w:color w:val="auto"/>
        </w:rPr>
      </w:pPr>
    </w:p>
    <w:p>
      <w:pPr>
        <w:ind w:left="4340" w:right="140"/>
        <w:spacing w:after="0" w:line="260" w:lineRule="auto"/>
        <w:rPr>
          <w:sz w:val="20"/>
          <w:szCs w:val="20"/>
          <w:color w:val="auto"/>
        </w:rPr>
      </w:pPr>
      <w:r>
        <w:rPr>
          <w:rFonts w:ascii="Times New Roman" w:cs="Times New Roman" w:eastAsia="Times New Roman" w:hAnsi="Times New Roman"/>
          <w:sz w:val="18"/>
          <w:szCs w:val="18"/>
          <w:color w:val="auto"/>
        </w:rPr>
        <w:t>In the event our sponsor or members of our management team provide loans to us to finance transaction costs in connection with an initial business combination, such persons may have a conflict of interest in determining whether a particular target business is an appropriate business with which to effectuate our initial business</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0"/>
          </w:cols>
          <w:pgMar w:left="320" w:top="481" w:right="6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58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combination as such loans may not be repaid unless we consummate such business</w:t>
            </w:r>
          </w:p>
        </w:tc>
      </w:tr>
      <w:tr>
        <w:trPr>
          <w:trHeight w:val="234"/>
        </w:trPr>
        <w:tc>
          <w:tcPr>
            <w:tcW w:w="258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combination.</w:t>
            </w:r>
          </w:p>
        </w:tc>
      </w:tr>
      <w:tr>
        <w:trPr>
          <w:trHeight w:val="332"/>
        </w:trPr>
        <w:tc>
          <w:tcPr>
            <w:tcW w:w="258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Similarly, if we agree to pay our sponsor or a member of our management team a finder’s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fee, advisory fee, consulting fee or success fee in order to effectuate the completion of our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initial business combination, such persons may have a conflict of interest in determining</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whether a particular target business is an appropriate business with which to effectuate our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initial business combination as any such fee may not be paid unless we consummate such</w:t>
            </w:r>
          </w:p>
        </w:tc>
      </w:tr>
      <w:tr>
        <w:trPr>
          <w:trHeight w:val="234"/>
        </w:trPr>
        <w:tc>
          <w:tcPr>
            <w:tcW w:w="258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business combination.</w:t>
            </w:r>
          </w:p>
        </w:tc>
      </w:tr>
      <w:tr>
        <w:trPr>
          <w:trHeight w:val="319"/>
        </w:trPr>
        <w:tc>
          <w:tcPr>
            <w:tcW w:w="258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affiliated with our sponsor, officers or directors, or completing the business combination</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through a joint venture or other form of shared ownership with our sponsor, officers or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directors; accordingly, such affiliated person(s) may have a conflict of interest in</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determining whether a particular target business is an appropriate business with which to</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effectuate our initial business combination as such affiliated person(s) would have interests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different from our public shareholders and would likely not receive any financial benefit</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unless we consummated such business combination. In the event we seek to complete our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initial business combination with a target business that is affiliated (as defined in our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amended and restated memorandum and articles of association) with our sponsor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(including its members), officers or directors, we, or a committee of independent directors,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will obtain an opinion from an independent investment banking firm or another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independent entity that commonly renders valuation opinions, stating that the consideration</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to be paid by us in such an initial business combination is fair to our company from a</w:t>
            </w:r>
          </w:p>
        </w:tc>
      </w:tr>
      <w:tr>
        <w:trPr>
          <w:trHeight w:val="234"/>
        </w:trPr>
        <w:tc>
          <w:tcPr>
            <w:tcW w:w="258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financial point of view. We are not required to obtain such an opinion in any other context.</w:t>
            </w:r>
          </w:p>
        </w:tc>
      </w:tr>
      <w:tr>
        <w:trPr>
          <w:trHeight w:val="337"/>
        </w:trPr>
        <w:tc>
          <w:tcPr>
            <w:tcW w:w="258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For more information, see the section entitled “Management—Conflicts of Interest.”</w:t>
            </w:r>
          </w:p>
        </w:tc>
      </w:tr>
      <w:tr>
        <w:trPr>
          <w:trHeight w:val="319"/>
        </w:trPr>
        <w:tc>
          <w:tcPr>
            <w:tcW w:w="25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Indemnity</w:t>
            </w: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Our sponsor has agreed that it will be liable to us, if and to the extent any claims by any</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third party for services rendered or products sold to us, or a prospective target business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with which we have entered into an acquisition agreement, reduce the amounts in the trust</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account to below $10.00 per share (whether or not the underwriter’s over-allotment option</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is exercised in full), except as to any claims by a third party who executed a waiver of any</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and all rights to seek access to the trust account and except as to any claims under our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indemnity of the underwriters of this offering against certain liabilities, including liabilities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under the Securities Act. In the event that an executed waiver is deemed to be</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unenforceable against a third party, our sponsor will not be responsible to the extent of any</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liability for such third-party claims. We have not independently verified whether our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sponsor has sufficient funds to satisfy their indemnity obligations. We believe, however,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the likelihood of our sponsor having to indemnify the trust account is limited because we</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will endeavor to have all third-party vendors and prospective target businesses as well as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other entities execute agreements with us waiving any right, title, interest or claim of any</w:t>
            </w:r>
          </w:p>
        </w:tc>
      </w:tr>
      <w:tr>
        <w:trPr>
          <w:trHeight w:val="234"/>
        </w:trPr>
        <w:tc>
          <w:tcPr>
            <w:tcW w:w="258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kind in or to monies held in the trust account.</w:t>
            </w:r>
          </w:p>
        </w:tc>
      </w:tr>
      <w:tr>
        <w:trPr>
          <w:trHeight w:val="172"/>
        </w:trPr>
        <w:tc>
          <w:tcPr>
            <w:tcW w:w="2580" w:type="dxa"/>
            <w:vAlign w:val="bottom"/>
            <w:tcBorders>
              <w:left w:val="single" w:sz="8" w:color="auto"/>
              <w:bottom w:val="single" w:sz="8" w:color="auto"/>
            </w:tcBorders>
          </w:tcPr>
          <w:p>
            <w:pPr>
              <w:spacing w:after="0"/>
              <w:rPr>
                <w:sz w:val="14"/>
                <w:szCs w:val="14"/>
                <w:color w:val="auto"/>
              </w:rPr>
            </w:pPr>
          </w:p>
        </w:tc>
        <w:tc>
          <w:tcPr>
            <w:tcW w:w="8440" w:type="dxa"/>
            <w:vAlign w:val="bottom"/>
            <w:tcBorders>
              <w:bottom w:val="single" w:sz="8" w:color="auto"/>
              <w:right w:val="single" w:sz="8" w:color="auto"/>
            </w:tcBorders>
          </w:tcPr>
          <w:p>
            <w:pPr>
              <w:spacing w:after="0"/>
              <w:rPr>
                <w:sz w:val="14"/>
                <w:szCs w:val="14"/>
                <w:color w:val="auto"/>
              </w:rPr>
            </w:pPr>
          </w:p>
        </w:tc>
      </w:tr>
      <w:tr>
        <w:trPr>
          <w:trHeight w:val="361"/>
        </w:trPr>
        <w:tc>
          <w:tcPr>
            <w:tcW w:w="2580" w:type="dxa"/>
            <w:vAlign w:val="bottom"/>
          </w:tcPr>
          <w:p>
            <w:pPr>
              <w:spacing w:after="0"/>
              <w:rPr>
                <w:sz w:val="24"/>
                <w:szCs w:val="24"/>
                <w:color w:val="auto"/>
              </w:rPr>
            </w:pPr>
          </w:p>
        </w:tc>
        <w:tc>
          <w:tcPr>
            <w:tcW w:w="844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53</w:t>
            </w:r>
          </w:p>
        </w:tc>
      </w:tr>
    </w:tbl>
    <w:p>
      <w:pPr>
        <w:sectPr>
          <w:pgSz w:w="11900" w:h="16838" w:orient="portrait"/>
          <w:cols w:equalWidth="0" w:num="1">
            <w:col w:w="11140"/>
          </w:cols>
          <w:pgMar w:left="320" w:top="481"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38912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1350" cy="38912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300" w:right="460" w:firstLine="425"/>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3"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9"/>
              </w:rPr>
              <w:t>July 21, 2025</w:t>
            </w:r>
          </w:p>
        </w:tc>
      </w:tr>
      <w:tr>
        <w:trPr>
          <w:trHeight w:val="142"/>
        </w:trPr>
        <w:tc>
          <w:tcPr>
            <w:tcW w:w="48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80" w:type="dxa"/>
            <w:vAlign w:val="bottom"/>
            <w:tcBorders>
              <w:bottom w:val="single" w:sz="8" w:color="CCEEFF"/>
            </w:tcBorders>
          </w:tcPr>
          <w:p>
            <w:pPr>
              <w:spacing w:after="0"/>
              <w:rPr>
                <w:sz w:val="12"/>
                <w:szCs w:val="12"/>
                <w:color w:val="auto"/>
              </w:rPr>
            </w:pPr>
          </w:p>
        </w:tc>
      </w:tr>
      <w:tr>
        <w:trPr>
          <w:trHeight w:val="196"/>
        </w:trPr>
        <w:tc>
          <w:tcPr>
            <w:tcW w:w="4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Balance Sheet Data:</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1,066,468</w:t>
            </w:r>
            <w:r>
              <w:rPr>
                <w:rFonts w:ascii="Times New Roman" w:cs="Times New Roman" w:eastAsia="Times New Roman" w:hAnsi="Times New Roman"/>
                <w:sz w:val="22"/>
                <w:szCs w:val="22"/>
                <w:color w:val="auto"/>
                <w:vertAlign w:val="superscript"/>
              </w:rPr>
              <w:t>(1)</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125,000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w w:val="93"/>
              </w:rPr>
              <w:t>221,525,000</w:t>
            </w:r>
            <w:r>
              <w:rPr>
                <w:rFonts w:ascii="Times New Roman" w:cs="Times New Roman" w:eastAsia="Times New Roman" w:hAnsi="Times New Roman"/>
                <w:sz w:val="22"/>
                <w:szCs w:val="22"/>
                <w:color w:val="auto"/>
                <w:w w:val="93"/>
                <w:vertAlign w:val="superscript"/>
              </w:rPr>
              <w:t>(2)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119,332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458,532</w:t>
            </w:r>
            <w:r>
              <w:rPr>
                <w:rFonts w:ascii="Times New Roman" w:cs="Times New Roman" w:eastAsia="Times New Roman" w:hAnsi="Times New Roman"/>
                <w:sz w:val="22"/>
                <w:szCs w:val="22"/>
                <w:color w:val="auto"/>
                <w:vertAlign w:val="superscript"/>
              </w:rPr>
              <w:t>(3)</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Class A ordinary shares subject to redemption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w w:val="93"/>
              </w:rPr>
              <w:t>220,000,000</w:t>
            </w:r>
            <w:r>
              <w:rPr>
                <w:rFonts w:ascii="Times New Roman" w:cs="Times New Roman" w:eastAsia="Times New Roman" w:hAnsi="Times New Roman"/>
                <w:sz w:val="22"/>
                <w:szCs w:val="22"/>
                <w:color w:val="auto"/>
                <w:w w:val="93"/>
                <w:vertAlign w:val="superscript"/>
              </w:rPr>
              <w:t>(4)</w:t>
            </w:r>
          </w:p>
        </w:tc>
      </w:tr>
      <w:tr>
        <w:trPr>
          <w:trHeight w:val="29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1,066,468</w:t>
            </w:r>
            <w:r>
              <w:rPr>
                <w:rFonts w:ascii="Times New Roman" w:cs="Times New Roman" w:eastAsia="Times New Roman" w:hAnsi="Times New Roman"/>
                <w:sz w:val="22"/>
                <w:szCs w:val="22"/>
                <w:color w:val="auto"/>
                <w:vertAlign w:val="superscript"/>
              </w:rPr>
              <w:t>(5)</w:t>
            </w:r>
          </w:p>
        </w:tc>
      </w:tr>
    </w:tbl>
    <w:p>
      <w:pPr>
        <w:spacing w:after="0" w:line="145" w:lineRule="exact"/>
        <w:rPr>
          <w:sz w:val="20"/>
          <w:szCs w:val="20"/>
          <w:color w:val="auto"/>
        </w:rPr>
      </w:pPr>
    </w:p>
    <w:p>
      <w:pPr>
        <w:ind w:left="720" w:hanging="415"/>
        <w:spacing w:after="0" w:line="26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the actual working capital of $5,668, plus $1,400,000 held outside the trust account less $339,200 for the overallotment liability.</w:t>
      </w:r>
    </w:p>
    <w:p>
      <w:pPr>
        <w:spacing w:after="0" w:line="1" w:lineRule="exact"/>
        <w:rPr>
          <w:rFonts w:ascii="Times New Roman" w:cs="Times New Roman" w:eastAsia="Times New Roman" w:hAnsi="Times New Roman"/>
          <w:sz w:val="18"/>
          <w:szCs w:val="18"/>
          <w:color w:val="auto"/>
        </w:rPr>
      </w:pPr>
    </w:p>
    <w:p>
      <w:pPr>
        <w:ind w:left="720" w:hanging="415"/>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the actual total assets of $125,000 plus $220,000,000 cash held in trust from the proceeds of this offering and the sale of the private investor shares and the private placement units, plus the $1,400,000 held outside the trust account.</w:t>
      </w:r>
    </w:p>
    <w:p>
      <w:pPr>
        <w:ind w:left="720" w:right="100" w:hanging="415"/>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the “as adjusted” total liabilities, plus $339,200 for the overallotment liability. The $339,200 over-allotment liability represents the value of the 45-day over-allotment option granted to the underwriters and non-managing investors to purchase up to 3,300,000 and 19,982 units, respectively, at the initial offering price, less the underwriting commissions. This over-allotment option is considered a freestanding financial instrument, indexed on the contingently redeemable shares, and is accounted for as a liability in accordance with Accounting Standards Codification 480, Distinguishing Liabilities from Equity.</w:t>
      </w:r>
    </w:p>
    <w:p>
      <w:pPr>
        <w:ind w:left="720" w:hanging="415"/>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22,000,000 public shares at $10 per share.</w:t>
      </w:r>
    </w:p>
    <w:p>
      <w:pPr>
        <w:spacing w:after="0" w:line="8" w:lineRule="exact"/>
        <w:rPr>
          <w:rFonts w:ascii="Times New Roman" w:cs="Times New Roman" w:eastAsia="Times New Roman" w:hAnsi="Times New Roman"/>
          <w:sz w:val="18"/>
          <w:szCs w:val="18"/>
          <w:color w:val="auto"/>
        </w:rPr>
      </w:pPr>
    </w:p>
    <w:p>
      <w:pPr>
        <w:ind w:left="720" w:right="180" w:hanging="415"/>
        <w:spacing w:after="0" w:line="255"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22,000,000 public shares purchased in the public market which are subject to conversion in connection with our initial business combination. The “as adjusted” calculation equals the “as adjusted” total assets, less the “as adjusted” total liabilities, less the “as adjusted” value of Class A ordinary shares which may be redeemed in connection with our initial business combination ($10.00 per share).</w:t>
      </w:r>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0"/>
          </w:cols>
          <w:pgMar w:left="320" w:top="481" w:right="6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562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1350" cy="6562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300" w:firstLine="425"/>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95" w:lineRule="exact"/>
        <w:rPr>
          <w:sz w:val="20"/>
          <w:szCs w:val="20"/>
          <w:color w:val="auto"/>
        </w:rPr>
      </w:pPr>
    </w:p>
    <w:p>
      <w:pPr>
        <w:ind w:left="1240" w:hanging="40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w:t>
      </w:r>
    </w:p>
    <w:p>
      <w:pPr>
        <w:spacing w:after="0" w:line="130" w:lineRule="exact"/>
        <w:rPr>
          <w:rFonts w:ascii="Times New Roman" w:cs="Times New Roman" w:eastAsia="Times New Roman" w:hAnsi="Times New Roman"/>
          <w:sz w:val="18"/>
          <w:szCs w:val="18"/>
          <w:color w:val="auto"/>
        </w:rPr>
      </w:pPr>
    </w:p>
    <w:p>
      <w:pPr>
        <w:ind w:left="1240" w:right="260" w:hanging="409"/>
        <w:spacing w:after="0" w:line="281"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68" w:lineRule="exact"/>
        <w:rPr>
          <w:rFonts w:ascii="Times New Roman" w:cs="Times New Roman" w:eastAsia="Times New Roman" w:hAnsi="Times New Roman"/>
          <w:sz w:val="18"/>
          <w:szCs w:val="18"/>
          <w:color w:val="auto"/>
        </w:rPr>
      </w:pPr>
    </w:p>
    <w:p>
      <w:pPr>
        <w:jc w:val="both"/>
        <w:ind w:left="1240" w:right="460" w:hanging="409"/>
        <w:spacing w:after="0" w:line="312"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executive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44" w:lineRule="exact"/>
        <w:rPr>
          <w:rFonts w:ascii="Times New Roman" w:cs="Times New Roman" w:eastAsia="Times New Roman" w:hAnsi="Times New Roman"/>
          <w:sz w:val="17"/>
          <w:szCs w:val="17"/>
          <w:color w:val="auto"/>
        </w:rPr>
      </w:pPr>
    </w:p>
    <w:p>
      <w:pPr>
        <w:ind w:left="1240" w:hanging="40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the required funds to complete our offering and working capital expenses;</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 including their industry and geographic location;</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executive officers and directors to generate a number of potential investment opportunities;</w:t>
      </w:r>
    </w:p>
    <w:p>
      <w:pPr>
        <w:spacing w:after="0" w:line="130" w:lineRule="exact"/>
        <w:rPr>
          <w:rFonts w:ascii="Times New Roman" w:cs="Times New Roman" w:eastAsia="Times New Roman" w:hAnsi="Times New Roman"/>
          <w:sz w:val="18"/>
          <w:szCs w:val="18"/>
          <w:color w:val="auto"/>
        </w:rPr>
      </w:pPr>
    </w:p>
    <w:p>
      <w:pPr>
        <w:ind w:left="1240" w:right="340" w:hanging="409"/>
        <w:spacing w:after="0" w:line="281"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list or delisting of our securities from Nasdaq or an inability to have our securities listed on Nasdaq following a business combination;</w:t>
      </w:r>
    </w:p>
    <w:p>
      <w:pPr>
        <w:spacing w:after="0" w:line="68"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 or</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225" w:lineRule="exact"/>
        <w:rPr>
          <w:sz w:val="20"/>
          <w:szCs w:val="20"/>
          <w:color w:val="auto"/>
        </w:rPr>
      </w:pPr>
    </w:p>
    <w:p>
      <w:pPr>
        <w:ind w:left="300" w:right="40" w:firstLine="425"/>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300" w:right="220" w:firstLine="425"/>
        <w:spacing w:after="0" w:line="288"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59" w:lineRule="exact"/>
        <w:rPr>
          <w:sz w:val="20"/>
          <w:szCs w:val="20"/>
          <w:color w:val="auto"/>
        </w:rPr>
      </w:pPr>
    </w:p>
    <w:p>
      <w:pPr>
        <w:ind w:left="300" w:right="80" w:firstLine="425"/>
        <w:spacing w:after="0" w:line="258" w:lineRule="auto"/>
        <w:rPr>
          <w:sz w:val="20"/>
          <w:szCs w:val="20"/>
          <w:color w:val="auto"/>
        </w:rPr>
      </w:pPr>
      <w:r>
        <w:rPr>
          <w:rFonts w:ascii="Times New Roman" w:cs="Times New Roman" w:eastAsia="Times New Roman" w:hAnsi="Times New Roman"/>
          <w:sz w:val="18"/>
          <w:szCs w:val="18"/>
          <w:color w:val="auto"/>
        </w:rPr>
        <w:t>In addition, statements that contain “we believe” and similar statements reflect our beliefs and opinions on the relevant subject. These statements are based on information available to us as of the date of this prospectus. Although we believe that this information provides a reasonable basis for these statements, this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20"/>
          </w:cols>
          <w:pgMar w:left="320" w:top="481" w:right="6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117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1350" cy="6117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229" w:lineRule="exact"/>
        <w:rPr>
          <w:sz w:val="20"/>
          <w:szCs w:val="20"/>
          <w:color w:val="auto"/>
        </w:rPr>
      </w:pPr>
    </w:p>
    <w:p>
      <w:pPr>
        <w:ind w:left="300" w:right="180" w:firstLine="425"/>
        <w:spacing w:after="0" w:line="272" w:lineRule="auto"/>
        <w:rPr>
          <w:sz w:val="20"/>
          <w:szCs w:val="20"/>
          <w:color w:val="auto"/>
        </w:rPr>
      </w:pPr>
      <w:r>
        <w:rPr>
          <w:rFonts w:ascii="Times New Roman" w:cs="Times New Roman" w:eastAsia="Times New Roman" w:hAnsi="Times New Roman"/>
          <w:sz w:val="17"/>
          <w:szCs w:val="17"/>
          <w:color w:val="auto"/>
        </w:rPr>
        <w:t>We are a recently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Please see “</w:t>
      </w:r>
      <w:r>
        <w:rPr>
          <w:rFonts w:ascii="Times New Roman" w:cs="Times New Roman" w:eastAsia="Times New Roman" w:hAnsi="Times New Roman"/>
          <w:sz w:val="17"/>
          <w:szCs w:val="17"/>
          <w:i w:val="1"/>
          <w:iCs w:val="1"/>
          <w:color w:val="auto"/>
        </w:rPr>
        <w:t>Proposed Business — Comparison of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Offering to Those of Blank Check Companies Subject to Rule 419</w:t>
      </w:r>
      <w:r>
        <w:rPr>
          <w:rFonts w:ascii="Times New Roman" w:cs="Times New Roman" w:eastAsia="Times New Roman" w:hAnsi="Times New Roman"/>
          <w:sz w:val="17"/>
          <w:szCs w:val="17"/>
          <w:color w:val="auto"/>
        </w:rPr>
        <w:t>” for additional information concerning how Rule 419 blank check offerings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 from this offering. You should carefully consider these and the other risks set forth in the section entitled “Risk Factors” in this 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40" w:firstLine="425"/>
        <w:spacing w:after="0" w:line="260"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87" w:lineRule="exact"/>
        <w:rPr>
          <w:sz w:val="20"/>
          <w:szCs w:val="20"/>
          <w:color w:val="auto"/>
        </w:rPr>
      </w:pPr>
    </w:p>
    <w:p>
      <w:pPr>
        <w:ind w:left="1240" w:right="180" w:hanging="409"/>
        <w:spacing w:after="0" w:line="281"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blank check company with no operating history and no revenues, and you have no basis on which to evaluate our ability to achieve our business objective.</w:t>
      </w:r>
    </w:p>
    <w:p>
      <w:pPr>
        <w:spacing w:after="0" w:line="68" w:lineRule="exact"/>
        <w:rPr>
          <w:rFonts w:ascii="Times New Roman" w:cs="Times New Roman" w:eastAsia="Times New Roman" w:hAnsi="Times New Roman"/>
          <w:sz w:val="18"/>
          <w:szCs w:val="18"/>
          <w:color w:val="auto"/>
        </w:rPr>
      </w:pPr>
    </w:p>
    <w:p>
      <w:pPr>
        <w:ind w:left="1240" w:right="240" w:hanging="409"/>
        <w:spacing w:after="0" w:line="265"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shareholders may not be afforded an opportunity to vote on our proposed business combination, and even if we hold a vote, our initial shareholders will participate in such vote, which means we may consummate our initial business combination even though a majority of our public shareholders do not support such a combination.</w:t>
      </w:r>
    </w:p>
    <w:p>
      <w:pPr>
        <w:spacing w:after="0" w:line="82" w:lineRule="exact"/>
        <w:rPr>
          <w:rFonts w:ascii="Times New Roman" w:cs="Times New Roman" w:eastAsia="Times New Roman" w:hAnsi="Times New Roman"/>
          <w:sz w:val="18"/>
          <w:szCs w:val="18"/>
          <w:color w:val="auto"/>
        </w:rPr>
      </w:pPr>
    </w:p>
    <w:p>
      <w:pPr>
        <w:ind w:left="1240" w:hanging="409"/>
        <w:spacing w:after="0" w:line="254"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91" w:lineRule="exact"/>
        <w:rPr>
          <w:rFonts w:ascii="Times New Roman" w:cs="Times New Roman" w:eastAsia="Times New Roman" w:hAnsi="Times New Roman"/>
          <w:sz w:val="18"/>
          <w:szCs w:val="18"/>
          <w:color w:val="auto"/>
        </w:rPr>
      </w:pPr>
    </w:p>
    <w:p>
      <w:pPr>
        <w:ind w:left="1240" w:right="40" w:hanging="409"/>
        <w:spacing w:after="0" w:line="281"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only opportunity to effect your investment decision regarding a potential business combination may be limited to the exercise of your right to redeem your shares from us for cash.</w:t>
      </w:r>
    </w:p>
    <w:p>
      <w:pPr>
        <w:spacing w:after="0" w:line="68" w:lineRule="exact"/>
        <w:rPr>
          <w:rFonts w:ascii="Times New Roman" w:cs="Times New Roman" w:eastAsia="Times New Roman" w:hAnsi="Times New Roman"/>
          <w:sz w:val="18"/>
          <w:szCs w:val="18"/>
          <w:color w:val="auto"/>
        </w:rPr>
      </w:pPr>
    </w:p>
    <w:p>
      <w:pPr>
        <w:jc w:val="both"/>
        <w:ind w:left="1240" w:right="460" w:hanging="409"/>
        <w:spacing w:after="0" w:line="265"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complete our initial business combination within 24 months from the closing of this offering may give potential target businesses leverage over us in negotiating our initial business combination which could undermine our ability to consummate our initial business combination on terms that would produce value for our shareholders.</w:t>
      </w:r>
    </w:p>
    <w:p>
      <w:pPr>
        <w:spacing w:after="0" w:line="82" w:lineRule="exact"/>
        <w:rPr>
          <w:rFonts w:ascii="Times New Roman" w:cs="Times New Roman" w:eastAsia="Times New Roman" w:hAnsi="Times New Roman"/>
          <w:sz w:val="18"/>
          <w:szCs w:val="18"/>
          <w:color w:val="auto"/>
        </w:rPr>
      </w:pPr>
    </w:p>
    <w:p>
      <w:pPr>
        <w:ind w:left="1240" w:hanging="409"/>
        <w:spacing w:after="0" w:line="281"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68" w:lineRule="exact"/>
        <w:rPr>
          <w:rFonts w:ascii="Times New Roman" w:cs="Times New Roman" w:eastAsia="Times New Roman" w:hAnsi="Times New Roman"/>
          <w:sz w:val="18"/>
          <w:szCs w:val="18"/>
          <w:color w:val="auto"/>
        </w:rPr>
      </w:pPr>
    </w:p>
    <w:p>
      <w:pPr>
        <w:ind w:left="1240" w:right="60" w:hanging="409"/>
        <w:spacing w:after="0" w:line="281"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number of SPACs evaluating targets increases, and other issued SPAC entities may come to market with superior terms for the acquisition targets, attractive targets may become scarcer and there</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00"/>
          </w:cols>
          <w:pgMar w:left="320" w:top="481" w:right="6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972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1350" cy="5972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spacing w:after="0" w:line="281" w:lineRule="auto"/>
        <w:rPr>
          <w:sz w:val="20"/>
          <w:szCs w:val="20"/>
          <w:color w:val="auto"/>
        </w:rPr>
      </w:pPr>
      <w:r>
        <w:rPr>
          <w:rFonts w:ascii="Times New Roman" w:cs="Times New Roman" w:eastAsia="Times New Roman" w:hAnsi="Times New Roman"/>
          <w:sz w:val="18"/>
          <w:szCs w:val="18"/>
          <w:color w:val="auto"/>
        </w:rPr>
        <w:t>may be more competition for attractive targets. potentially increasing the cost of, or impairing our ability to consummate, our initial business combination.</w:t>
      </w:r>
    </w:p>
    <w:p>
      <w:pPr>
        <w:spacing w:after="0" w:line="68" w:lineRule="exact"/>
        <w:rPr>
          <w:sz w:val="20"/>
          <w:szCs w:val="20"/>
          <w:color w:val="auto"/>
        </w:rPr>
      </w:pPr>
    </w:p>
    <w:p>
      <w:pPr>
        <w:jc w:val="both"/>
        <w:ind w:left="1240" w:right="120" w:hanging="409"/>
        <w:spacing w:after="0" w:line="265"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p>
    <w:p>
      <w:pPr>
        <w:spacing w:after="0" w:line="82" w:lineRule="exact"/>
        <w:rPr>
          <w:rFonts w:ascii="Times New Roman" w:cs="Times New Roman" w:eastAsia="Times New Roman" w:hAnsi="Times New Roman"/>
          <w:sz w:val="18"/>
          <w:szCs w:val="18"/>
          <w:color w:val="auto"/>
        </w:rPr>
      </w:pPr>
    </w:p>
    <w:p>
      <w:pPr>
        <w:ind w:left="1240" w:right="20" w:hanging="409"/>
        <w:spacing w:after="0" w:line="260"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only receive approximately $10.00 per share, or less in certain circumstances, on our redemption of their shares, and our rights will expire worthless.</w:t>
      </w:r>
    </w:p>
    <w:p>
      <w:pPr>
        <w:spacing w:after="0" w:line="87" w:lineRule="exact"/>
        <w:rPr>
          <w:rFonts w:ascii="Times New Roman" w:cs="Times New Roman" w:eastAsia="Times New Roman" w:hAnsi="Times New Roman"/>
          <w:sz w:val="18"/>
          <w:szCs w:val="18"/>
          <w:color w:val="auto"/>
        </w:rPr>
      </w:pPr>
    </w:p>
    <w:p>
      <w:pPr>
        <w:ind w:left="1240" w:right="100" w:hanging="409"/>
        <w:spacing w:after="0" w:line="260"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 offering not to trade any public shares that they acquire in the offering or otherwise, and it may adversely affect the trading price of our public shares.</w:t>
      </w:r>
    </w:p>
    <w:p>
      <w:pPr>
        <w:spacing w:after="0" w:line="87" w:lineRule="exact"/>
        <w:rPr>
          <w:rFonts w:ascii="Times New Roman" w:cs="Times New Roman" w:eastAsia="Times New Roman" w:hAnsi="Times New Roman"/>
          <w:sz w:val="18"/>
          <w:szCs w:val="18"/>
          <w:color w:val="auto"/>
        </w:rPr>
      </w:pPr>
    </w:p>
    <w:p>
      <w:pPr>
        <w:ind w:left="1240" w:right="60" w:hanging="409"/>
        <w:spacing w:after="0" w:line="260"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w:t>
      </w:r>
    </w:p>
    <w:p>
      <w:pPr>
        <w:spacing w:after="0" w:line="87" w:lineRule="exact"/>
        <w:rPr>
          <w:rFonts w:ascii="Times New Roman" w:cs="Times New Roman" w:eastAsia="Times New Roman" w:hAnsi="Times New Roman"/>
          <w:sz w:val="18"/>
          <w:szCs w:val="18"/>
          <w:color w:val="auto"/>
        </w:rPr>
      </w:pPr>
    </w:p>
    <w:p>
      <w:pPr>
        <w:ind w:left="1240" w:right="500" w:hanging="409"/>
        <w:spacing w:after="0" w:line="281"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bring claims against the company, the proceeds held in trust could be reduced and the per-share redemption price received by shareholders may be less than $10.00 per share.</w:t>
      </w:r>
    </w:p>
    <w:p>
      <w:pPr>
        <w:spacing w:after="0" w:line="95" w:lineRule="exact"/>
        <w:rPr>
          <w:rFonts w:ascii="Times New Roman" w:cs="Times New Roman" w:eastAsia="Times New Roman" w:hAnsi="Times New Roman"/>
          <w:sz w:val="18"/>
          <w:szCs w:val="18"/>
          <w:color w:val="auto"/>
        </w:rPr>
      </w:pPr>
    </w:p>
    <w:p>
      <w:pPr>
        <w:ind w:left="1240" w:right="220" w:hanging="409"/>
        <w:spacing w:after="0" w:line="265"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p>
    <w:p>
      <w:pPr>
        <w:spacing w:after="0" w:line="82" w:lineRule="exact"/>
        <w:rPr>
          <w:rFonts w:ascii="Times New Roman" w:cs="Times New Roman" w:eastAsia="Times New Roman" w:hAnsi="Times New Roman"/>
          <w:sz w:val="18"/>
          <w:szCs w:val="18"/>
          <w:color w:val="auto"/>
        </w:rPr>
      </w:pPr>
    </w:p>
    <w:p>
      <w:pPr>
        <w:ind w:left="1240" w:hanging="409"/>
        <w:spacing w:after="0" w:line="312"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p>
    <w:p>
      <w:pPr>
        <w:spacing w:after="0" w:line="44" w:lineRule="exact"/>
        <w:rPr>
          <w:rFonts w:ascii="Times New Roman" w:cs="Times New Roman" w:eastAsia="Times New Roman" w:hAnsi="Times New Roman"/>
          <w:sz w:val="17"/>
          <w:szCs w:val="17"/>
          <w:color w:val="auto"/>
        </w:rPr>
      </w:pPr>
    </w:p>
    <w:p>
      <w:pPr>
        <w:ind w:left="1240" w:right="160" w:hanging="409"/>
        <w:spacing w:after="0" w:line="265"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w:t>
      </w:r>
    </w:p>
    <w:p>
      <w:pPr>
        <w:spacing w:after="0" w:line="82" w:lineRule="exact"/>
        <w:rPr>
          <w:rFonts w:ascii="Times New Roman" w:cs="Times New Roman" w:eastAsia="Times New Roman" w:hAnsi="Times New Roman"/>
          <w:sz w:val="18"/>
          <w:szCs w:val="18"/>
          <w:color w:val="auto"/>
        </w:rPr>
      </w:pPr>
    </w:p>
    <w:p>
      <w:pPr>
        <w:ind w:left="1240" w:right="40" w:hanging="409"/>
        <w:spacing w:after="0" w:line="265"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p>
    <w:p>
      <w:pPr>
        <w:spacing w:after="0" w:line="82"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shareholders will control a substantial interest in us and thus may influence certain actions requiring a shareholder vote.</w:t>
      </w:r>
    </w:p>
    <w:p>
      <w:pPr>
        <w:spacing w:after="0" w:line="130" w:lineRule="exact"/>
        <w:rPr>
          <w:rFonts w:ascii="Times New Roman" w:cs="Times New Roman" w:eastAsia="Times New Roman" w:hAnsi="Times New Roman"/>
          <w:sz w:val="18"/>
          <w:szCs w:val="18"/>
          <w:color w:val="auto"/>
        </w:rPr>
      </w:pPr>
    </w:p>
    <w:p>
      <w:pPr>
        <w:ind w:left="1240" w:right="120" w:hanging="409"/>
        <w:spacing w:after="0" w:line="281"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shareholders may be unable to sell their securities when they wish to in the event that the proposed business combination is not approved.</w:t>
      </w:r>
    </w:p>
    <w:p>
      <w:pPr>
        <w:spacing w:after="0" w:line="68" w:lineRule="exact"/>
        <w:rPr>
          <w:rFonts w:ascii="Times New Roman" w:cs="Times New Roman" w:eastAsia="Times New Roman" w:hAnsi="Times New Roman"/>
          <w:sz w:val="18"/>
          <w:szCs w:val="18"/>
          <w:color w:val="auto"/>
        </w:rPr>
      </w:pPr>
    </w:p>
    <w:p>
      <w:pPr>
        <w:ind w:left="1240" w:right="160" w:hanging="409"/>
        <w:spacing w:after="0" w:line="281"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likely to be treated as a passive foreign investment company (“PFIC”), which could result in adverse U.S. federal income tax consequences to U.S. investors.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20"/>
          </w:cols>
          <w:pgMar w:left="320" w:top="481" w:right="6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2050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1350" cy="2050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0" w:hanging="409"/>
        <w:spacing w:after="0" w:line="281"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consummate our initial business combination within 24 months from the closing of this offering, our public shareholders may be forced to wait beyond such period before redemption from our trust account.</w:t>
      </w:r>
    </w:p>
    <w:p>
      <w:pPr>
        <w:spacing w:after="0" w:line="68" w:lineRule="exact"/>
        <w:rPr>
          <w:rFonts w:ascii="Times New Roman" w:cs="Times New Roman" w:eastAsia="Times New Roman" w:hAnsi="Times New Roman"/>
          <w:sz w:val="18"/>
          <w:szCs w:val="18"/>
          <w:color w:val="auto"/>
        </w:rPr>
      </w:pPr>
    </w:p>
    <w:p>
      <w:pPr>
        <w:ind w:left="1240" w:right="60" w:hanging="409"/>
        <w:spacing w:after="0" w:line="265"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p>
    <w:p>
      <w:pPr>
        <w:spacing w:after="0" w:line="82" w:lineRule="exact"/>
        <w:rPr>
          <w:rFonts w:ascii="Times New Roman" w:cs="Times New Roman" w:eastAsia="Times New Roman" w:hAnsi="Times New Roman"/>
          <w:sz w:val="18"/>
          <w:szCs w:val="18"/>
          <w:color w:val="auto"/>
        </w:rPr>
      </w:pPr>
    </w:p>
    <w:p>
      <w:pPr>
        <w:ind w:left="1240" w:hanging="409"/>
        <w:spacing w:after="0" w:line="281"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securities, and certain subsequent transactions with respect to our securities, may result in uncertain or adverse U.S. federal income tax consequences for an investor.</w:t>
      </w:r>
    </w:p>
    <w:p>
      <w:pPr>
        <w:spacing w:after="0" w:line="68" w:lineRule="exact"/>
        <w:rPr>
          <w:rFonts w:ascii="Times New Roman" w:cs="Times New Roman" w:eastAsia="Times New Roman" w:hAnsi="Times New Roman"/>
          <w:sz w:val="18"/>
          <w:szCs w:val="18"/>
          <w:color w:val="auto"/>
        </w:rPr>
      </w:pPr>
    </w:p>
    <w:p>
      <w:pPr>
        <w:ind w:left="1240" w:right="80" w:hanging="409"/>
        <w:spacing w:after="0" w:line="265"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connection with or in anticipation of our initial business combination and our structure thereafter may not be tax-efficient to our shareholders and rights holders. As a result of our initial business combination, our tax obligations may be more complex, burdensome and uncertain.</w:t>
      </w:r>
    </w:p>
    <w:p>
      <w:pPr>
        <w:spacing w:after="0" w:line="82"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discussed in “Risk Factors” and elsewhere in this prospectus.</w:t>
      </w:r>
    </w:p>
    <w:p>
      <w:pPr>
        <w:spacing w:after="0" w:line="34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60"/>
          </w:cols>
          <w:pgMar w:left="320" w:top="481" w:right="8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public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Search for, and Consummation of or Inability to Consummate, a Business Combination</w:t>
      </w:r>
    </w:p>
    <w:p>
      <w:pPr>
        <w:spacing w:after="0" w:line="119"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Our public shareholders may not be afforded an opportunity to vote on our proposed business combination, and even if we hold a vote, holders of our founder shares, private investor shares and private placement shares will participate in such vote, which means we may consummate our initial business combination even though a majority of our public shareholders do not support such a combination.</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choose not hold a shareholder vote to approve our initial business combination unless the business combination would require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approval under applicable law or stock exchange rules or if we decide to hold a shareholder vote for business or other reasons. For instance,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Nasdaq rules currently allow us to engage in a tender offer in lieu of a shareholder meeting, but would still require us to obtain shareholder approval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were seeking to issue more than 20% of our issued and outstanding shares to a target business as consideration in any business combination.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if we were structuring a business combination that required us to issue more than 20% of our issued and outstanding shares, we would seek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approval of such business combination. However, except as required by applicable law or stock exchange rules, the decision as to whether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seek shareholder approval of a proposed business combination or will allow shareholders to sell their shares to us in a tender offer will be made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us, solely in our discretion, and will be based on a variety of factors, such as the timing of the transaction and whether the terms of the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otherwise require us to seek shareholder approval. Accordingly, we may consummate our initial business combination even if holders of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majority of the issued and outstanding ordinary shares do not approve of the business combination we consummate. Please see the section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Proposed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Business Combination—Shareholders may not have the ability to approve our initial business combination</w:t>
      </w:r>
      <w:r>
        <w:rPr>
          <w:rFonts w:ascii="Times New Roman" w:cs="Times New Roman" w:eastAsia="Times New Roman" w:hAnsi="Times New Roman"/>
          <w:sz w:val="18"/>
          <w:szCs w:val="18"/>
          <w:color w:val="auto"/>
        </w:rPr>
        <w:t>” for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Our sponsor controls a substantial interest in us and thus may exert a substantial influence on actions requiring a shareholder vote,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potentially in a manner that you do not support.</w:t>
      </w:r>
    </w:p>
    <w:p>
      <w:pPr>
        <w:spacing w:after="0" w:line="20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19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expect that our initial shareholders and their permitted transferees, will beneficially own approximately 30.7% of the issued and outstanding ordinary shares at the time of any such shareholder vote (assuming none of the initial shareholders purchases any public units in this offering). Our initial shareholders and management team also may from time to time purchase public units or public shares prior to our initial business combination. If the non-managing investors purchase public units in this offering and assuming none of them will trade such public units after the closing, or they subsequently acquire public units in open-market trades, the initial shareholders will beneficially own more than 30.7% of the issued and outstanding ordinary shares at the time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1"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any shareholder vote (assuming no exercise of the over-allotment option by the underwriters). Our amended and restated memorandum and articles of association provides that, if we seek shareholder approval of an initial business combination, such initial business combination will be approved if we receive an ordinary resolution under Cayman Islands law and our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Our initial shareholders (and their permitted transferees) will agree, pursuant to the terms of the agreements to be entered into with us, to vote their founder shares, private investor shares and private placement shares in favor of our initial business combination, but not any public shares that the non-managing investors may purchase in this offering or after the closing on the open market. As a result, in addition to the Class B ordinary shares and private placement shares held by our initial shareholders, we would need approximately 11,757,181 public shares, or approximately 53.44% of the 22,000,000 public shares sold in this offering to be voted in favor of a transaction (assuming all issued and outstanding shares are voted, the over-allotment option is not exercised and 1,410,624 founder shares are forfeited) in order to have such initial business combination approved.</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Nasdaq listing eligibility requirements.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1"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 shareholders, please see “— </w:t>
      </w:r>
      <w:r>
        <w:rPr>
          <w:rFonts w:ascii="Times New Roman" w:cs="Times New Roman" w:eastAsia="Times New Roman" w:hAnsi="Times New Roman"/>
          <w:sz w:val="18"/>
          <w:szCs w:val="18"/>
          <w:i w:val="1"/>
          <w:iCs w:val="1"/>
          <w:color w:val="auto"/>
        </w:rPr>
        <w:t>Our management team,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Assuming that only the holders of one-third of our issued and outstanding ordinary shares, representing a quorum under our amended and restated memorandum and articles of association, vote their ordinary shares at a general meeting of the company, we will not need any public shares in addition to our founder shares to be voted in favor of an initial business combination in order to approve an initial business combination. However, if our initial business combination is structured as a statutory merger or consolidation with another company under Cayman Islands law, the approval of our initial business combination will require a special resolution, which requires the affirmative vote of at least two-thirds of the votes cast by such shareholders as, being entitled to do so, vote in person or, where proxies are allowed, by proxy at the applicable general meeting of the company. Accordingly, if we seek shareholder approval of our initial business combination, the agreement by our initial shareholders to vote their founder shares, private investor shares and private placement shares in favor of our initial business combination will increase the likelihood that an ordinary resolution will be passed, being the requisite shareholder approval for such initial business combination.</w:t>
      </w:r>
    </w:p>
    <w:p>
      <w:pPr>
        <w:spacing w:after="0" w:line="184"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Your only opportunity to affect the investment decision regarding a potential business combination may be limited to the exercise of your right to redeem your shares from us for cash.</w:t>
      </w:r>
    </w:p>
    <w:p>
      <w:pPr>
        <w:spacing w:after="0" w:line="16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one or more target businesses. Because our board of directors may consummate our initial business combination without seeking shareholder approval, public shareholders may not have the right or opportunity to vote on the business combination, unless we seek such shareholder vote.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84" w:lineRule="exact"/>
        <w:rPr>
          <w:sz w:val="20"/>
          <w:szCs w:val="20"/>
          <w:color w:val="auto"/>
        </w:rPr>
      </w:pPr>
    </w:p>
    <w:p>
      <w:pPr>
        <w:ind w:left="120" w:right="160"/>
        <w:spacing w:after="0" w:line="283" w:lineRule="auto"/>
        <w:rPr>
          <w:sz w:val="20"/>
          <w:szCs w:val="20"/>
          <w:color w:val="auto"/>
        </w:rPr>
      </w:pPr>
      <w:r>
        <w:rPr>
          <w:rFonts w:ascii="Times New Roman" w:cs="Times New Roman" w:eastAsia="Times New Roman" w:hAnsi="Times New Roman"/>
          <w:sz w:val="18"/>
          <w:szCs w:val="18"/>
          <w:i w:val="1"/>
          <w:iCs w:val="1"/>
          <w:color w:val="auto"/>
        </w:rPr>
        <w:t>The ability of our public shareholders to redeem their shares for cash may make our financial condition unattractive to potential business combination targets, which may make it difficult for us to enter into our initial business combination with a target.</w:t>
      </w:r>
    </w:p>
    <w:p>
      <w:pPr>
        <w:spacing w:after="0" w:line="16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enter into a transaction agreement with a prospective target that requires as a closing condition that we have a minimum net worth or a certain amount of cash. If too many public shareholders exercise their redemption rights, we may not be able to meet such closing condition, and as a result, would not be able to proceed with such business combination. Our amended and restated memorandum and articles of association will require us to provide all of our public shareholders with an opportunity to redeem all of their shares in connection with the consummation of any initial business combination.</w:t>
      </w:r>
    </w:p>
    <w:p>
      <w:pPr>
        <w:spacing w:after="0" w:line="182" w:lineRule="exact"/>
        <w:rPr>
          <w:sz w:val="20"/>
          <w:szCs w:val="20"/>
          <w:color w:val="auto"/>
        </w:rPr>
      </w:pPr>
    </w:p>
    <w:p>
      <w:pPr>
        <w:ind w:left="120" w:right="300" w:firstLine="440"/>
        <w:spacing w:after="0" w:line="260" w:lineRule="auto"/>
        <w:rPr>
          <w:sz w:val="20"/>
          <w:szCs w:val="20"/>
          <w:color w:val="auto"/>
        </w:rPr>
      </w:pPr>
      <w:r>
        <w:rPr>
          <w:rFonts w:ascii="Times New Roman" w:cs="Times New Roman" w:eastAsia="Times New Roman" w:hAnsi="Times New Roman"/>
          <w:sz w:val="18"/>
          <w:szCs w:val="18"/>
          <w:color w:val="auto"/>
        </w:rPr>
        <w:t>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The effect of this dilution will be greater for shareholders who do not redeem. We may not be able to generate sufficient value from the completion of our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1"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initial business combination in order to overcome the dilutive impact of these and other factors, and, accordingly, you may incur a net loss on your investment. Please see “ </w:t>
      </w:r>
      <w:r>
        <w:rPr>
          <w:rFonts w:ascii="Times New Roman" w:cs="Times New Roman" w:eastAsia="Times New Roman" w:hAnsi="Times New Roman"/>
          <w:sz w:val="18"/>
          <w:szCs w:val="18"/>
          <w:i w:val="1"/>
          <w:iCs w:val="1"/>
          <w:color w:val="auto"/>
        </w:rPr>
        <w:t>— The nominal purchase price paid by our insiders for the founder shares and paid by the non-managing investors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8"/>
          <w:szCs w:val="18"/>
          <w:color w:val="auto"/>
        </w:rPr>
        <w:t>.” The above considerations may limit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complete the most desirable business combination available to us or optimize our capital structure.</w:t>
      </w:r>
    </w:p>
    <w:p>
      <w:pPr>
        <w:spacing w:after="0" w:line="180" w:lineRule="exact"/>
        <w:rPr>
          <w:sz w:val="20"/>
          <w:szCs w:val="20"/>
          <w:color w:val="auto"/>
        </w:rPr>
      </w:pPr>
    </w:p>
    <w:p>
      <w:pPr>
        <w:ind w:left="120" w:right="60"/>
        <w:spacing w:after="0" w:line="283" w:lineRule="auto"/>
        <w:rPr>
          <w:sz w:val="20"/>
          <w:szCs w:val="20"/>
          <w:color w:val="auto"/>
        </w:rPr>
      </w:pPr>
      <w:r>
        <w:rPr>
          <w:rFonts w:ascii="Times New Roman" w:cs="Times New Roman" w:eastAsia="Times New Roman" w:hAnsi="Times New Roman"/>
          <w:sz w:val="18"/>
          <w:szCs w:val="18"/>
          <w:i w:val="1"/>
          <w:iCs w:val="1"/>
          <w:color w:val="auto"/>
        </w:rPr>
        <w:t>The requirement that we maintain a minimum net worth or retain a certain amount of cash could increase the probability that our business combination would be unsuccessful and that you would have to wait for liquidation in order to redeem your shares.</w:t>
      </w:r>
    </w:p>
    <w:p>
      <w:pPr>
        <w:spacing w:after="0" w:line="16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pursuant to the terms of our proposed business combination, we are required to maintain a minimum net worth or retain a certain amount of cash in trust in order to consummate the business combination and regardless of whether we proceed with redemptions under the tender or proxy rules, the probability that our business combination would be unsuccessful is increased. If our business combination is unsuccessful, you would not receive your pro rata portion of the trust account until we liquidate. If you are in need of immediate liquidity, you could attempt to sell your shares on the open market; however, at such time our shares may trade at a discount to the pro rata amount per share in our trust account. In either situation, you may suffer a material loss on your investment or lose the benefit of funds expected in connection with our redemption until we liquidate or you are able to sell your shares on the open market.</w:t>
      </w:r>
    </w:p>
    <w:p>
      <w:pPr>
        <w:spacing w:after="0" w:line="18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requirement that we complete our initial business combination within 24 months from the closing of this offering may give potential target businesses leverage over us in negotiating our initial business combination and may limit the amount of time we have to conduct due diligence on potential business combination targets as we approach our dissolution deadline, which could undermine our ability to consummate our initial business combination on terms that would produce value for our shareholders.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 The length of time it may take us to complete our diligence and negotiate a business combination may reduce the amount of time available for us to ultimately complete an initial business combination should such diligence or negotiations not lead to a consummated initial business combination.</w:t>
      </w:r>
    </w:p>
    <w:p>
      <w:pPr>
        <w:spacing w:after="0" w:line="187"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6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must complete our initial business combination within 24 months from the closing of this offering. We may not be able to find a suitable target business and consummate our initial business combination within such time period. Our ability to complete our initial business combination may be negatively impacted by general market conditions, political considerations, volatility in the capital and debt markets, other social and geopolitical events, and the other risks described herein, including, but not limited to, the war between Russia and Ukraine and the Israel-Hamas conflict. Additionally, the outbreak of unforeseen occurrence of natural disasters, such as the recent COVID-19 pandemic, may negatively impact businesses we may seek to acquire and may make it harder for us to find a suitable target business and consummate our initial business combination.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81"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the required time period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8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Risks Relating to our Search for, and Consummation of or Inability to Consummate, a Business Combination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 third parties bring claims against the company, the proceeds held in trust could be reduced and the per-share redemption price received by shareholders may be less than $10.00 per share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520"/>
        <w:spacing w:after="0" w:line="283" w:lineRule="auto"/>
        <w:rPr>
          <w:sz w:val="20"/>
          <w:szCs w:val="20"/>
          <w:color w:val="auto"/>
        </w:rPr>
      </w:pPr>
      <w:r>
        <w:rPr>
          <w:rFonts w:ascii="Times New Roman" w:cs="Times New Roman" w:eastAsia="Times New Roman" w:hAnsi="Times New Roman"/>
          <w:sz w:val="18"/>
          <w:szCs w:val="18"/>
          <w:i w:val="1"/>
          <w:iCs w:val="1"/>
          <w:color w:val="auto"/>
        </w:rPr>
        <w:t>Our search for a business combination, and any target business with which we ultimately consummate a business combination, may be materially adversely affected by the recent and ongoing military action between Russia and Ukraine.</w:t>
      </w:r>
    </w:p>
    <w:p>
      <w:pPr>
        <w:spacing w:after="0" w:line="16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 Russia’s recognition of two separatist republics in the Donetsk and Luhansk regions of Ukraine and subsequent military action against Ukraine have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ability to search for a business combination or finance such business combination, and the business, financial condition and results of operations of any target business with which we ultimately consummate a business combination may be materially adversely affected.</w:t>
      </w:r>
    </w:p>
    <w:p>
      <w:pPr>
        <w:spacing w:after="0" w:line="184"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Military or other conflicts in Ukraine, the Middle East and Southwest Asia or elsewhere may lead to increased volume and price volatility for publicly traded securities, or affect the operations or financial condition of potential target companies, which could make it more difficult for us to consummate an initial business combination.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1"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Military or other conflicts in Ukraine, the Middle East, Southwest Asia or elsewhere may lead to increased volume and price volatility for publicly traded securities, or affect the operations or financial condition of potential target companies, and to other company or industry-specific, national, regional or international economic disruptions and economic uncertainty, any of which could make it more difficult for us to identify a business combination target and consummate an initial business combination on acceptable commercial terms, or at all.</w:t>
      </w:r>
    </w:p>
    <w:p>
      <w:pPr>
        <w:spacing w:after="0" w:line="180"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Our search for and ability to complete a business combination, and any target business with which we ultimately complete a business combination, may be adversely affected by general market conditions, political considerations, pandemics, volatility in the capital and debt markets and other social and geopolitical events.</w:t>
      </w:r>
    </w:p>
    <w:p>
      <w:pPr>
        <w:spacing w:after="0" w:line="17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search for and ability to complete a business combination is subject to macroeconomic and geopolitical risks, including the emergence or continuation of widespread health emergencies or pandemics (similar to the recent COVID-19 pandemic), cyberattacks or campaigns, the current or anticipated impact of climate change, extreme weather events or natural disasters, military conflict, civil unrest, terrorism or other similar events, which could adversely affect business and economic conditions in the U.S. and abroad. The business of any potential target business with which we consummate a business combination could be materially and adversely affected by these types of events. Furthermore, we may be unable to complete a business combination as a result of these macroeconomic, geopolitical or other events, including if these events restrict travel, or limit the ability to have meetings with potential investors or the acquisition target’s personnel, vendors and services providers are unavailable to negotiate and consummate a transaction in a timely manner. The extent to which one of these types of events could impact our search for a business combination will depend on future developments, which are highly uncertain and cannot be predicted. In addition, various conflicts, such as Russia’s invasion of Ukraine, and conflicts in the Middle East, could result in regional instability and adversely impact commodity and other financial markets as well as economic conditions. These events could create inflationary pressure or otherwise effect the global economy, all of which could negatively impact our ability to complete a business combination or otherwise affect target businesses.</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macroeconomic, geopolitical or other matters of global concern cause disruptions to the business environment for an extended period of time, our ability to consummate a business combination, or the operations of a target business with which we ultimately consummate a business combination, may be materially adversely affected. Additionally, our ability to complete a business combination transaction may depend on the ability to raise sufficient equity and debt financing, and any of these or similar events could adversely impact our or the acquisition target’s ability to do so due to, among other things, increased market volatility, decreased market liquidity and the availability of third-party financing on terms acceptable to us or at all.</w:t>
      </w:r>
    </w:p>
    <w:p>
      <w:pPr>
        <w:spacing w:after="0" w:line="184" w:lineRule="exact"/>
        <w:rPr>
          <w:sz w:val="20"/>
          <w:szCs w:val="20"/>
          <w:color w:val="auto"/>
        </w:rPr>
      </w:pPr>
    </w:p>
    <w:p>
      <w:pPr>
        <w:ind w:left="120" w:right="340"/>
        <w:spacing w:after="0" w:line="283" w:lineRule="auto"/>
        <w:rPr>
          <w:sz w:val="20"/>
          <w:szCs w:val="20"/>
          <w:color w:val="auto"/>
        </w:rPr>
      </w:pPr>
      <w:r>
        <w:rPr>
          <w:rFonts w:ascii="Times New Roman" w:cs="Times New Roman" w:eastAsia="Times New Roman" w:hAnsi="Times New Roman"/>
          <w:sz w:val="18"/>
          <w:szCs w:val="18"/>
          <w:i w:val="1"/>
          <w:iCs w:val="1"/>
          <w:color w:val="auto"/>
        </w:rPr>
        <w:t>Macro-economic turbulence and instability relating to recent and ongoing global conflicts and other drivers of uncertainty may adversely affect our business, investments and results of operations and our ability to successfully consummate a business combination.</w:t>
      </w:r>
    </w:p>
    <w:p>
      <w:pPr>
        <w:spacing w:after="0" w:line="16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deterioration in economic conditions and related drivers of global uncertainty and change, such as reduced business activity, high unemployment, rising interest rates, housing prices, and energy prices (including the price of gasoline), increased consumer indebtedness, lack of available credit, the rate of inflation, and consumer perceptions of the economy, as well as other factors, such as terrorist attacks, protests, looting, and other forms of civil unrest, cyberattacks and data breaches, public health emergencies (such as the COVID-19 pandemic and other epidemics), extreme weather conditions and climate change, significant changes in the political environment, political instability, armed conflict (such as the ongoing military conflict between Ukraine and Russia and the military conflict in Israel and Gaza) and/or public policy, including increased state, local or federal taxation, could adversely affect our financial condition, the financial condition of prospective target companies for our initial business combination, or the financial condition of the combined company even if we successfully consummate a business combination, as well as our ability to locate a commercially viable target company for our business combination in the first instance.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1"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increases in inflation in the United States and elsewhere could make it more difficult for us to complete our initial business combination.</w:t>
      </w:r>
    </w:p>
    <w:p>
      <w:pPr>
        <w:spacing w:after="0" w:line="227"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Recent increases in inflation in the United States and elsewhere may lead to increased price volatility for publicly traded securities, including ours, or other national, regional or international economic disruptions, any of which could make it more difficult for us to complete our initial business combination.</w:t>
      </w:r>
    </w:p>
    <w:p>
      <w:pPr>
        <w:spacing w:after="0" w:line="175"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74"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companies preparing for an initial public offering. As a result, at times, fewer attractive targets may be available, and it may require more time, more effort and more resources to identify a suitable target and to consummate an initial business combination.</w:t>
      </w:r>
    </w:p>
    <w:p>
      <w:pPr>
        <w:spacing w:after="0" w:line="18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84"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pursuant to a proxy solicitation (meaning we would not conduct redemptions pursuant to the tender offer rules), our sponsor, directors, executive officers, or any of their affiliates are permitted to purchase ordinary shares in privately negotiated transactions or on the open market either prior to or following the consummation of our initial business combination. Any such purchase would be required to include a contractual acknowledgement that the selling shareholder, although he may still be the record holder of the shares being sold, would, upon consummation of such sale, no longer be the beneficial owner of such shares and would agree not to exercise the redemption rights applicable to such shares. In the event that our sponsor, directors, executive officers, or any of their affiliates purchase public shares in privately negotiated transactions from public shareholders who have already elected to exercise their redemption rights, any such selling shareholders would be required to revoke their prior elections to redeem their public shares prior to the consummation of the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such purchases could be to (1) increase the likelihood of obtaining shareholder approval of the initial business combination or</w:t>
      </w:r>
    </w:p>
    <w:p>
      <w:pPr>
        <w:spacing w:after="0" w:line="27" w:lineRule="exact"/>
        <w:rPr>
          <w:sz w:val="20"/>
          <w:szCs w:val="20"/>
          <w:color w:val="auto"/>
        </w:rPr>
      </w:pPr>
    </w:p>
    <w:p>
      <w:pPr>
        <w:ind w:left="120" w:right="220" w:firstLine="2"/>
        <w:spacing w:after="0" w:line="255"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83" w:lineRule="exact"/>
        <w:rPr>
          <w:sz w:val="20"/>
          <w:szCs w:val="20"/>
          <w:color w:val="auto"/>
        </w:rPr>
      </w:pPr>
    </w:p>
    <w:p>
      <w:pPr>
        <w:ind w:left="120" w:right="300"/>
        <w:spacing w:after="0" w:line="283" w:lineRule="auto"/>
        <w:rPr>
          <w:sz w:val="20"/>
          <w:szCs w:val="20"/>
          <w:color w:val="auto"/>
        </w:rPr>
      </w:pPr>
      <w:r>
        <w:rPr>
          <w:rFonts w:ascii="Times New Roman" w:cs="Times New Roman" w:eastAsia="Times New Roman" w:hAnsi="Times New Roman"/>
          <w:sz w:val="18"/>
          <w:szCs w:val="18"/>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1"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shareholders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shareholder fails to comply with these procedures, its shares may not be redeemed. Please see “</w:t>
      </w:r>
      <w:r>
        <w:rPr>
          <w:rFonts w:ascii="Times New Roman" w:cs="Times New Roman" w:eastAsia="Times New Roman" w:hAnsi="Times New Roman"/>
          <w:sz w:val="18"/>
          <w:szCs w:val="18"/>
          <w:i w:val="1"/>
          <w:iCs w:val="1"/>
          <w:color w:val="auto"/>
        </w:rPr>
        <w:t>Proposed Business—Redemption Rights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share,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w:t>
      </w:r>
    </w:p>
    <w:p>
      <w:pPr>
        <w:spacing w:after="0" w:line="18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This inherent competitive limitation gives others an advantage in pursuing the acquisition of certain target businesses. Furthermore, in the event we seek shareholder approval of our initial business combination and we are obligated to pay cash for public shares that are redeemed, it will potentially reduce the resources available to us for our initial business combination. Target companies will be aware that this may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shareholders may receive only approximately $10.00 per share, or less in certain circumstances, on the liquidation of our trust account. </w:t>
      </w:r>
      <w:r>
        <w:rPr>
          <w:rFonts w:ascii="Times New Roman" w:cs="Times New Roman" w:eastAsia="Times New Roman" w:hAnsi="Times New Roman"/>
          <w:sz w:val="17"/>
          <w:szCs w:val="17"/>
          <w:b w:val="1"/>
          <w:bCs w:val="1"/>
          <w:color w:val="auto"/>
        </w:rPr>
        <w:t>Please see “</w:t>
      </w:r>
      <w:r>
        <w:rPr>
          <w:rFonts w:ascii="Times New Roman" w:cs="Times New Roman" w:eastAsia="Times New Roman" w:hAnsi="Times New Roman"/>
          <w:sz w:val="17"/>
          <w:szCs w:val="17"/>
          <w:b w:val="1"/>
          <w:bCs w:val="1"/>
          <w:i w:val="1"/>
          <w:iCs w:val="1"/>
          <w:color w:val="auto"/>
        </w:rPr>
        <w:t>Risk Factors — Risks Relating to our Search for, and</w:t>
      </w:r>
    </w:p>
    <w:p>
      <w:pPr>
        <w:spacing w:after="0" w:line="3"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Consummation of or Inability to Consummate, a Business Combination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If third parties bring claims against the company, the proceeds held in trust could be reduced and the per-share redemption price received by shareholders may be less than $10.00 per share.</w:t>
      </w:r>
      <w:r>
        <w:rPr>
          <w:rFonts w:ascii="Times New Roman" w:cs="Times New Roman" w:eastAsia="Times New Roman" w:hAnsi="Times New Roman"/>
          <w:sz w:val="18"/>
          <w:szCs w:val="18"/>
          <w:b w:val="1"/>
          <w:bCs w:val="1"/>
          <w:color w:val="auto"/>
        </w:rPr>
        <w:t>” and other risk factors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herein.</w:t>
      </w:r>
    </w:p>
    <w:p>
      <w:pPr>
        <w:spacing w:after="0" w:line="183" w:lineRule="exact"/>
        <w:rPr>
          <w:sz w:val="20"/>
          <w:szCs w:val="20"/>
          <w:color w:val="auto"/>
        </w:rPr>
      </w:pPr>
    </w:p>
    <w:p>
      <w:pPr>
        <w:jc w:val="both"/>
        <w:ind w:left="120" w:right="80"/>
        <w:spacing w:after="0" w:line="314" w:lineRule="auto"/>
        <w:rPr>
          <w:sz w:val="20"/>
          <w:szCs w:val="20"/>
          <w:color w:val="auto"/>
        </w:rPr>
      </w:pPr>
      <w:r>
        <w:rPr>
          <w:rFonts w:ascii="Times New Roman" w:cs="Times New Roman" w:eastAsia="Times New Roman" w:hAnsi="Times New Roman"/>
          <w:sz w:val="17"/>
          <w:szCs w:val="17"/>
          <w:i w:val="1"/>
          <w:iCs w:val="1"/>
          <w:color w:val="auto"/>
        </w:rPr>
        <w:t>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p>
    <w:p>
      <w:pPr>
        <w:spacing w:after="0" w:line="138" w:lineRule="exact"/>
        <w:rPr>
          <w:sz w:val="20"/>
          <w:szCs w:val="20"/>
          <w:color w:val="auto"/>
        </w:rPr>
      </w:pPr>
    </w:p>
    <w:p>
      <w:pPr>
        <w:jc w:val="both"/>
        <w:ind w:left="120" w:right="120" w:firstLine="440"/>
        <w:spacing w:after="0" w:line="288" w:lineRule="auto"/>
        <w:rPr>
          <w:sz w:val="20"/>
          <w:szCs w:val="20"/>
          <w:color w:val="auto"/>
        </w:rPr>
      </w:pPr>
      <w:r>
        <w:rPr>
          <w:rFonts w:ascii="Times New Roman" w:cs="Times New Roman" w:eastAsia="Times New Roman" w:hAnsi="Times New Roman"/>
          <w:sz w:val="17"/>
          <w:szCs w:val="17"/>
          <w:color w:val="auto"/>
        </w:rPr>
        <w:t>We will require our public shareholders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to</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1"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deliver their shares to the transfer agent electronically using The Depository Trust Company’s DWAC (Deposit/Withdrawal At Custodian) System, at the holder’s option. In order to obtain a physical share certificate, a shareholder’s broker and/or clearing broker, The Depository Trust Company (“DTC”) and our transfer agent will need to act to facilitate this request. It is our understanding that shareholders should generally allot at least two weeks to obtain physical certificates from the transfer agent. However, because we do not have any control over this process or over the brokers or DTC, it may take significantly longer than two weeks to obtain a physical share certificate. While we have been advised that it takes a short time to deliver shares through the DWAC System, this may not be the case. Under our amended and restated memorandum and articles of association, we are required to provide at least 7 days advance notice of any shareholder meeting, which would be the minimum amount of time a shareholder would have to determine whether to exercise redemption rights. Accordingly, if it takes longer than we anticipate for shareholders to deliver their shares, shareholders who wish to redeem may be unable to meet the deadline for exercising their redemption rights and thus may be unable to redeem their shares. In the event that a shareholder fails to comply with the various procedures that must be complied with in order to validly tender or redeem public shares, its shares may not be redeemed.</w:t>
      </w:r>
    </w:p>
    <w:p>
      <w:pPr>
        <w:spacing w:after="0" w:line="189" w:lineRule="exact"/>
        <w:rPr>
          <w:sz w:val="20"/>
          <w:szCs w:val="20"/>
          <w:color w:val="auto"/>
        </w:rPr>
      </w:pPr>
    </w:p>
    <w:p>
      <w:pPr>
        <w:ind w:left="120" w:right="760" w:firstLine="440"/>
        <w:spacing w:after="0" w:line="281" w:lineRule="auto"/>
        <w:rPr>
          <w:sz w:val="20"/>
          <w:szCs w:val="20"/>
          <w:color w:val="auto"/>
        </w:rPr>
      </w:pPr>
      <w:r>
        <w:rPr>
          <w:rFonts w:ascii="Times New Roman" w:cs="Times New Roman" w:eastAsia="Times New Roman" w:hAnsi="Times New Roman"/>
          <w:sz w:val="18"/>
          <w:szCs w:val="18"/>
          <w:color w:val="auto"/>
        </w:rPr>
        <w:t>Additionally, despite our compliance with the proxy rules or tender offer rules, as applicable, shareholders may not become aware of the opportunity to redeem their shares.</w:t>
      </w:r>
    </w:p>
    <w:p>
      <w:pPr>
        <w:spacing w:after="0" w:line="161" w:lineRule="exact"/>
        <w:rPr>
          <w:sz w:val="20"/>
          <w:szCs w:val="20"/>
          <w:color w:val="auto"/>
        </w:rPr>
      </w:pPr>
    </w:p>
    <w:p>
      <w:pPr>
        <w:jc w:val="both"/>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If we seek shareholder approval of our business combination pursuant to a proxy solicitation (meaning we would not conduct redemptions pursuant to the tender offer rules), and if you or a “group” of shareholders are deemed to hold in excess of 15% of the issued and outstanding public shares sold in this offering, you will lose the ability to redeem all such shares in excess of 15% of the issued and outstanding public shares sold in this offering.</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pursuant to a proxy solicitation (meaning we would not conduct redemptions pursuant to the tender offer rules), our amended and restated memorandum and articles of association will provide that a public shareholder, individually or together with any affiliate of such shareholder or any other person with whom such shareholder is acting in concert or as a “group” (as defined under Section 13 of the Exchange Act), would be restricted from seeking redemption rights with respect to an aggregate of more than 15% of the public shares sold in this offering. Your inability to redeem an aggregate of more than 15% of the public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15% and, in order to dispose of such shares, you would be required to sell your shares in open market transaction, potentially at a loss.</w:t>
      </w:r>
    </w:p>
    <w:p>
      <w:pPr>
        <w:spacing w:after="0" w:line="187"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i w:val="1"/>
          <w:iCs w:val="1"/>
          <w:color w:val="auto"/>
        </w:rPr>
        <w:t>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funds available to us outside of the trust account may not be sufficient to allow us to operate for at least the next 24 months from the closing of this offering, assuming that our initial business combination is not consummated during that time. Of the net proceeds of this offering and the sale of the private investor shares and private placement units, only approximately $1,400,000 (or $1,507,000, if the underwriters exercise the over-allotment option in full), will be available to us initially outside the trust account to fund our working capital requirements.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1"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only receive $10.00 per share (whether or not the underwriters’ over-allotment option is exercised in full) or potentially less than $10.00 per share on our redemption.</w:t>
      </w:r>
    </w:p>
    <w:p>
      <w:pPr>
        <w:spacing w:after="0" w:line="180" w:lineRule="exact"/>
        <w:rPr>
          <w:sz w:val="20"/>
          <w:szCs w:val="20"/>
          <w:color w:val="auto"/>
        </w:rPr>
      </w:pPr>
    </w:p>
    <w:p>
      <w:pPr>
        <w:ind w:left="120" w:right="400"/>
        <w:spacing w:after="0" w:line="283" w:lineRule="auto"/>
        <w:rPr>
          <w:sz w:val="20"/>
          <w:szCs w:val="20"/>
          <w:color w:val="auto"/>
        </w:rPr>
      </w:pPr>
      <w:r>
        <w:rPr>
          <w:rFonts w:ascii="Times New Roman" w:cs="Times New Roman" w:eastAsia="Times New Roman" w:hAnsi="Times New Roman"/>
          <w:sz w:val="18"/>
          <w:szCs w:val="18"/>
          <w:i w:val="1"/>
          <w:iCs w:val="1"/>
          <w:color w:val="auto"/>
        </w:rPr>
        <w:t>We may issue notes or other debt securities, or otherwise incur substantial debt, to complete our initial business combination, which may adversely affect our financial condition and thus negatively impact the value of our shareholders’ investment in us.</w:t>
      </w:r>
    </w:p>
    <w:p>
      <w:pPr>
        <w:spacing w:after="0" w:line="16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Although we have no other commitments as of the date of this prospectus to issue any notes or other debt securities, or to otherwise incur outstanding debt, we may choose to incur substantial debt to complete initial business combination. Furthermore, we may issue a substantial number of additional ordinary or preferred shares to complete our initial business combination or under an employee incentive plan upon or after consummation of our initial business combination. We and our officers and directors have agreed that we will not incur any indebtedness unless we have obtained from the lender a waiver of any right, title, interest or claim of any kind in or to any monies held in the trust account. As such, no issuance of debt will affect the per share amount available for redemption from the trust account. Nevertheless, the incurrence of debt could have a variety of negative effects, including:</w:t>
      </w:r>
    </w:p>
    <w:p>
      <w:pPr>
        <w:spacing w:after="0" w:line="92" w:lineRule="exact"/>
        <w:rPr>
          <w:sz w:val="20"/>
          <w:szCs w:val="20"/>
          <w:color w:val="auto"/>
        </w:rPr>
      </w:pPr>
    </w:p>
    <w:p>
      <w:pPr>
        <w:ind w:left="1100" w:right="440" w:hanging="438"/>
        <w:spacing w:after="0" w:line="281"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68"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100" w:right="100" w:hanging="438"/>
        <w:spacing w:after="0" w:line="281"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ordinary shares;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100" w:right="200" w:hanging="438"/>
        <w:spacing w:after="0" w:line="281"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189" w:lineRule="exact"/>
        <w:rPr>
          <w:rFonts w:ascii="Times New Roman" w:cs="Times New Roman" w:eastAsia="Times New Roman" w:hAnsi="Times New Roman"/>
          <w:sz w:val="18"/>
          <w:szCs w:val="18"/>
          <w:color w:val="auto"/>
        </w:rPr>
      </w:pPr>
    </w:p>
    <w:p>
      <w:pPr>
        <w:ind w:left="1100" w:right="660" w:hanging="438"/>
        <w:spacing w:after="0" w:line="312" w:lineRule="auto"/>
        <w:tabs>
          <w:tab w:leader="none" w:pos="11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37" w:lineRule="exact"/>
        <w:rPr>
          <w:sz w:val="20"/>
          <w:szCs w:val="20"/>
          <w:color w:val="auto"/>
        </w:rPr>
      </w:pPr>
    </w:p>
    <w:p>
      <w:pPr>
        <w:ind w:left="120" w:right="400"/>
        <w:spacing w:after="0" w:line="283" w:lineRule="auto"/>
        <w:rPr>
          <w:sz w:val="20"/>
          <w:szCs w:val="20"/>
          <w:color w:val="auto"/>
        </w:rPr>
      </w:pPr>
      <w:r>
        <w:rPr>
          <w:rFonts w:ascii="Times New Roman" w:cs="Times New Roman" w:eastAsia="Times New Roman" w:hAnsi="Times New Roman"/>
          <w:sz w:val="18"/>
          <w:szCs w:val="18"/>
          <w:i w:val="1"/>
          <w:iCs w:val="1"/>
          <w:color w:val="auto"/>
        </w:rPr>
        <w:t>Our directors may decide not to enforce indemnification obligations against our sponsor, resulting in a reduction in the amount of funds in the trust account available for distribution to our public shareholders.</w:t>
      </w:r>
    </w:p>
    <w:p>
      <w:pPr>
        <w:spacing w:after="0" w:line="161"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$10.00 per share (whether or not the underwriters’ over-allotment option is exercised in full) and our sponsor asserts that it is unable to satisfy obligations or that it has no indemnification obligations related to a particular claim, our independent directors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1"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our independent directors choose not to enforce these indemnification obligations on our behalf, the amount of funds in the trust account available for distribution to our public shareholders may be reduced below $10.00 per share.</w:t>
      </w:r>
    </w:p>
    <w:p>
      <w:pPr>
        <w:spacing w:after="0" w:line="180" w:lineRule="exact"/>
        <w:rPr>
          <w:sz w:val="20"/>
          <w:szCs w:val="20"/>
          <w:color w:val="auto"/>
        </w:rPr>
      </w:pPr>
    </w:p>
    <w:p>
      <w:pPr>
        <w:ind w:left="120" w:right="960"/>
        <w:spacing w:after="0" w:line="314" w:lineRule="auto"/>
        <w:rPr>
          <w:sz w:val="20"/>
          <w:szCs w:val="20"/>
          <w:color w:val="auto"/>
        </w:rPr>
      </w:pPr>
      <w:r>
        <w:rPr>
          <w:rFonts w:ascii="Times New Roman" w:cs="Times New Roman" w:eastAsia="Times New Roman" w:hAnsi="Times New Roman"/>
          <w:sz w:val="17"/>
          <w:szCs w:val="17"/>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38"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82"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6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intend to spend a considerable amount of time actively managing the assets in the trust account for the primary purpose of achieving investment returns. We do not plan to buy businesses or assets with a view to resale or profit from their resale. We do not plan to buy unrelated businesses or assets or to be a passive investor.</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do not believe that our anticipated principal activities will subject us to the Investment Company Act. To this end, the proceeds held in the trust account may only be held as cash, including in demand deposit accounts at a bank, or invested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the implementation by the directors of, following a shareholder vote, an amendment to our amended and restated memorandum and articles of association (A) to modify the substance or timing of our obligation to provide for the redemption of our public shares in connection with an initial business combination or to redeem 100% of our public shares if we have not consummated our initial business combination within 24 months from the closing of this offering or (B) with respect to any other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1"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If we do not invest the proceeds as discussed above, we may be deemed to be subject to the Investment Company Act.</w:t>
      </w:r>
    </w:p>
    <w:p>
      <w:pPr>
        <w:spacing w:after="0" w:line="225" w:lineRule="exact"/>
        <w:rPr>
          <w:sz w:val="20"/>
          <w:szCs w:val="20"/>
          <w:color w:val="auto"/>
        </w:rPr>
      </w:pPr>
    </w:p>
    <w:p>
      <w:pPr>
        <w:jc w:val="both"/>
        <w:ind w:left="120" w:right="220" w:firstLine="440"/>
        <w:spacing w:after="0" w:line="288" w:lineRule="auto"/>
        <w:rPr>
          <w:sz w:val="20"/>
          <w:szCs w:val="20"/>
          <w:color w:val="auto"/>
        </w:rPr>
      </w:pPr>
      <w:r>
        <w:rPr>
          <w:rFonts w:ascii="Times New Roman" w:cs="Times New Roman" w:eastAsia="Times New Roman" w:hAnsi="Times New Roman"/>
          <w:sz w:val="17"/>
          <w:szCs w:val="17"/>
          <w:color w:val="auto"/>
        </w:rPr>
        <w:t>Further, under the subjective test of a “investment company” pursuant to Section 3(a)(1)(A) of the Investment Company Act, even if the funds deposited in the trust account were invested in the assets discussed above, such assets, other than cash, are “securities” for purposes of the Investment Company Act and, therefore, there is a risk that we could be deemed an investment company and subject to the Investment Company Act.</w:t>
      </w:r>
    </w:p>
    <w:p>
      <w:pPr>
        <w:spacing w:after="0" w:line="15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aware of litigation claiming that certain SPACs should be considered to be investment companies. Although we believe that these claims were without merit, we cannot guarantee that we will not be deemed to be an investment company and thus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winding down our operations and our liquidation. If we are unable to complete our initial business combination, our public shareholders may receive only approximately $10.00 per share on the liquidation of our trust account and our public shareholders would also lose the possibility of an investment opportunity in a target company as well as any potential price appreciation in the combined company following a business combination.</w:t>
      </w:r>
    </w:p>
    <w:p>
      <w:pPr>
        <w:spacing w:after="0" w:line="187"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8"/>
          <w:szCs w:val="18"/>
          <w:color w:val="auto"/>
        </w:rPr>
        <w:t>If our circumstances change over time, we will update our disclosure to reflect how such changes impact the risk that we may be considered to be operating as an unregistered investment company.</w:t>
      </w:r>
    </w:p>
    <w:p>
      <w:pPr>
        <w:spacing w:after="0" w:line="16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i w:val="1"/>
          <w:iCs w:val="1"/>
          <w:color w:val="auto"/>
        </w:rPr>
        <w:t>To mitigate the risk that we might be deemed to be an investment company for purposes of the Investment Company Act, we may, at any time, instruct the trustee to liquidate the securities held in the trust account and instead to hold the funds in the trust account in cash until the earlier of the consummation of our initial business combination or our liquidation. As a result, following the liquidation of securities in the trust account, the interest earned on the funds held in the trust account may be materially reduced, which would reduce the dollar amount our public shareholders would receive upon any redemption or liquidation of the company.</w:t>
      </w:r>
    </w:p>
    <w:p>
      <w:pPr>
        <w:spacing w:after="0" w:line="18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intend to initially hold the funds in the trust account as cash, including in demand deposit accounts at a bank, or in U.S. government treasury obligations with a maturity of 185 days or less or in money market funds investing solely in U.S. government treasury obligations and meeting certain conditions under Rule 2a-7 under the Investment Company Act. U.S. government treasury obligations are considered “securities” for purposes of the Investment Company Act, while cash is not. As noted above, one of the factors the SEC identified as relevant to the determination of whether a SPAC which holds securities could potentially be deemed an “investment company” under the Investment Company Act is the SPAC’s duration. To mitigate the risk of us being deemed to be an unregistered investment company (including under the subjective test of Section 3(a)(1)(A) of the Investment Company Act) and thus subject to regulation under the Investment Company Act, we may, at any time, instruct Continental Stock Transfer &amp; Trust Company, the trustee with respect to the trust account, to liquidate the U.S. government treasury obligations or money market funds held in the trust account and thereafter to hold all funds in the trust account in cash until the earlier of consummation of our initial business combination or liquidation of the company. Following such liquidation, the rate of interest we receive on the funds held in the trust account may be materially decreased. However, interest previously earned on the funds held in the trust account still may be released to us for permitted withdrawals and certain other expenses as permitted. As a result, any decision to liquidate the securities held in the trust account and thereafter to hold all funds in the trust account in cash would reduce the dollar amount our public shareholders would receive upon any redemption or liquidation of the company.</w:t>
      </w:r>
    </w:p>
    <w:p>
      <w:pPr>
        <w:spacing w:after="0" w:line="195"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In addition, we may still be deemed to be an investment company. The longer that the funds in the trust account are held in short-term U.S. government treasury obligations or in money market funds invested exclusively in such securities, the greater the risk that we may be deemed to be an unregistered investment company, in which case we may be required to liquidate. If our facts and circumstances change over time, we</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1"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will update our disclosure to reflect how those changes impact the risk that we may be considered to be operating as an unregistered investment company. As disclosed above, we may determine, in our discretion, to liquidate the securities held in the trust account at any time and instead hold all funds in the trust account in an interest bearing demand deposit account or as cash or cash items at a bank, which could further reduce the dollar amount our public shareholders would receive upon any redemption or liquidation of the company as compared to what they would have received had the investments not been so liquidated. Were we to liquidate the company, and our securityholders would lose the investment opportunity associated with an investment in the acquisition target with which we could have consummated an initial business combination. In addition, upon moving the funds from the trust account to a deposit account, we will maintain the cash items in bank accounts which, at times, may exceed federally insured limits as guaranteed by the FDIC. While we intend to place our deposits in high-quality banks, only a small portion of the funds in our trust account will be guaranteed by the FDIC.</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shareholders may be held liable for claims by third parties against us to the extent of distributions received by them.</w:t>
      </w:r>
    </w:p>
    <w:p>
      <w:pPr>
        <w:spacing w:after="0" w:line="22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approximately $18,000 and to imprisonment for five years in the Cayman Islands.</w:t>
      </w:r>
    </w:p>
    <w:p>
      <w:pPr>
        <w:spacing w:after="0" w:line="187" w:lineRule="exact"/>
        <w:rPr>
          <w:sz w:val="20"/>
          <w:szCs w:val="20"/>
          <w:color w:val="auto"/>
        </w:rPr>
      </w:pPr>
    </w:p>
    <w:p>
      <w:pPr>
        <w:ind w:left="120" w:right="860"/>
        <w:spacing w:after="0" w:line="283" w:lineRule="auto"/>
        <w:rPr>
          <w:sz w:val="20"/>
          <w:szCs w:val="20"/>
          <w:color w:val="auto"/>
        </w:rPr>
      </w:pPr>
      <w:r>
        <w:rPr>
          <w:rFonts w:ascii="Times New Roman" w:cs="Times New Roman" w:eastAsia="Times New Roman" w:hAnsi="Times New Roman"/>
          <w:sz w:val="18"/>
          <w:szCs w:val="18"/>
          <w:i w:val="1"/>
          <w:iCs w:val="1"/>
          <w:color w:val="auto"/>
        </w:rPr>
        <w:t>If third parties bring claims against the company, the proceeds held in trust could be reduced and the per-share redemption price received by shareholders may be less than $10.00 per share.</w:t>
      </w:r>
    </w:p>
    <w:p>
      <w:pPr>
        <w:spacing w:after="0" w:line="16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placing of funds in trust may not protect those funds from third party claims against the company. Although the company will seek to have all vendors and service providers the company engages and prospective target businesses the company negotiates with execute agreements with the company waiving any right, title, interest or claim of any kind in or to any monies held in the trust account for the benefit of the company’s public shareholders, they may not execute such agreements. Furthermore, even if such entities execute such agreements with the company, they may seek recourse against the trust account. A court may not uphold the validity of such agreements. Accordingly, the proceeds held in trust could be subject to claims which could take priority over those of the company’s public shareholders. If the company is unable to complete a business combination and distribute the proceeds held in trust to the company’s public shareholders, the sponsor has agreed (subject to certain exceptions described in Exhibit 10.1 to this registration statement)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However, it may not be able to meet such obligation. Therefore, the per-share distribution from the trust account may be less than $10.00, plus interest, due to such claims.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1"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permitted withdrawals,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ind w:left="120" w:right="620"/>
        <w:spacing w:after="0" w:line="283" w:lineRule="auto"/>
        <w:rPr>
          <w:sz w:val="20"/>
          <w:szCs w:val="20"/>
          <w:color w:val="auto"/>
        </w:rPr>
      </w:pPr>
      <w:r>
        <w:rPr>
          <w:rFonts w:ascii="Times New Roman" w:cs="Times New Roman" w:eastAsia="Times New Roman" w:hAnsi="Times New Roman"/>
          <w:sz w:val="18"/>
          <w:szCs w:val="18"/>
          <w:i w:val="1"/>
          <w:iCs w:val="1"/>
          <w:color w:val="auto"/>
        </w:rPr>
        <w:t>Unlike some other similarly structured blank check companies, our sponsor will receive additional Class A ordinary shares if we issue shares to consummate an initial business combination.</w:t>
      </w:r>
    </w:p>
    <w:p>
      <w:pPr>
        <w:spacing w:after="0" w:line="16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founder shares and private investment shares will automatically convert into Class A ordinary shares at the time of our initial business combination (with such conversion taking place immediately prior to, simultaneously with, or immediately following the time of our initial business combination, as may be determined by our directors), or earlier at the option of the holder, on a one-for-one basis, subject to adjustment for share subdivisions, share dividends, reorganizations, recapitalizations and the like and subject to further adjustment as provided herein. In the case that additional Class A ordinary shares or equity-linked securities convertible or exercisable for Class A ordinary shares are issued or deemed issued in excess of the amounts sold in this offering and related to the closing of the initial business combination, the ratio at which founder shares and private investment shares will convert into Class A ordinary shares will be adjusted so that the number of Class A ordinary shares issuable upon conversion of all founder shares and private investment shares will equal, in the aggregate, on an as-converted basis, 30% of (i) the total number of all ordinary shares outstanding upon the completion of this offering (including any Class A ordinary shares issued pursuant to the underwriters’ over-allotment option and excluding the Class A ordinary shares underlying the private placement units issued to the sponsor and the non-managing investors),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units and their underlying securities issued to our sponsor or any of its affiliates or to our officers or directors upon conversion of working capital loans); provided that such conversion of founder shares will never occur on a less than one-for-one basis.</w:t>
      </w:r>
    </w:p>
    <w:p>
      <w:pPr>
        <w:spacing w:after="0" w:line="192" w:lineRule="exact"/>
        <w:rPr>
          <w:sz w:val="20"/>
          <w:szCs w:val="20"/>
          <w:color w:val="auto"/>
        </w:rPr>
      </w:pPr>
    </w:p>
    <w:p>
      <w:pPr>
        <w:ind w:left="120" w:right="360"/>
        <w:spacing w:after="0" w:line="283" w:lineRule="auto"/>
        <w:rPr>
          <w:sz w:val="20"/>
          <w:szCs w:val="20"/>
          <w:color w:val="auto"/>
        </w:rPr>
      </w:pPr>
      <w:r>
        <w:rPr>
          <w:rFonts w:ascii="Times New Roman" w:cs="Times New Roman" w:eastAsia="Times New Roman" w:hAnsi="Times New Roman"/>
          <w:sz w:val="18"/>
          <w:szCs w:val="18"/>
          <w:i w:val="1"/>
          <w:iCs w:val="1"/>
          <w:color w:val="auto"/>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81"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agreements to be entered into on the date of this prospectus, our insiders, non-managing investors and their respective permitted transferees, can demand that we register for resale an aggregate of 7,850,229 founder shares (assuming the exercise in full of the over-allotment option by the underwriters), 2,964,203 private investor shares (assuming the exercise in full of the over-allotment option by the underwriters), 357,657 private placement shares (assuming the exercise in full of the over-allotment option by the underwriters), 35,765 shares issued upon the conversion of the private placement rights upon the consummation of our initial business combination (assuming the exercise in full of the over-allotment option by the underwriters) and underlying securities and securities issued upon conversion of working capital loans, if any. We will bear the cost of registering these securities. The registration and availability of such a significant number of securities for trading in the public market may have an adverse effect on the market price of our public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public shares that is expected when the securities owned by our initial shareholders or their respective permitted transferees, are registered.</w:t>
      </w:r>
    </w:p>
    <w:p>
      <w:pPr>
        <w:spacing w:after="0" w:line="187" w:lineRule="exact"/>
        <w:rPr>
          <w:sz w:val="20"/>
          <w:szCs w:val="20"/>
          <w:color w:val="auto"/>
        </w:rPr>
      </w:pPr>
    </w:p>
    <w:p>
      <w:pPr>
        <w:ind w:left="120" w:right="160"/>
        <w:spacing w:after="0" w:line="283" w:lineRule="auto"/>
        <w:rPr>
          <w:sz w:val="20"/>
          <w:szCs w:val="20"/>
          <w:color w:val="auto"/>
        </w:rPr>
      </w:pPr>
      <w:r>
        <w:rPr>
          <w:rFonts w:ascii="Times New Roman" w:cs="Times New Roman" w:eastAsia="Times New Roman" w:hAnsi="Times New Roman"/>
          <w:sz w:val="18"/>
          <w:szCs w:val="18"/>
          <w:i w:val="1"/>
          <w:iCs w:val="1"/>
          <w:color w:val="auto"/>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p>
    <w:p>
      <w:pPr>
        <w:spacing w:after="0" w:line="161" w:lineRule="exact"/>
        <w:rPr>
          <w:sz w:val="20"/>
          <w:szCs w:val="20"/>
          <w:color w:val="auto"/>
        </w:rPr>
      </w:pPr>
    </w:p>
    <w:p>
      <w:pPr>
        <w:jc w:val="both"/>
        <w:ind w:left="120" w:right="200" w:firstLine="440"/>
        <w:spacing w:after="0" w:line="269" w:lineRule="auto"/>
        <w:rPr>
          <w:sz w:val="20"/>
          <w:szCs w:val="20"/>
          <w:color w:val="auto"/>
        </w:rPr>
      </w:pPr>
      <w:r>
        <w:rPr>
          <w:rFonts w:ascii="Times New Roman" w:cs="Times New Roman" w:eastAsia="Times New Roman" w:hAnsi="Times New Roman"/>
          <w:sz w:val="17"/>
          <w:szCs w:val="17"/>
          <w:color w:val="auto"/>
        </w:rPr>
        <w:t>Although we intend to focus on A&amp;D, cybersecurity, encryption and quantum technologies, satellite and drone technologies for commercial and defense applications, and semiconductor “system on a chip” (SOC) industry, we may pursue acquisition opportunities in any geographic region and in any business industry or sector. Except for the limitations that a target business has a fair market value of at least 80% of the value of the trust account (less permitted withdrawals) and that we are not permitted to effectuate our initial business combination with another blank check company or similar company with nominal operations, we will have virtually unrestricted flexibility in identifying and selecting a prospective acquisition candidate.</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Furthermore, some of these risks may be outside of our control and leave us with no ability to control or reduce the chances that those risks will adversely impact a target business. An investment in our public units may not ultimately prove to be more favorable to investors than a direct investment, if such opportunity were available, in an acquisition target.</w:t>
      </w:r>
    </w:p>
    <w:p>
      <w:pPr>
        <w:spacing w:after="0" w:line="189"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requirement that the acquisition target(s) that we acquire must collectively have a fair market value equal to at least 80% of the balance of the funds in the trust account (less any taxes payable on interest earned) at the time of the execution of a definitive agreement for our initial business combination may limit the type and number of companies with which we may complete such a business combination.</w:t>
      </w:r>
    </w:p>
    <w:p>
      <w:pPr>
        <w:spacing w:after="0" w:line="17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Pursuant to the Nasdaq listing rules, the target business or businesses that we acquire must collectively have a fair market value equal to at least 80% of the balance of the funds in the trust account (less any taxes payable on interest earned) at the time of the execution of a definitive agreement for our initial business combination. This restriction may limit the type and number of companies with which we may complete an initial business combination. If we are unable to locate a target business or businesses that satisfy this fair market value test, we may be forced to liquidate and you will only be entitled to receive your pro rata portion of the funds in the trust account. The Nasdaq listing rules require that such initial business combination must be approved by a majority of the company’s independent directors.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1"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jc w:val="both"/>
        <w:ind w:left="120" w:right="460"/>
        <w:spacing w:after="0" w:line="267" w:lineRule="auto"/>
        <w:rPr>
          <w:sz w:val="20"/>
          <w:szCs w:val="20"/>
          <w:color w:val="auto"/>
        </w:rPr>
      </w:pPr>
      <w:r>
        <w:rPr>
          <w:rFonts w:ascii="Times New Roman" w:cs="Times New Roman" w:eastAsia="Times New Roman" w:hAnsi="Times New Roman"/>
          <w:sz w:val="18"/>
          <w:szCs w:val="18"/>
          <w:i w:val="1"/>
          <w:iCs w:val="1"/>
          <w:color w:val="auto"/>
        </w:rPr>
        <w:t>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will consider a business combination outside the A&amp;D, cybersecurity, encryption and quantum technologies, satellite and drone technologies for commercial and defense applications, and semiconductor “system on a chip” (SOC) industry, which may be outside of our management’s areas of expertise, if a business combination candidate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ordinary shares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shareholder who chooses to remain a shareholder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7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the Nasdaq rules,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$10.00 per share (whether or not the underwriters’ over- allotment option is exercised in full) or potentially less than $10.00 per share on our redemption.</w:t>
      </w:r>
    </w:p>
    <w:p>
      <w:pPr>
        <w:spacing w:after="0" w:line="189" w:lineRule="exact"/>
        <w:rPr>
          <w:sz w:val="20"/>
          <w:szCs w:val="20"/>
          <w:color w:val="auto"/>
        </w:rPr>
      </w:pPr>
    </w:p>
    <w:p>
      <w:pPr>
        <w:ind w:left="120" w:right="580"/>
        <w:spacing w:after="0" w:line="283" w:lineRule="auto"/>
        <w:rPr>
          <w:sz w:val="20"/>
          <w:szCs w:val="20"/>
          <w:color w:val="auto"/>
        </w:rPr>
      </w:pPr>
      <w:r>
        <w:rPr>
          <w:rFonts w:ascii="Times New Roman" w:cs="Times New Roman" w:eastAsia="Times New Roman" w:hAnsi="Times New Roman"/>
          <w:sz w:val="18"/>
          <w:szCs w:val="18"/>
          <w:i w:val="1"/>
          <w:iCs w:val="1"/>
          <w:color w:val="auto"/>
        </w:rPr>
        <w:t>We may seek acquisition opportunities with an early-stage company, a financially unstable business or an entity lacking an established record of revenue or earnings.</w:t>
      </w:r>
    </w:p>
    <w:p>
      <w:pPr>
        <w:spacing w:after="0" w:line="161"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To the extent we complete our initial business combination with an early-stage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executive officers and directors.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81"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8"/>
          <w:szCs w:val="18"/>
          <w:color w:val="auto"/>
        </w:rPr>
        <w:t>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75" w:lineRule="exact"/>
        <w:rPr>
          <w:sz w:val="20"/>
          <w:szCs w:val="20"/>
          <w:color w:val="auto"/>
        </w:rPr>
      </w:pPr>
    </w:p>
    <w:p>
      <w:pPr>
        <w:ind w:left="120" w:right="80"/>
        <w:spacing w:after="0" w:line="283" w:lineRule="auto"/>
        <w:rPr>
          <w:sz w:val="20"/>
          <w:szCs w:val="20"/>
          <w:color w:val="auto"/>
        </w:rPr>
      </w:pPr>
      <w:r>
        <w:rPr>
          <w:rFonts w:ascii="Times New Roman" w:cs="Times New Roman" w:eastAsia="Times New Roman" w:hAnsi="Times New Roman"/>
          <w:sz w:val="18"/>
          <w:szCs w:val="18"/>
          <w:i w:val="1"/>
          <w:iCs w:val="1"/>
          <w:color w:val="auto"/>
        </w:rPr>
        <w:t>We are not required to obtain an opinion from an independent investment banking firm or another independent entity, and consequently, an independent source may not confirm that the price we are paying for the business is fair to our shareholders from a financial point of view.</w:t>
      </w:r>
    </w:p>
    <w:p>
      <w:pPr>
        <w:spacing w:after="0" w:line="16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Unless we consummate our initial business combination with an affiliated entity, we are not required to obtain an opinion from an independent investment banking firm or another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Our board of directors will have significant discretion in choosing the standard used to establish the fair market value of the target acquisition. Such standards used will be disclosed in our tender offer documents or proxy solicitation materials, as applicable, related to our initial business combination.</w:t>
      </w:r>
    </w:p>
    <w:p>
      <w:pPr>
        <w:spacing w:after="0" w:line="184" w:lineRule="exact"/>
        <w:rPr>
          <w:sz w:val="20"/>
          <w:szCs w:val="20"/>
          <w:color w:val="auto"/>
        </w:rPr>
      </w:pPr>
    </w:p>
    <w:p>
      <w:pPr>
        <w:ind w:left="120" w:right="240"/>
        <w:spacing w:after="0" w:line="283" w:lineRule="auto"/>
        <w:rPr>
          <w:sz w:val="20"/>
          <w:szCs w:val="20"/>
          <w:color w:val="auto"/>
        </w:rPr>
      </w:pPr>
      <w:r>
        <w:rPr>
          <w:rFonts w:ascii="Times New Roman" w:cs="Times New Roman" w:eastAsia="Times New Roman" w:hAnsi="Times New Roman"/>
          <w:sz w:val="18"/>
          <w:szCs w:val="18"/>
          <w:i w:val="1"/>
          <w:iCs w:val="1"/>
          <w:color w:val="auto"/>
        </w:rPr>
        <w:t>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authorize the issuance of up to 200,000,000 Class A ordinary shares, par value $0.0001 per share, 20,000,000 Class B ordinary shares, par value $0.0001 per share, and 1,000,000 preferred shares, par value $0.0001 per share. Immediately after this offering, there will be 177,662,325 authorized but unissued Class A ordinary shares and 10,596,192 authorized but unissued Class B ordinary shares (assuming that the underwriters have not exercised their over-allotment option and 1,410,624 Class B ordinary shares have been forfeited, as further described in this prospectus) available for issuance which amount does not take into account shares issuable upon conversion of the Class B ordinary shares, if any. The Class B ordinary shares are automatically convertible into Class A ordinary shares at the time of our initial business combination or earlier at the option of the holder on a one-for-one basis, subject to adjustment pursuant to certain anti-dilution rights, as described herein and in our amended and restated memorandum and articles of association. Immediately after this offering, there will be no preferred shares issued and outstanding.</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post-business combination company may issue a substantial number of additional Class A ordinary shares or preferred shares to complete its initial business combination or under an employee incentive plan after completion of an initial business combination. The post-business combination company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94" w:lineRule="exact"/>
        <w:rPr>
          <w:sz w:val="20"/>
          <w:szCs w:val="20"/>
          <w:color w:val="auto"/>
        </w:rPr>
      </w:pPr>
    </w:p>
    <w:p>
      <w:pPr>
        <w:ind w:left="1100" w:right="140" w:hanging="438"/>
        <w:spacing w:after="0" w:line="265"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1"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520" w:hanging="438"/>
        <w:spacing w:after="0" w:line="281"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preferred shares are issued with rights senior to those afforded to Class A ordinary shares;</w:t>
      </w:r>
    </w:p>
    <w:p>
      <w:pPr>
        <w:spacing w:after="0" w:line="68" w:lineRule="exact"/>
        <w:rPr>
          <w:rFonts w:ascii="Times New Roman" w:cs="Times New Roman" w:eastAsia="Times New Roman" w:hAnsi="Times New Roman"/>
          <w:sz w:val="18"/>
          <w:szCs w:val="18"/>
          <w:color w:val="auto"/>
        </w:rPr>
      </w:pPr>
    </w:p>
    <w:p>
      <w:pPr>
        <w:ind w:left="1100" w:right="240" w:hanging="438"/>
        <w:spacing w:after="0" w:line="265"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Class A ordinary shares are issued, which may affect, among other things, the post-business combination company’s ability to use its net operating loss carry forwards, if any, and could result in the resignation or removal of the post-business combination company’s officers and directors;</w:t>
      </w:r>
    </w:p>
    <w:p>
      <w:pPr>
        <w:spacing w:after="0" w:line="82" w:lineRule="exact"/>
        <w:rPr>
          <w:rFonts w:ascii="Times New Roman" w:cs="Times New Roman" w:eastAsia="Times New Roman" w:hAnsi="Times New Roman"/>
          <w:sz w:val="18"/>
          <w:szCs w:val="18"/>
          <w:color w:val="auto"/>
        </w:rPr>
      </w:pPr>
    </w:p>
    <w:p>
      <w:pPr>
        <w:ind w:left="1100" w:right="660" w:hanging="438"/>
        <w:spacing w:after="0" w:line="281"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the post-business combination company by diluting the share ownership or voting rights of a person seeking to obtain control of the post-business combination company; and</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public shares.</w:t>
      </w:r>
    </w:p>
    <w:p>
      <w:pPr>
        <w:spacing w:after="0" w:line="11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more information on additional financing that we may raise in connection with our business combination and risks related thereto, </w:t>
      </w:r>
      <w:r>
        <w:rPr>
          <w:rFonts w:ascii="Times New Roman" w:cs="Times New Roman" w:eastAsia="Times New Roman" w:hAnsi="Times New Roman"/>
          <w:sz w:val="18"/>
          <w:szCs w:val="18"/>
          <w:b w:val="1"/>
          <w:bCs w:val="1"/>
          <w:color w:val="auto"/>
        </w:rPr>
        <w:t>also 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b w:val="1"/>
          <w:bCs w:val="1"/>
          <w:i w:val="1"/>
          <w:iCs w:val="1"/>
          <w:color w:val="auto"/>
        </w:rPr>
        <w:t>— Risks Relating to the Post-Business Combination Company —The post-business combination company may issue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investors in connection with our initial business combination at a price which is less than $10.00 or the prevailing market price of our shares at that time, which could dilute the interests of our existing shareholders and add costs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i w:val="1"/>
          <w:iCs w:val="1"/>
          <w:color w:val="auto"/>
        </w:rPr>
        <w:t>Risk Factors — Risks Relating to our Search for, and Consummation of or Inability to Consummate, a Business Combination — We may issue notes or other debt securities, or otherwise incur substantial debt, to complete our initial business combination, which may adversely affect our financial condition and thus negatively impact the value of our shareholders’ investment in us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Resources could be wasted in researching acquisitions that are not consummated,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17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$10.00 per share (whether or not the underwriters’ over-allotment option is exercised in full) or potentially less than $10.00 per share on our redemption, and our warrants will expire worthless.</w:t>
      </w:r>
    </w:p>
    <w:p>
      <w:pPr>
        <w:spacing w:after="0" w:line="187" w:lineRule="exact"/>
        <w:rPr>
          <w:sz w:val="20"/>
          <w:szCs w:val="20"/>
          <w:color w:val="auto"/>
        </w:rPr>
      </w:pPr>
    </w:p>
    <w:p>
      <w:pPr>
        <w:ind w:left="120" w:right="220"/>
        <w:spacing w:after="0" w:line="283" w:lineRule="auto"/>
        <w:rPr>
          <w:sz w:val="20"/>
          <w:szCs w:val="20"/>
          <w:color w:val="auto"/>
        </w:rPr>
      </w:pPr>
      <w:r>
        <w:rPr>
          <w:rFonts w:ascii="Times New Roman" w:cs="Times New Roman" w:eastAsia="Times New Roman" w:hAnsi="Times New Roman"/>
          <w:sz w:val="18"/>
          <w:szCs w:val="18"/>
          <w:i w:val="1"/>
          <w:iCs w:val="1"/>
          <w:color w:val="auto"/>
        </w:rPr>
        <w:t>We may engage in our initial business combination with one or more target businesses that have relationships with entities that may be affiliated with our sponsor, executive officers or directors, which may raise potential conflicts of interest.</w:t>
      </w:r>
    </w:p>
    <w:p>
      <w:pPr>
        <w:spacing w:after="0" w:line="16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light of the involvement of our sponsor, executive officers, directors, and each of their affiliates, with other entities, we may decide to acquire one or more businesses affiliated with our sponsor, executive officers or directors, or any of their affiliates. Our directors also serve as executive officers and board members for other entities. Our sponsor, executive officers and directors are not currently aware of any specific opportunities for us to consummate our initial business combination with any entities with which they are affiliated, and there have been no discussions concerning a business combination with any such entity or entities. Although we will not be specifically focusing</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81"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or targeting, any transaction with any affiliated entities, we would pursue such a transaction if we determined that such affiliated entity met our criteria for our initial business combination as set forth in “</w:t>
      </w:r>
      <w:r>
        <w:rPr>
          <w:rFonts w:ascii="Times New Roman" w:cs="Times New Roman" w:eastAsia="Times New Roman" w:hAnsi="Times New Roman"/>
          <w:sz w:val="18"/>
          <w:szCs w:val="18"/>
          <w:i w:val="1"/>
          <w:iCs w:val="1"/>
          <w:color w:val="auto"/>
        </w:rPr>
        <w:t>Proposed Business—Initial Business Combination—Selection of a Target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Structuring of a Business Combination</w:t>
      </w:r>
      <w:r>
        <w:rPr>
          <w:rFonts w:ascii="Times New Roman" w:cs="Times New Roman" w:eastAsia="Times New Roman" w:hAnsi="Times New Roman"/>
          <w:sz w:val="18"/>
          <w:szCs w:val="18"/>
          <w:color w:val="auto"/>
        </w:rPr>
        <w:t>” and such transaction was approved by a majority of our disinterested directors. Despite our agreement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opinion from an independent investment banking firm or another independent entity regarding the fairness to our shareholders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shareholders as they would be absent any conflicts of interest. Our directors have a fiduciary duty to act in the best interests of our shareholders, whether or not a conflict of interest may exist.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Securities — Certain Differences in Corporate Law — Shareholders’ Suits</w:t>
      </w:r>
      <w:r>
        <w:rPr>
          <w:rFonts w:ascii="Times New Roman" w:cs="Times New Roman" w:eastAsia="Times New Roman" w:hAnsi="Times New Roman"/>
          <w:sz w:val="18"/>
          <w:szCs w:val="18"/>
          <w:color w:val="auto"/>
        </w:rPr>
        <w:t>” for further information on the ability to bring such claims. However,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not ultimately be successful in any claim we may make against them for such reason.</w:t>
      </w:r>
    </w:p>
    <w:p>
      <w:pPr>
        <w:spacing w:after="0" w:line="18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Since our sponsor, officers and directors, any other holder of our founder shares, private investor shares and private placement units, including the non-managing investors, will lose their entire investment in us if our initial business combination is not consummated (other than with respect to public shares they may acquire during or after this offering), and our executive officers and directors have significant financial interests in our sponsor, a conflict of interest may arise in determining whether a particular acquisition target is appropriate for our initial business combination.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Harneys Fiduciary to our sponsor and 8,099,613 Class B ordinary shares were issued to our sponsor for an aggregate purchase price of $25,000. On July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 2025, our sponsor surrendered 249,385 Class B ordinary shares to us (which were cancelled) for no consideration, with the resulting 7,850,229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of which up to 1,023,943 Class B ordinary shares remain subject to forfeiture depending on the extent to which the underwriters’ over-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allotment option is exercised during this offering. Our sponsor is selling 375,397 founder shares in the aggregate to Messrs. Greene, Machuca, Timm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Horowitz at an aggregate price of $9,244, thus reducing the price paid by our sponsor for the 7,474,832 founder shares which it is retaining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$15,756, or $0.002108 per share. Up to 1,023,943 founder shares held by our insiders will remain subject to forfeiture on a pro rata basis depending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extent to which the underwriters’ over-allotment option is exercised during this offering. The number of founder shares to be held after this offering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determined based on the expectation that the founder shares together with the private investor shares held by non-managing investors would represent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30.7% of the issued and outstanding ordinary shares upon the completion of this offering. The founder shares and the private investor shares will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worthless if we do not complete an initial business combination. Drs. Katz and Dinu, who are husband and wife, have a financial interest in an affiliate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our sponsor, the management company known as GigManagement, LLC, that is providing us with office space and general and administrative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services. Drs. Katz and Dinu are also managing members of GigManagement, LLC. See “—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personal and financial interests of our sponsor, as well as our executive officers and directors with a significant financial interest in our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influence their motivation in identifying and selecting a target business combination, completing an initial business combination and influencing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operation of the business following the initial business combination. This risk may become more acute as the end of the completion window nears,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is the deadline for our completion of an initial business combination.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1"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p>
    <w:p>
      <w:pPr>
        <w:spacing w:after="0" w:line="174" w:lineRule="exact"/>
        <w:rPr>
          <w:sz w:val="20"/>
          <w:szCs w:val="20"/>
          <w:color w:val="auto"/>
        </w:rPr>
      </w:pPr>
    </w:p>
    <w:p>
      <w:pPr>
        <w:ind w:left="120" w:right="460" w:firstLine="440"/>
        <w:spacing w:after="0" w:line="281" w:lineRule="auto"/>
        <w:rPr>
          <w:sz w:val="20"/>
          <w:szCs w:val="20"/>
          <w:color w:val="auto"/>
        </w:rPr>
      </w:pPr>
      <w:r>
        <w:rPr>
          <w:rFonts w:ascii="Times New Roman" w:cs="Times New Roman" w:eastAsia="Times New Roman" w:hAnsi="Times New Roman"/>
          <w:sz w:val="18"/>
          <w:szCs w:val="18"/>
          <w:color w:val="auto"/>
        </w:rPr>
        <w:t>The gross proceeds after this offering, the sale of private investor shares and private placement units that we may use to complete our initial business combination will provide us with $220,000,000 (or $253,000,000 if the underwriters’ over-allotment option is exercised in full).</w:t>
      </w:r>
    </w:p>
    <w:p>
      <w:pPr>
        <w:spacing w:after="0" w:line="16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95" w:lineRule="exact"/>
        <w:rPr>
          <w:sz w:val="20"/>
          <w:szCs w:val="20"/>
          <w:color w:val="auto"/>
        </w:rPr>
      </w:pPr>
    </w:p>
    <w:p>
      <w:pPr>
        <w:ind w:left="1100" w:hanging="438"/>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dependent upon the performance of a single business, property or asset,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dependent upon the development or market acceptance of a single or limited number of products, processes or services.</w:t>
      </w:r>
    </w:p>
    <w:p>
      <w:pPr>
        <w:spacing w:after="0" w:line="117"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1" w:lineRule="exact"/>
        <w:rPr>
          <w:sz w:val="20"/>
          <w:szCs w:val="20"/>
          <w:color w:val="auto"/>
        </w:rPr>
      </w:pPr>
    </w:p>
    <w:p>
      <w:pPr>
        <w:ind w:left="120" w:right="200"/>
        <w:spacing w:after="0" w:line="283" w:lineRule="auto"/>
        <w:rPr>
          <w:sz w:val="20"/>
          <w:szCs w:val="20"/>
          <w:color w:val="auto"/>
        </w:rPr>
      </w:pPr>
      <w:r>
        <w:rPr>
          <w:rFonts w:ascii="Times New Roman" w:cs="Times New Roman" w:eastAsia="Times New Roman" w:hAnsi="Times New Roman"/>
          <w:sz w:val="18"/>
          <w:szCs w:val="18"/>
          <w:i w:val="1"/>
          <w:i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6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4"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We may attempt to consummate our initial business combination with a private company about which little information is available, which may result in our initial business combination with a company that is not as profitable as we suspected, or at all.</w:t>
      </w:r>
    </w:p>
    <w:p>
      <w:pPr>
        <w:spacing w:after="0" w:line="16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or at all.</w:t>
      </w:r>
    </w:p>
    <w:p>
      <w:pPr>
        <w:spacing w:after="0" w:line="180"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Unlike some blank check companies, we do not have a specified maximum redemption threshold. The absence of such a redemption threshold may make it easier for us to consummate our initial business combination with which a substantial majority of our shareholders do not agree.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81"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we have no specified percentage threshold for redemption contained in our amended and restated memorandum and articles of association, our structure is different in this respect from the structure that has been used by many blank check companies. Historically, blank check companies would not be able to consummate an initial business combination if the holders of such company’s public shares voted against a proposed business combination and elected to redeem more than a specified maximum percentage of the shares sold in such company’s IPO, which percentage threshold was typically between 19.99% and 39.99%. As a result, many blank check companies were unable to complete a business combination because the amount of shares voted by their public shareholders electing redemption exceeded the maximum redemption threshold pursuant to which such company could proceed with its initial business combination. As a result, we may be able to consummate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business combination pursuant to the tender offer, have entered into privately negotiated agreements to sell their shares to us or our sponsor, executive officers, directors, or their affiliates. If too many public shareholders exercise their redemption rights so that we cannot satisfy any net worth or cash requirements, we would not proceed with the redemption of our public shares and the related business combination, and instead may search for an alternate business combination.</w:t>
      </w:r>
    </w:p>
    <w:p>
      <w:pPr>
        <w:spacing w:after="0" w:line="184"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i w:val="1"/>
          <w:iCs w:val="1"/>
          <w:color w:val="auto"/>
        </w:rPr>
        <w:t>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a majority of our issued and outstanding shares.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65" w:lineRule="exact"/>
        <w:rPr>
          <w:sz w:val="20"/>
          <w:szCs w:val="20"/>
          <w:color w:val="auto"/>
        </w:rPr>
      </w:pPr>
    </w:p>
    <w:p>
      <w:pPr>
        <w:ind w:left="120" w:right="60" w:firstLine="440"/>
        <w:spacing w:after="0" w:line="251" w:lineRule="auto"/>
        <w:rPr>
          <w:sz w:val="20"/>
          <w:szCs w:val="20"/>
          <w:color w:val="auto"/>
        </w:rPr>
      </w:pPr>
      <w:r>
        <w:rPr>
          <w:rFonts w:ascii="Times New Roman" w:cs="Times New Roman" w:eastAsia="Times New Roman" w:hAnsi="Times New Roman"/>
          <w:sz w:val="18"/>
          <w:szCs w:val="18"/>
          <w:color w:val="auto"/>
        </w:rPr>
        <w:t xml:space="preserve">Our amended and restated memorandum and articles of association will provide that any of its provisions related to pre-business combination activity (including the requirement to deposit proceeds of this offering and the sale of the private investor shares and private placement units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which are represented in person or by proxy and are voted at a general meeting;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provisions of our amended and restated memorandum and articles of association governing the appointment of directors prior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1"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an amendment to any such provision is approved by the requisite shareholder vote, then the corresponding provisions of the trust agreement governing the release of funds from our trust account may be amended. Subsequent to this offering and prior to the consummation of our initial business combination, we may not issue additional securities that can vote on amendments to our amended and restated memorandum and articles of association. Our sponsor, executive officers and directors (and their permitted transferees) will collectively beneficially own approximately 21.8% of our outstanding ordinary shares upon the closing of this offering (assuming they do not purchase any public units in this offering and that the underwriters do not exercise their over-allotment option), and they may participate in any vote to amend our amended and restated memorandum and articles of association and/or trust agreement and will have the discretion to vote in any manner they choose;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each of them has agreed (and any of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w:t>
      </w:r>
    </w:p>
    <w:p>
      <w:pPr>
        <w:spacing w:after="0" w:line="19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$10.00 per share (whether or not the underwriters’ over-allotment option is exercised in full) or potentially less than $10.00 per share on our redemption.</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and the sale of the founder shares, including the interest earned on the proceeds held in the trust account that may be available to us for our initial business combination, will be sufficient to allow us to consummate our initial business combination, because we have not yet identified any prospective target business we cannot ascertain the capital requirements for any particular transaction. If the net proceeds of this offering and the sale of the private investor shares and private placement units prove to be insufficient, either because of the size of our initial business combination, the depletion of the available net proceeds in search of a target business, the obligation to repurchase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shareholders may only receive $10.00 per share (whether or not the underwriters’ over-allotment option is exercised in full) or potentially less than $10.00 per share on our redemption.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initial shareholders will control a substantial interest in us and thus may influence certain actions requiring a shareholder vote.</w:t>
      </w:r>
    </w:p>
    <w:p>
      <w:pPr>
        <w:spacing w:after="0" w:line="22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Upon consummation of our offering, our initial shareholders will own approximately 30.7% of the issued and outstanding shares (assuming that they do not purchase any public units in this offering and that the</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1"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underwriters do not exercise their over-allotment option). None of our sponsor, executive officers, directors, or any of their affiliates has indicated any intention to purchase public units in this offering or any public units or public shares from persons on the open market or in private transactions. Similarly, 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our sponsor, executive officers, directors, or any of their affiliates could determine in the future to make additional purchases on the open market or in private transactions, to the extent permitted by law, in order to influence the vote or magnitude of the number of shareholders seeking to tender their shares to us. Factors that would be considered in making such additional purchases would include consideration of the current trading price of our public shares. Accordingly, the initial shareholders may exert a substantial influence on actions requiring a shareholder vote, potentially in a manner that you do not support, including amendments to our amended and restated memorandum and articles of association.</w:t>
      </w:r>
    </w:p>
    <w:p>
      <w:pPr>
        <w:spacing w:after="0" w:line="18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our initial shareholders purchase any public shares in this offering or if our initial shareholders purchase any additional public shares in the aftermarket or in privately negotiated transactions, this would increase their control. Accordingly, our initial shareholders will continue to exert control at least until the completion of our initial business combination. In addition, we have agreed not to enter into a definitive agreement regarding an initial business combination without the prior consent of our sponsor. In connection with any vote for a proposed business combination our sponsor, executive officers and directors have agreed to vote all their shares held by them immediately before this offering, as well as any public shares acquired in this offering or in the aftermarket in favor of such proposed business combination.</w:t>
      </w:r>
    </w:p>
    <w:p>
      <w:pPr>
        <w:spacing w:after="0" w:line="184" w:lineRule="exact"/>
        <w:rPr>
          <w:sz w:val="20"/>
          <w:szCs w:val="20"/>
          <w:color w:val="auto"/>
        </w:rPr>
      </w:pPr>
    </w:p>
    <w:p>
      <w:pPr>
        <w:ind w:left="120" w:right="360"/>
        <w:spacing w:after="0" w:line="283" w:lineRule="auto"/>
        <w:rPr>
          <w:sz w:val="20"/>
          <w:szCs w:val="20"/>
          <w:color w:val="auto"/>
        </w:rPr>
      </w:pPr>
      <w:r>
        <w:rPr>
          <w:rFonts w:ascii="Times New Roman" w:cs="Times New Roman" w:eastAsia="Times New Roman" w:hAnsi="Times New Roman"/>
          <w:sz w:val="18"/>
          <w:szCs w:val="18"/>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61"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The United States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must be prepared in accordance with, or be reconciled to, United States generally accepted accounting principles (“GAAP”), or International Financial Reporting Standards (“IFRS”) as issued by the International Accounting Standards Board, and the historical financial statements must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consummate our initial business combination within our 24-month time frame.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1"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Redeeming shareholders may be unable to sell their securities when they wish to in the event that the proposed business combination is not approved.</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require public shareholders who wish to redeem their public shares in connection with any proposed business combination to comply with the delivery requirements discussed above for redemption. If such proposed business combination is not consummated, we will promptly return such certificates to the tendering public shareholders. Accordingly, investors who attempted to redeem their shares in such a circumstance will be unable to sell their securities after the failed acquisition until we have returned their securities to them. The market price for our public shares may decline during this time and you may not be able to sell your securities when you wish to, even while other shareholders that did not seek redemption may be able to sell their securities.</w:t>
      </w:r>
    </w:p>
    <w:p>
      <w:pPr>
        <w:spacing w:after="0" w:line="184" w:lineRule="exact"/>
        <w:rPr>
          <w:sz w:val="20"/>
          <w:szCs w:val="20"/>
          <w:color w:val="auto"/>
        </w:rPr>
      </w:pPr>
    </w:p>
    <w:p>
      <w:pPr>
        <w:jc w:val="both"/>
        <w:ind w:left="120" w:right="700"/>
        <w:spacing w:after="0" w:line="289" w:lineRule="auto"/>
        <w:rPr>
          <w:sz w:val="20"/>
          <w:szCs w:val="20"/>
          <w:color w:val="auto"/>
        </w:rPr>
      </w:pPr>
      <w:r>
        <w:rPr>
          <w:rFonts w:ascii="Times New Roman" w:cs="Times New Roman" w:eastAsia="Times New Roman" w:hAnsi="Times New Roman"/>
          <w:sz w:val="17"/>
          <w:szCs w:val="17"/>
          <w:i w:val="1"/>
          <w:iCs w:val="1"/>
          <w:color w:val="auto"/>
        </w:rPr>
        <w:t>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Like most special purpose acquisition companies, our structure may not fully align the economic interests of our sponsor and those persons,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certain of our officers and directors, who have interests in our sponsor with the economic interests of our public shareholders. Upon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of this offering, assuming no exercise of the underwriters’ over-allotment option and the forfeiture of 1,023,943 founder shares, our insiders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invested in us an aggregate of $952,000 comprised of the $15,756 purchase price paid by the sponsor for 7,474,832 founder shares (after giving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 to the sales of shares to the four directors), the $9,244 purchase price paid by the four directors for the aggregate of 375,397 founder shares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$927,000 purchase price for the 95,200 private placement units which our insiders will hold. Assuming a trading price of $10.00 per share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consummation of our initial business combination, the 6,826,286 founder shares held by the insiders would have an aggregate implied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$68,262,860, and the 95,200 private placement shares that would be held by the insiders would have an aggregate implied value of $952,000, for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aggregated implied value of all such shares held by our insiders of $69,214,860. Even if the trading price of our public shares was as low as $0.0037 per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the value of the founder shares would be equal to the insiders’ aggregate investment in us for such shares. Furthermore, if the trading price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shares was as low as $0.1376 per share, the value of the aggregated shares of our insiders (the founder shares and the private placement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combined) would be equal to the insiders’ total aggregated investment in us.</w:t>
      </w:r>
    </w:p>
    <w:p>
      <w:pPr>
        <w:spacing w:after="0" w:line="20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Similarly, upon closing of this offering, assuming no exercise of the underwriters’ over-allotment option and the forfeiture of 386,681 private investor shares, the non-managing investors will have invested $2,430,006 in us in the aggregate for the purchase of 2,577,522 private investor shares at a purchase price of $0.023254 per private investor share and 242,475 private placement units at a purchase price of $9.7374 per private placement unit. Assuming the trading price of $10.00 per share upon consummation of our initial business combination, the 2,577,522 private placement shares held by the non-managing investors would have an aggregate implied value of $25,775,220, and the 242,475 private placement shares would have an aggregate implied value of $2,424,750, for an aggregated implied value of all such shares held by the non-managing investors of $28,199,970. Even if the trading price of our public shares was as low as $0.862 per share, the value of the combined private investor shares and private placement shares collectively held by the non-managing investors would be equal to the aggregate investment of the non-managing investors in us.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a result, so long as we complete an initial business combination, our insiders and non-managing investors are likely to be able to recoup their investment in us and make a substantial profit on that investment, even if our public shares lose significant value. Accordingly, our insiders, the non-managing investors and members of our management team who own interests in our sponsor may have incentives to pursue and consummate an initial business combination quickly, with a risky or not well established target business, and/or on transaction terms favorable to the equityholders of the target business, rather than continue to seek a more</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81"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favorable business combination transaction that could result in an improved outcome for our public shareholders or liquidate and return all of the cash in the trust to the public shareholders. For the foregoing reasons, you should consider our insiders’, the non-managing investors’ and our management team’s financial incentive to complete an initial business combination when evaluating whether to invest in this offering and/or redeem your shares prior to or in connection with an initial business combination. The non-managing investors will share in any appreciation of the private placement shares if we successfully complete a business combination. Accordingly, non-managing investors’ interests in the private placement shares owned by them may provide them with an incentive to vote any public shares they own in favor of a business combination, and make a substantial profit on such interests, even if the business combination is with a target that ultimately declines in value and is not profitable for other public shareholders.</w:t>
      </w:r>
    </w:p>
    <w:p>
      <w:pPr>
        <w:spacing w:after="0" w:line="185" w:lineRule="exact"/>
        <w:rPr>
          <w:sz w:val="20"/>
          <w:szCs w:val="20"/>
          <w:color w:val="auto"/>
        </w:rPr>
      </w:pPr>
    </w:p>
    <w:p>
      <w:pPr>
        <w:ind w:left="120" w:right="380"/>
        <w:spacing w:after="0" w:line="283" w:lineRule="auto"/>
        <w:rPr>
          <w:sz w:val="20"/>
          <w:szCs w:val="20"/>
          <w:color w:val="auto"/>
        </w:rPr>
      </w:pPr>
      <w:r>
        <w:rPr>
          <w:rFonts w:ascii="Times New Roman" w:cs="Times New Roman" w:eastAsia="Times New Roman" w:hAnsi="Times New Roman"/>
          <w:sz w:val="18"/>
          <w:szCs w:val="18"/>
          <w:i w:val="1"/>
          <w:iCs w:val="1"/>
          <w:color w:val="auto"/>
        </w:rPr>
        <w:t>If we are unable to consummate our initial business combination within 24 months from the closing of this offering, our public shareholders may be forced to wait beyond such period before redemption from our trust account.</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24 months from the closing of this offering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8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we are required to liquidate prior to distributing the aggregate amount then on deposit in the trust account (net of permitted withdrawals, and less up to $100,000 of interest to pay dissolution expenses) pro rata to our public shareholders, then such winding up, liquidation and distribution must comply with the applicable provisions of Cayman law. In that case, investors may be forced to wait beyond 24 months from the closing of this offering before the redemption proceeds of our trust account become available to them, and they receive the return of their pro rata portion of the proceeds from our trust account.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public shares. Only upon any such redemption of public shares as we are required to effect or any liquidation will public shareholders be entitled to distributions if we are unable to complete our initial business combination.</w:t>
      </w:r>
    </w:p>
    <w:p>
      <w:pPr>
        <w:spacing w:after="0" w:line="184"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We may be unable to consummate an initial business combination if a target business requires that we have a certain amount of cash at closing, in which case public shareholders may have to remain shareholders of our company and wait until our redemption of the public shares to receive a pro rata share of the trust account or attempt to sell their shares on the open market.</w:t>
      </w:r>
    </w:p>
    <w:p>
      <w:pPr>
        <w:spacing w:after="0" w:line="174"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If the number of our public shareholders electing to exercise their redemption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shareholders may have to remain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1"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shareholders of our company and wait the full 24 months from the closing of this offering, in order to be able to receive a portion of the trust account, or attempt to sell their shares on the open market prior to such time, in which case they may receive less than they would have in a liquidation of the trust account. If you are in need of immediate liquidity, you could attempt to sell your shares on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on the open market.</w:t>
      </w:r>
    </w:p>
    <w:p>
      <w:pPr>
        <w:spacing w:after="0" w:line="168" w:lineRule="exact"/>
        <w:rPr>
          <w:sz w:val="20"/>
          <w:szCs w:val="20"/>
          <w:color w:val="auto"/>
        </w:rPr>
      </w:pPr>
    </w:p>
    <w:p>
      <w:pPr>
        <w:ind w:left="120" w:right="200"/>
        <w:spacing w:after="0" w:line="283" w:lineRule="auto"/>
        <w:rPr>
          <w:sz w:val="20"/>
          <w:szCs w:val="20"/>
          <w:color w:val="auto"/>
        </w:rPr>
      </w:pPr>
      <w:r>
        <w:rPr>
          <w:rFonts w:ascii="Times New Roman" w:cs="Times New Roman" w:eastAsia="Times New Roman" w:hAnsi="Times New Roman"/>
          <w:sz w:val="18"/>
          <w:szCs w:val="18"/>
          <w:i w:val="1"/>
          <w:iCs w:val="1"/>
          <w:color w:val="auto"/>
        </w:rPr>
        <w:t>Our sponsor may decide not to extend the term we have to consummate our initial business combination, in which case we would cease all operations except for the purpose of winding up and we would redeem our public shares and liquidate.</w:t>
      </w:r>
    </w:p>
    <w:p>
      <w:pPr>
        <w:spacing w:after="0" w:line="16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have until 24 months from the closing of this offering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we will, as promptly as reasonably possible but not more than ten (10)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possible claims of creditors and the requirements of other applicable law.</w:t>
      </w:r>
    </w:p>
    <w:p>
      <w:pPr>
        <w:spacing w:after="0" w:line="189" w:lineRule="exact"/>
        <w:rPr>
          <w:sz w:val="20"/>
          <w:szCs w:val="20"/>
          <w:color w:val="auto"/>
        </w:rPr>
      </w:pPr>
    </w:p>
    <w:p>
      <w:pPr>
        <w:ind w:left="120" w:right="60"/>
        <w:spacing w:after="0" w:line="283" w:lineRule="auto"/>
        <w:rPr>
          <w:sz w:val="20"/>
          <w:szCs w:val="20"/>
          <w:color w:val="auto"/>
        </w:rPr>
      </w:pPr>
      <w:r>
        <w:rPr>
          <w:rFonts w:ascii="Times New Roman" w:cs="Times New Roman" w:eastAsia="Times New Roman" w:hAnsi="Times New Roman"/>
          <w:sz w:val="18"/>
          <w:szCs w:val="18"/>
          <w:i w:val="1"/>
          <w:iCs w:val="1"/>
          <w:color w:val="auto"/>
        </w:rPr>
        <w:t>We may seek business combination opportunities with a high degree of complexity that require significant operational improvements, which could delay or prevent us from achieving our desired results.</w:t>
      </w:r>
    </w:p>
    <w:p>
      <w:pPr>
        <w:spacing w:after="0" w:line="161" w:lineRule="exact"/>
        <w:rPr>
          <w:sz w:val="20"/>
          <w:szCs w:val="20"/>
          <w:color w:val="auto"/>
        </w:rPr>
      </w:pPr>
    </w:p>
    <w:p>
      <w:pPr>
        <w:ind w:left="120" w:right="420" w:firstLine="440"/>
        <w:spacing w:after="0" w:line="265" w:lineRule="auto"/>
        <w:rPr>
          <w:sz w:val="20"/>
          <w:szCs w:val="20"/>
          <w:color w:val="auto"/>
        </w:rPr>
      </w:pPr>
      <w:r>
        <w:rPr>
          <w:rFonts w:ascii="Times New Roman" w:cs="Times New Roman" w:eastAsia="Times New Roman" w:hAnsi="Times New Roman"/>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7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We may not hold an annual meeting of shareholders until after the consummation of our initial business combination.</w:t>
      </w:r>
    </w:p>
    <w:p>
      <w:pPr>
        <w:spacing w:after="0" w:line="227" w:lineRule="exact"/>
        <w:rPr>
          <w:sz w:val="20"/>
          <w:szCs w:val="20"/>
          <w:color w:val="auto"/>
        </w:rPr>
      </w:pPr>
    </w:p>
    <w:p>
      <w:pPr>
        <w:ind w:left="120" w:right="300" w:firstLine="440"/>
        <w:spacing w:after="0" w:line="260" w:lineRule="auto"/>
        <w:rPr>
          <w:sz w:val="20"/>
          <w:szCs w:val="20"/>
          <w:color w:val="auto"/>
        </w:rPr>
      </w:pPr>
      <w:r>
        <w:rPr>
          <w:rFonts w:ascii="Times New Roman" w:cs="Times New Roman" w:eastAsia="Times New Roman" w:hAnsi="Times New Roman"/>
          <w:sz w:val="18"/>
          <w:szCs w:val="18"/>
          <w:color w:val="auto"/>
        </w:rPr>
        <w:t>In accordance with Nasdaq corporate governance requirements, we are not required to hold an annual meeting until one year after the first full fiscal year that the company is in existence. As an exempted company, there is no requirement under the Companies Act for us to hold annual or shareholder meetings to elect directors. Until we hold an annual meeting of shareholders, public shareholders may not be afforded the opportunity to elect directors and to discuss company affairs with management.</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81"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p>
    <w:p>
      <w:pPr>
        <w:spacing w:after="0" w:line="17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will require us to provide our public shareholders with the opportunity to redeem their public shares for cash if we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To the extent any of such amendments would be deemed to fundamentally change the nature of the securities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3"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5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84"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74"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81"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40"/>
        <w:spacing w:after="0" w:line="314" w:lineRule="auto"/>
        <w:rPr>
          <w:sz w:val="20"/>
          <w:szCs w:val="20"/>
          <w:color w:val="auto"/>
        </w:rPr>
      </w:pPr>
      <w:r>
        <w:rPr>
          <w:rFonts w:ascii="Times New Roman" w:cs="Times New Roman" w:eastAsia="Times New Roman" w:hAnsi="Times New Roman"/>
          <w:sz w:val="17"/>
          <w:szCs w:val="17"/>
          <w:i w:val="1"/>
          <w:iCs w:val="1"/>
          <w:color w:val="auto"/>
        </w:rPr>
        <w:t>Holders of Class A ordinary shares will not be entitled to vote on any appointment of directors we hold prior to the completion of our initial business combination and will also not be able to vote on our continuation in a jurisdiction outside the Cayman Islands prior to our initial business combination.</w:t>
      </w:r>
    </w:p>
    <w:p>
      <w:pPr>
        <w:spacing w:after="0" w:line="138" w:lineRule="exact"/>
        <w:rPr>
          <w:sz w:val="20"/>
          <w:szCs w:val="20"/>
          <w:color w:val="auto"/>
        </w:rPr>
      </w:pPr>
    </w:p>
    <w:p>
      <w:pPr>
        <w:ind w:left="120" w:right="80" w:firstLine="440"/>
        <w:spacing w:after="0" w:line="265" w:lineRule="auto"/>
        <w:rPr>
          <w:sz w:val="20"/>
          <w:szCs w:val="20"/>
          <w:color w:val="auto"/>
        </w:rPr>
      </w:pPr>
      <w:r>
        <w:rPr>
          <w:rFonts w:ascii="Times New Roman" w:cs="Times New Roman" w:eastAsia="Times New Roman" w:hAnsi="Times New Roman"/>
          <w:sz w:val="18"/>
          <w:szCs w:val="18"/>
          <w:color w:val="auto"/>
        </w:rPr>
        <w:t>Prior to the completion of our initial business combination, only holders of our founder shares and private investor shares will have the right to vote on the appointment of directors. Holders of our public shares will not be entitled to vote on the election of directors during such time. Accordingly, you may not have any say in the management of our company prior to the consummation of an initial business combination.</w:t>
      </w:r>
    </w:p>
    <w:p>
      <w:pPr>
        <w:spacing w:after="0" w:line="177"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8"/>
          <w:szCs w:val="18"/>
          <w:color w:val="auto"/>
        </w:rPr>
        <w:t>Further, prior to the closing of our initial business combination, transferring the company by way of continuation in a jurisdiction outside the Cayman Islands would only require the approval of our board of directors.</w:t>
      </w:r>
    </w:p>
    <w:p>
      <w:pPr>
        <w:spacing w:after="0" w:line="163" w:lineRule="exact"/>
        <w:rPr>
          <w:sz w:val="20"/>
          <w:szCs w:val="20"/>
          <w:color w:val="auto"/>
        </w:rPr>
      </w:pPr>
    </w:p>
    <w:p>
      <w:pPr>
        <w:ind w:left="120" w:right="160" w:firstLine="440"/>
        <w:spacing w:after="0" w:line="260" w:lineRule="auto"/>
        <w:rPr>
          <w:sz w:val="20"/>
          <w:szCs w:val="20"/>
          <w:color w:val="auto"/>
        </w:rPr>
      </w:pPr>
      <w:r>
        <w:rPr>
          <w:rFonts w:ascii="Times New Roman" w:cs="Times New Roman" w:eastAsia="Times New Roman" w:hAnsi="Times New Roman"/>
          <w:sz w:val="18"/>
          <w:szCs w:val="18"/>
          <w:color w:val="auto"/>
        </w:rPr>
        <w:t>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w:t>
      </w:r>
    </w:p>
    <w:p>
      <w:pPr>
        <w:spacing w:after="0" w:line="180" w:lineRule="exact"/>
        <w:rPr>
          <w:sz w:val="20"/>
          <w:szCs w:val="20"/>
          <w:color w:val="auto"/>
        </w:rPr>
      </w:pPr>
    </w:p>
    <w:p>
      <w:pPr>
        <w:ind w:left="120" w:right="140"/>
        <w:spacing w:after="0" w:line="283" w:lineRule="auto"/>
        <w:rPr>
          <w:sz w:val="20"/>
          <w:szCs w:val="20"/>
          <w:color w:val="auto"/>
        </w:rPr>
      </w:pPr>
      <w:r>
        <w:rPr>
          <w:rFonts w:ascii="Times New Roman" w:cs="Times New Roman" w:eastAsia="Times New Roman" w:hAnsi="Times New Roman"/>
          <w:sz w:val="18"/>
          <w:szCs w:val="18"/>
          <w:i w:val="1"/>
          <w:iCs w:val="1"/>
          <w:color w:val="auto"/>
        </w:rPr>
        <w:t>We may not be able to complete a business combination with certain potential target companies if a proposed transaction with the target company may be subject to review or approval by regulatory authorities pursuant to certain U.S. or foreign laws or regulations.</w:t>
      </w:r>
    </w:p>
    <w:p>
      <w:pPr>
        <w:spacing w:after="0" w:line="16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Our sponsor is a Cayman Islands exempted company. Our sponsor, following the sale of founders shares to the four directors, owns 7,474,832 founder shares (of which, 974,978 are subject to forfeiture if the underwriters do not exercise their over-allotment option). Our sponsor is governed by a board of directors consisting of two directors, Avi S. Katz and Raluca Dinu, who are U.S. citizens. As such, Drs. Katz and Dinu have voting and investment discretion with respect to the securities held of record by the sponsor and may be deemed to have shared beneficial ownership of the securities held directly by the sponsor. The sponsor is not “controlled” (as defined in 31 CFR 800.208) by a foreign person, such that the sponsor’s involvement in any business combination would be a “covered transaction” (as defined in 31 CFR 800.213). However, we do have two directors, Admiral (Ret.) David Ben-Bashat and Rear Admiral (Ret.) Omri Dagul, who are non-U.S. persons, neither of whom are deemed to have voting and investment discretion with respect to the securities held of record by the sponsor or “control” of the sponsor, and neither of whom has purchased any of our securities (unlike four of our other directors who have purchased our securities, and all four of those other directors are U.S. citizens). Further, it is possible that non-U.S. persons could be involved in our business combination, which may increase the risk that our business combination becomes subject to regulatory review, including review by the Committee on Foreign Investment in the United States (“CFIUS”), and that restrictions, limitations or conditions will be imposed by CFIUS. If our business combination with a U.S. business is subject to CFIUS review, the scope of which was expanded by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potential business combination with a U.S. business falls within CFIUS’s jurisdiction, we may determine that we are required to make a mandatory filing or that we will submit a voluntary notice to CFIUS, or to proceed with a business combination without notifying CFIUS and risk CFIUS intervention, before or after closing a business combination. CFIUS may decide to block or delay our business combination, impose conditions to mitigate national security concerns with respect to such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 business combination may be limited and we may be adversely affected in terms of competing with other special purpose acquisition companies which do not have similar foreign ownership issues.</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1"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A failure to notify CFIUS of a transaction where such notification was required or otherwise warranted based on the national security considerations presented by an investment target may expose our sponsor and/or the combined company to legal penalties, costs, and/or other adverse reputational and financial effects, thus potentially diminishing the value of the combined company. In addition, CFIUS is actively pursuing transactions that were not notified to it and may ask questions regarding, or impose restrictions or mitigation on, a business combination post-closing.</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Moreover, the process of government review, whether by the CFIUS or otherwise, could be lengthy and we have limited time to complete our business combination. If we cannot complete a business combination within 24 months from the closing of this offering because the transaction is still under review or because our business combination is ultimately prohibited by CFIUS or another U.S. government entity, we may be required to liquidate. If we liquidate, shareholders of record may only receive their pro rata portion of funds available in the trust account. This will also cause you to lose the investment opportunity in a target company and the chance of realizing future gains on your investment through any price appreciation in the combined company.</w:t>
      </w:r>
    </w:p>
    <w:p>
      <w:pPr>
        <w:spacing w:after="0" w:line="18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i w:val="1"/>
          <w:iCs w:val="1"/>
          <w:color w:val="auto"/>
        </w:rPr>
        <w:t>We may engage one or more of our underwriters or one of their respective affiliates to provide additional services to us after this offering, which may include acting as M&amp;A advisor in connection with an initial business combination or as placement agent in connection with a related financing transaction for an additional fee. These financial incentives may cause them to have potential conflicts of interest in rendering any such additional services to us after this offering, including, for example, in connection with the sourcing and consummation of an initial business combination.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may engage one or more of our underwriters or one of their respective affiliates to provide additional services to us after this offering, including, for example, identifying potential targets, providing M&amp;A advisory services, acting as a placement agent in a private offering or arranging debt financing transactions. We may pay such underwriter or its affiliate fair and reasonable fees or other compensation that would be determined at that time in an arm’s length negotiation;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agreement will be entered into with any of the underwriters or their respective affiliates and no fees or other compensation for such services will be paid to any of the underwriters or their respective affiliates prior to the date that is 60 days from the date of this prospectus, unless the Financial Industry Regulatory Authority (“FINRA”) determines that such payment would not be deemed underwriters’ compensation in connection with this offering.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valuation and consummation of an initial business combination.</w:t>
      </w:r>
    </w:p>
    <w:p>
      <w:pPr>
        <w:spacing w:after="0" w:line="184"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Changes in international trade policies, tariffs and treaties affecting imports and exports may have a material adverse effect on our search for an initial business combination target or the performance or business prospects of a post-business combination company.</w:t>
      </w:r>
    </w:p>
    <w:p>
      <w:pPr>
        <w:spacing w:after="0" w:line="161"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There have recently been significant changes to international trade policies and tariffs affecting imports and exports. Any significant increases in tariffs on goods or materials or other changes in trade policy could negatively affect our search for a target and/or our ability to complete our initial business combination.</w:t>
      </w:r>
    </w:p>
    <w:p>
      <w:pPr>
        <w:spacing w:after="0" w:line="17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Recently, the U.S. has implemented a range of new tariffs and increases to existing tariffs. In response to the tariffs announced by the U.S.,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we cannot predict whether, and to what extent, current tariffs will continue or trade policies will change in the future.</w:t>
      </w:r>
    </w:p>
    <w:p>
      <w:pPr>
        <w:spacing w:after="0" w:line="182"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81"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we enter into a business combination agreement, as a result of tariffs or the threat of tariffs that may have a material impact on that target’s business, and it may be costly or impractical for us to terminate that business combination agreement. These factors could affect our selection of a business combination target.</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adequately address the risks presented by these tariffs or other potential trade policy changes. As a result, we may deem it costly, impractical or risky to complete an initial business combination with a particular target or with a target in a particular industry or from a particular country. Consequently, the pool of potential target companies may be reduced, which could impair our ability to identify a suitable target and to complete an initial business combination. If we complete an initial business combination with such a target, the post-business combination company’s operations and financial results could be adversely affected as a result of tariffs or changes to trade policies, which may cause the market value of the securities of the post-business combination company to decline.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Post-Business Combination Company</w:t>
      </w:r>
    </w:p>
    <w:p>
      <w:pPr>
        <w:spacing w:after="0" w:line="119" w:lineRule="exact"/>
        <w:rPr>
          <w:sz w:val="20"/>
          <w:szCs w:val="20"/>
          <w:color w:val="auto"/>
        </w:rPr>
      </w:pPr>
    </w:p>
    <w:p>
      <w:pPr>
        <w:jc w:val="both"/>
        <w:ind w:left="120" w:right="360"/>
        <w:spacing w:after="0" w:line="267" w:lineRule="auto"/>
        <w:rPr>
          <w:sz w:val="20"/>
          <w:szCs w:val="20"/>
          <w:color w:val="auto"/>
        </w:rPr>
      </w:pPr>
      <w:r>
        <w:rPr>
          <w:rFonts w:ascii="Times New Roman" w:cs="Times New Roman" w:eastAsia="Times New Roman" w:hAnsi="Times New Roman"/>
          <w:sz w:val="18"/>
          <w:szCs w:val="18"/>
          <w:i w:val="1"/>
          <w:iCs w:val="1"/>
          <w:color w:val="auto"/>
        </w:rPr>
        <w:t>Subsequent to our consummation of our initial business combination, we may be required to take write-downs or write-offs, or we may be subject to restructuring and impairment or other charges that could have a significant negative effect on our financial condition, results of operations and the price of our public shares, which could cause you to lose some or all of your investment.</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Even if we conduct thorough due diligence on a target business with which we combine, this diligence may not surface all material issues that may be present inside a particular target business. Factors outside of the target business and outside of our control may, at any time,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management team and our shareholders may not be able to maintain control of a target business after our initial business combination.</w:t>
      </w:r>
    </w:p>
    <w:p>
      <w:pPr>
        <w:spacing w:after="0" w:line="227"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We may structure our initial business combination to acquire less than 100% of the equity interests or assets of a target business, but we will only consummate such business combination if we become the majority shareholder of the target (or control the target through contractual arrangements in limited circumstances for regulatory compliance purposes) or are otherwise not required to register as an investment company under the Investment Company Act. Even though we may own a majority interest in the target, our shareholders prior to</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1"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shareholders immediately prior to such transaction could own less than a majority of our outstanding shares subsequent to such transaction. In addition, other minority shareholders may subsequently combine their holdings resulting in a single person or group obtaining a larger share of the company’s stock than we initially acquired. Accordingly, this may make it more likely that we will not be able to maintain our control of the post-transaction company.</w:t>
      </w:r>
    </w:p>
    <w:p>
      <w:pPr>
        <w:spacing w:after="0" w:line="185" w:lineRule="exact"/>
        <w:rPr>
          <w:sz w:val="20"/>
          <w:szCs w:val="20"/>
          <w:color w:val="auto"/>
        </w:rPr>
      </w:pPr>
    </w:p>
    <w:p>
      <w:pPr>
        <w:ind w:left="120" w:right="580"/>
        <w:spacing w:after="0" w:line="283" w:lineRule="auto"/>
        <w:rPr>
          <w:sz w:val="20"/>
          <w:szCs w:val="20"/>
          <w:color w:val="auto"/>
        </w:rPr>
      </w:pPr>
      <w:r>
        <w:rPr>
          <w:rFonts w:ascii="Times New Roman" w:cs="Times New Roman" w:eastAsia="Times New Roman" w:hAnsi="Times New Roman"/>
          <w:sz w:val="18"/>
          <w:szCs w:val="18"/>
          <w:i w:val="1"/>
          <w:iCs w:val="1"/>
          <w:color w:val="auto"/>
        </w:rPr>
        <w:t>Transactions in connection with or in anticipation of our initial business combination and our structure thereafter may not be tax-efficient to our shareholders. As a result of our initial business combination, our tax obligations may be more complex, burdensome and uncertain.</w:t>
      </w:r>
    </w:p>
    <w:p>
      <w:pPr>
        <w:spacing w:after="0" w:line="16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Although we will attempt to structure transactions in connection with our initial business combination in a tax-efficient manner, tax structuring considerations are complex, the relevant facts and law are uncertain and may change, and we may prioritize commercial and other considerations over tax considerations. For example, in anticipation of or as a result of our initial business combination, we may enter into one or more transactions that require shareholders to recognize gain or income for tax purposes or otherwise increase their tax burden without prior notice to or approval from our shareholders. We do not intend to make any cash distributions to shareholders to pay taxes in connection with our business combination or thereafter. Accordingly, a shareholder may be required to satisfy any liability resulting from any such transactions with cash from its own funds or by selling all or a portion of such holder’s shares.</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Furthermore, we will likely effect a business combination with a target company that has business operations outside of the Cayman Islands and, possibly, business operations in multiple jurisdictions, and we may reincorporate in a different jurisdiction in connection therewith (including, but not limited to, the jurisdiction in which the target company or business is located). For example, in anticipation of engaging in a business combination with certain target companies, we may unilaterally convert into a U.S. company without notice pursuant to our amended and restated memorandum and articles, even if such a business combination ultimately is not achieved. If we effect any such transaction, including such a conversion, we could be subject to significant income, withholding and other tax obligations in a number of jurisdictions with respect to income, operations and subsidiaries related to those jurisdictions. Due to the complexity of tax obligations and filings in many jurisdictions, we may have a heightened risk related to audits or examinations by taxing authorities. This additional complexity and risk could have an adverse effect on our after-tax profitability and financial condition. In addition, shareholders may be subject to additional income, withholding or other taxes with respect to their ownership of us after any such transaction.</w:t>
      </w:r>
    </w:p>
    <w:p>
      <w:pPr>
        <w:spacing w:after="0" w:line="189"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17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1"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160"/>
        <w:spacing w:after="0" w:line="283" w:lineRule="auto"/>
        <w:rPr>
          <w:sz w:val="20"/>
          <w:szCs w:val="20"/>
          <w:color w:val="auto"/>
        </w:rPr>
      </w:pPr>
      <w:r>
        <w:rPr>
          <w:rFonts w:ascii="Times New Roman" w:cs="Times New Roman" w:eastAsia="Times New Roman" w:hAnsi="Times New Roman"/>
          <w:sz w:val="18"/>
          <w:szCs w:val="18"/>
          <w:i w:val="1"/>
          <w:iCs w:val="1"/>
          <w:color w:val="auto"/>
        </w:rPr>
        <w:t>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p>
    <w:p>
      <w:pPr>
        <w:spacing w:after="0" w:line="16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our initial business combination, the post-business combination company may issue shares to investors in private placement transactions (so-called PIPE transactions) in order to complete an initial business combination and provide sufficient liquidity and capital to the post-business combination entity. The price of the shares so issued in connection with an initial business combination may b</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less, and potentially significantly less, than $10.00 per share or the market price for our shares at such time. Any such issuances of equity securities at a price that is less than $10.00 or the prevailing market price of our shares at that time could be structured to ensure a return on investment to the investors and could dilute the interests of our existing shareholders in a manner that would not ordinarily occur in a traditional initial public offering and could result in both a reduction in the trading price of our shares to the price at which the post-business combination company issues such equity securities and fluctuations in the net tangible book value per share of the combined company’s securities following the completion of our initial business combination. The post-business combination company may also provide price protection or other incentives, or issue convertible securities such as preferred equity or convertible debt, and the exercise or conversion price of those securities may be fixed or adjustable, and may be less, and potentially significantly less, than $10.00 per share or the market price for our shares at such time. Such issuances could also result in additional transaction costs related to our initial business combination compared to a traditional initial public offering, including the placement fees associated with the engagement of a placement agent in connection with PIPE transactions.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Acquiring and Operating a Business in Foreign Countries</w:t>
      </w:r>
    </w:p>
    <w:p>
      <w:pPr>
        <w:spacing w:after="0" w:line="119" w:lineRule="exact"/>
        <w:rPr>
          <w:sz w:val="20"/>
          <w:szCs w:val="20"/>
          <w:color w:val="auto"/>
        </w:rPr>
      </w:pPr>
    </w:p>
    <w:p>
      <w:pPr>
        <w:ind w:left="120" w:right="300"/>
        <w:spacing w:after="0" w:line="283" w:lineRule="auto"/>
        <w:rPr>
          <w:sz w:val="20"/>
          <w:szCs w:val="20"/>
          <w:color w:val="auto"/>
        </w:rPr>
      </w:pPr>
      <w:r>
        <w:rPr>
          <w:rFonts w:ascii="Times New Roman" w:cs="Times New Roman" w:eastAsia="Times New Roman" w:hAnsi="Times New Roman"/>
          <w:sz w:val="18"/>
          <w:szCs w:val="18"/>
          <w:i w:val="1"/>
          <w:iCs w:val="1"/>
          <w:color w:val="auto"/>
        </w:rPr>
        <w:t>If we effect our initial business combination with a company located outside of the United States, we would be subject to a variety of additional risks that may adversely affect us.</w:t>
      </w:r>
    </w:p>
    <w:p>
      <w:pPr>
        <w:spacing w:after="0" w:line="161"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77" w:lineRule="exact"/>
        <w:rPr>
          <w:sz w:val="20"/>
          <w:szCs w:val="20"/>
          <w:color w:val="auto"/>
        </w:rPr>
      </w:pPr>
    </w:p>
    <w:p>
      <w:pPr>
        <w:ind w:left="120" w:right="240" w:firstLine="440"/>
        <w:spacing w:after="0" w:line="260" w:lineRule="auto"/>
        <w:rPr>
          <w:sz w:val="20"/>
          <w:szCs w:val="20"/>
          <w:color w:val="auto"/>
        </w:rPr>
      </w:pPr>
      <w:r>
        <w:rPr>
          <w:rFonts w:ascii="Times New Roman" w:cs="Times New Roman" w:eastAsia="Times New Roman" w:hAnsi="Times New Roman"/>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2"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8" w:lineRule="exact"/>
        <w:rPr>
          <w:sz w:val="20"/>
          <w:szCs w:val="20"/>
          <w:color w:val="auto"/>
        </w:rPr>
      </w:pPr>
    </w:p>
    <w:p>
      <w:pPr>
        <w:ind w:left="1100" w:hanging="438"/>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inherent in managing cross-border business operations;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regarding currency redemption;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corporate withholding taxes on individuals;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regional economic policies and market conditions;</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1"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and staffing international operations;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or unpredictable legal or regulatory systems;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and civil disturbances;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regime changes and political upheaval;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natural disasters, widespread health emergencies and wars;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w:t>
      </w:r>
    </w:p>
    <w:p>
      <w:pPr>
        <w:spacing w:after="0" w:line="225" w:lineRule="exact"/>
        <w:rPr>
          <w:sz w:val="20"/>
          <w:szCs w:val="20"/>
          <w:color w:val="auto"/>
        </w:rPr>
      </w:pPr>
    </w:p>
    <w:p>
      <w:pPr>
        <w:ind w:left="120" w:right="220" w:firstLine="440"/>
        <w:spacing w:after="0" w:line="265" w:lineRule="auto"/>
        <w:rPr>
          <w:sz w:val="20"/>
          <w:szCs w:val="20"/>
          <w:color w:val="auto"/>
        </w:rPr>
      </w:pPr>
      <w:r>
        <w:rPr>
          <w:rFonts w:ascii="Times New Roman" w:cs="Times New Roman" w:eastAsia="Times New Roman" w:hAnsi="Times New Roman"/>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Management Team</w:t>
      </w:r>
    </w:p>
    <w:p>
      <w:pPr>
        <w:spacing w:after="0" w:line="119" w:lineRule="exact"/>
        <w:rPr>
          <w:sz w:val="20"/>
          <w:szCs w:val="20"/>
          <w:color w:val="auto"/>
        </w:rPr>
      </w:pPr>
    </w:p>
    <w:p>
      <w:pPr>
        <w:ind w:left="120" w:right="100"/>
        <w:spacing w:after="0" w:line="283" w:lineRule="auto"/>
        <w:rPr>
          <w:sz w:val="20"/>
          <w:szCs w:val="20"/>
          <w:color w:val="auto"/>
        </w:rPr>
      </w:pPr>
      <w:r>
        <w:rPr>
          <w:rFonts w:ascii="Times New Roman" w:cs="Times New Roman" w:eastAsia="Times New Roman" w:hAnsi="Times New Roman"/>
          <w:sz w:val="18"/>
          <w:szCs w:val="18"/>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6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including but not limited to new and existing Private-to-Public Equity (PPE) companies, for which they may be entitled to substantial compensation and our officers are not obligated to contribute any specific number of hours per week to our affairs. In particular, certain of our officers and directors provide services to affiliates of our sponsor. In particular, certain of our officers and directors serve as officers or directors of UpHealth, Inc., QT Imaging Holdings, Inc. and GIG7. Our independent directors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w:t>
      </w:r>
      <w:r>
        <w:rPr>
          <w:rFonts w:ascii="Times New Roman" w:cs="Times New Roman" w:eastAsia="Times New Roman" w:hAnsi="Times New Roman"/>
          <w:sz w:val="17"/>
          <w:szCs w:val="17"/>
          <w:i w:val="1"/>
          <w:iCs w:val="1"/>
          <w:color w:val="auto"/>
        </w:rPr>
        <w:t>Management—Directors and Officers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1"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jc w:val="both"/>
        <w:ind w:left="120" w:right="520"/>
        <w:spacing w:after="0" w:line="267" w:lineRule="auto"/>
        <w:rPr>
          <w:sz w:val="20"/>
          <w:szCs w:val="20"/>
          <w:color w:val="auto"/>
        </w:rPr>
      </w:pPr>
      <w:r>
        <w:rPr>
          <w:rFonts w:ascii="Times New Roman" w:cs="Times New Roman" w:eastAsia="Times New Roman" w:hAnsi="Times New Roman"/>
          <w:sz w:val="18"/>
          <w:szCs w:val="18"/>
          <w:i w:val="1"/>
          <w:iCs w:val="1"/>
          <w:color w:val="auto"/>
        </w:rPr>
        <w:t>Our ability to successfully effect our initial business combination and to be successful thereafter will be largely dependent upon the efforts of our executive officers and directors, some of whom may join the post-transaction company following our initial business combination. The loss of our executive officers or directors could negatively impact the operations and profitability of our business.</w:t>
      </w:r>
    </w:p>
    <w:p>
      <w:pPr>
        <w:spacing w:after="0" w:line="17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consummated our initial business combination. In addition, our executive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 Additionally, we do not intend to have any full-time employees prior to the consummation of our initial business combination.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role of such persons in the target business following a business combination, however, cannot presently be ascertained. Although some of such persons may remain with the post-transaction company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84" w:lineRule="exact"/>
        <w:rPr>
          <w:sz w:val="20"/>
          <w:szCs w:val="20"/>
          <w:color w:val="auto"/>
        </w:rPr>
      </w:pPr>
    </w:p>
    <w:p>
      <w:pPr>
        <w:ind w:left="120" w:right="320"/>
        <w:spacing w:after="0" w:line="283" w:lineRule="auto"/>
        <w:rPr>
          <w:sz w:val="20"/>
          <w:szCs w:val="20"/>
          <w:color w:val="auto"/>
        </w:rPr>
      </w:pPr>
      <w:r>
        <w:rPr>
          <w:rFonts w:ascii="Times New Roman" w:cs="Times New Roman" w:eastAsia="Times New Roman" w:hAnsi="Times New Roman"/>
          <w:sz w:val="18"/>
          <w:szCs w:val="18"/>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6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shareholders who choose to retain their securities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4"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p>
    <w:p>
      <w:pPr>
        <w:spacing w:after="0" w:line="17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that are engaged in a similar business.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1"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8"/>
          <w:szCs w:val="18"/>
          <w:color w:val="auto"/>
        </w:rPr>
        <w:t>business combination opportunities to us or to any other blank check company, or operating company, with which they may become involved. Any of such companies may present additional conflicts of interest in pursuing an acquisition target.</w:t>
      </w:r>
    </w:p>
    <w:p>
      <w:pPr>
        <w:spacing w:after="0" w:line="163"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8"/>
          <w:szCs w:val="18"/>
          <w:color w:val="auto"/>
        </w:rPr>
        <w:t>Our officers and directors also may become aware of business opportunities which may be appropriate for presentation to us and the other entities to which they owe certain fiduciary or contractual duties.</w:t>
      </w:r>
    </w:p>
    <w:p>
      <w:pPr>
        <w:spacing w:after="0" w:line="16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memorandum and articles of association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w:t>
      </w:r>
    </w:p>
    <w:p>
      <w:pPr>
        <w:spacing w:after="0" w:line="182" w:lineRule="exact"/>
        <w:rPr>
          <w:sz w:val="20"/>
          <w:szCs w:val="20"/>
          <w:color w:val="auto"/>
        </w:rPr>
      </w:pPr>
    </w:p>
    <w:p>
      <w:pPr>
        <w:ind w:left="120" w:right="260" w:firstLine="440"/>
        <w:spacing w:after="0" w:line="265" w:lineRule="auto"/>
        <w:rPr>
          <w:sz w:val="20"/>
          <w:szCs w:val="20"/>
          <w:color w:val="auto"/>
        </w:rPr>
      </w:pPr>
      <w:r>
        <w:rPr>
          <w:rFonts w:ascii="Times New Roman" w:cs="Times New Roman" w:eastAsia="Times New Roman" w:hAnsi="Times New Roman"/>
          <w:sz w:val="18"/>
          <w:szCs w:val="18"/>
          <w:color w:val="auto"/>
        </w:rPr>
        <w:t>For a complete discussion of our officers’ and directors’ business affiliations and the potential conflicts of interest that you should be aware of, please see the sections of this prospectus entitled “</w:t>
      </w:r>
      <w:r>
        <w:rPr>
          <w:rFonts w:ascii="Times New Roman" w:cs="Times New Roman" w:eastAsia="Times New Roman" w:hAnsi="Times New Roman"/>
          <w:sz w:val="18"/>
          <w:szCs w:val="18"/>
          <w:i w:val="1"/>
          <w:iCs w:val="1"/>
          <w:color w:val="auto"/>
        </w:rPr>
        <w:t>Management—Directors and Officers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Management—Conflicts of Interest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and Related Party Transactions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460"/>
        <w:spacing w:after="0" w:line="267" w:lineRule="auto"/>
        <w:rPr>
          <w:sz w:val="20"/>
          <w:szCs w:val="20"/>
          <w:color w:val="auto"/>
        </w:rPr>
      </w:pPr>
      <w:r>
        <w:rPr>
          <w:rFonts w:ascii="Times New Roman" w:cs="Times New Roman" w:eastAsia="Times New Roman" w:hAnsi="Times New Roman"/>
          <w:sz w:val="18"/>
          <w:szCs w:val="18"/>
          <w:i w:val="1"/>
          <w:i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shareholders.</w:t>
      </w:r>
    </w:p>
    <w:p>
      <w:pPr>
        <w:spacing w:after="0" w:line="17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(less any taxes, if any, payable on interest earned)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shareholders.</w:t>
      </w:r>
    </w:p>
    <w:p>
      <w:pPr>
        <w:spacing w:after="0" w:line="185"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and directors may be able to remain with the post-transaction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Moreover, there is no certainty that any of our executive officers or directors will remain with the post-transaction company after the consummation of our initial business combination. Our executive officers and directors may not remain in senior management or advisory positions with the post-transaction company. The determination as to whether any of our executive officers and directors will remain with the post-transaction company will be made at the time of our initial business combination.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81"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320"/>
        <w:spacing w:after="0" w:line="283" w:lineRule="auto"/>
        <w:rPr>
          <w:sz w:val="20"/>
          <w:szCs w:val="20"/>
          <w:color w:val="auto"/>
        </w:rPr>
      </w:pPr>
      <w:r>
        <w:rPr>
          <w:rFonts w:ascii="Times New Roman" w:cs="Times New Roman" w:eastAsia="Times New Roman" w:hAnsi="Times New Roman"/>
          <w:sz w:val="18"/>
          <w:szCs w:val="18"/>
          <w:i w:val="1"/>
          <w:i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61"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The role of an acquisition target’s key personnel upon the consummation of our initial business combination cannot be ascertained at this time. Although we contemplate that certain members of an acquisition candidate’s management team will remain associated with the post-transaction company following our initial business combination, it is possible that some members of the management team of an acquisition candidate will not wish to remain in place.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Past performance by our management team may not be indicative of future performance of an investment in the company.</w:t>
      </w:r>
    </w:p>
    <w:p>
      <w:pPr>
        <w:spacing w:after="0" w:line="227"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Information regarding performance by, or businesses associated with, our management team and their affiliates, including GIG1, GIG2, GIG3, GIG4 and GIG5, is presented for informational purposes only. Past performance by our management team, including with respect to GIG1, GIG2, GIG3, GIG4, and GIG5, is not a guarantee either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of an investment in the company or the returns the company will, or is likely to, generate going forward.</w:t>
      </w:r>
    </w:p>
    <w:p>
      <w:pPr>
        <w:spacing w:after="0" w:line="16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Individual members of our management team and board of directors also may become involved in litigation, investigations or other proceedings involving claims or allegations related to or as a result of their personal conduct, either in their capacity as a corporate officer or director or otherwise, and may be personally named in such actions and potentially subject to personal liability. Any such liability may or may not be covered by insurance and/or indemnification, depending on the facts and circumstances. The defense or prosecution of these matters could be time-consuming.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189" w:lineRule="exact"/>
        <w:rPr>
          <w:sz w:val="20"/>
          <w:szCs w:val="20"/>
          <w:color w:val="auto"/>
        </w:rPr>
      </w:pPr>
    </w:p>
    <w:p>
      <w:pPr>
        <w:ind w:left="120" w:right="100"/>
        <w:spacing w:after="0" w:line="283" w:lineRule="auto"/>
        <w:rPr>
          <w:sz w:val="20"/>
          <w:szCs w:val="20"/>
          <w:color w:val="auto"/>
        </w:rPr>
      </w:pPr>
      <w:r>
        <w:rPr>
          <w:rFonts w:ascii="Times New Roman" w:cs="Times New Roman" w:eastAsia="Times New Roman" w:hAnsi="Times New Roman"/>
          <w:sz w:val="18"/>
          <w:szCs w:val="18"/>
          <w:i w:val="1"/>
          <w:iCs w:val="1"/>
          <w:color w:val="auto"/>
        </w:rPr>
        <w:t>Changes in the market for directors and officers liability insurance could make it more difficult and more expensive for us to negotiate and complete an initial business combination.</w:t>
      </w:r>
    </w:p>
    <w:p>
      <w:pPr>
        <w:spacing w:after="0" w:line="161"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77"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1"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3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letter agreement with our sponsor, officers and directors may be amended without shareholder approval.</w:t>
      </w:r>
    </w:p>
    <w:p>
      <w:pPr>
        <w:spacing w:after="0" w:line="227" w:lineRule="exact"/>
        <w:rPr>
          <w:sz w:val="20"/>
          <w:szCs w:val="20"/>
          <w:color w:val="auto"/>
        </w:rPr>
      </w:pPr>
    </w:p>
    <w:p>
      <w:pPr>
        <w:ind w:left="120" w:right="140" w:firstLine="440"/>
        <w:spacing w:after="0" w:line="252" w:lineRule="auto"/>
        <w:rPr>
          <w:sz w:val="20"/>
          <w:szCs w:val="20"/>
          <w:color w:val="auto"/>
        </w:rPr>
      </w:pPr>
      <w:r>
        <w:rPr>
          <w:rFonts w:ascii="Times New Roman" w:cs="Times New Roman" w:eastAsia="Times New Roman" w:hAnsi="Times New Roman"/>
          <w:sz w:val="18"/>
          <w:szCs w:val="18"/>
          <w:color w:val="auto"/>
        </w:rPr>
        <w:t>Our letter agreement with our sponsor, officers and directors contains provisions relating to transfer restrictions of our founder shares, indemnification of the trust account, waiver of redemption rights and participation in liquidating distributions from the trust account. The letter agreement may be amended without shareholder approval with our written consent as well as the written consent of the sponsor and our directors and officers to the extent they are the subject of any change, amendment, modification or waiver to the letter agreement. The written consent of D. Boral Capital LLC as the representative of the underwriters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 dispose of, directly or indirectly, Class A ordinary shares or any other securities convertible into, or exercisable, or exchangeable for, Class A ordinary shares (for more information, also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Transfer Restrictions</w:t>
      </w:r>
      <w:r>
        <w:rPr>
          <w:rFonts w:ascii="Times New Roman" w:cs="Times New Roman" w:eastAsia="Times New Roman" w:hAnsi="Times New Roman"/>
          <w:sz w:val="18"/>
          <w:szCs w:val="18"/>
          <w:color w:val="auto"/>
        </w:rPr>
        <w:t>”). While we do not expect our board to approve any amendment to the letter agreement prior to our initial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193" w:lineRule="exact"/>
        <w:rPr>
          <w:sz w:val="20"/>
          <w:szCs w:val="20"/>
          <w:color w:val="auto"/>
        </w:rPr>
      </w:pPr>
    </w:p>
    <w:p>
      <w:pPr>
        <w:ind w:left="120" w:right="120"/>
        <w:spacing w:after="0" w:line="283" w:lineRule="auto"/>
        <w:rPr>
          <w:sz w:val="20"/>
          <w:szCs w:val="20"/>
          <w:color w:val="auto"/>
        </w:rPr>
      </w:pPr>
      <w:r>
        <w:rPr>
          <w:rFonts w:ascii="Times New Roman" w:cs="Times New Roman" w:eastAsia="Times New Roman" w:hAnsi="Times New Roman"/>
          <w:sz w:val="18"/>
          <w:szCs w:val="18"/>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61" w:lineRule="exact"/>
        <w:rPr>
          <w:sz w:val="20"/>
          <w:szCs w:val="20"/>
          <w:color w:val="auto"/>
        </w:rPr>
      </w:pPr>
    </w:p>
    <w:p>
      <w:pPr>
        <w:jc w:val="both"/>
        <w:ind w:left="120" w:firstLine="440"/>
        <w:spacing w:after="0" w:line="260" w:lineRule="auto"/>
        <w:rPr>
          <w:sz w:val="20"/>
          <w:szCs w:val="20"/>
          <w:color w:val="auto"/>
        </w:rPr>
      </w:pPr>
      <w:r>
        <w:rPr>
          <w:rFonts w:ascii="Times New Roman" w:cs="Times New Roman" w:eastAsia="Times New Roman" w:hAnsi="Times New Roman"/>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8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w:t>
      </w:r>
      <w:r>
        <w:rPr>
          <w:rFonts w:ascii="Times New Roman" w:cs="Times New Roman" w:eastAsia="Times New Roman" w:hAnsi="Times New Roman"/>
          <w:sz w:val="18"/>
          <w:szCs w:val="18"/>
          <w:i w:val="1"/>
          <w:iCs w:val="1"/>
          <w:color w:val="auto"/>
        </w:rPr>
        <w:t>Description of Securities — Certain Differences in Corporate Law</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81"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119" w:lineRule="exact"/>
        <w:rPr>
          <w:sz w:val="20"/>
          <w:szCs w:val="20"/>
          <w:color w:val="auto"/>
        </w:rPr>
      </w:pPr>
    </w:p>
    <w:p>
      <w:pPr>
        <w:ind w:left="120" w:right="320"/>
        <w:spacing w:after="0" w:line="283" w:lineRule="auto"/>
        <w:rPr>
          <w:sz w:val="20"/>
          <w:szCs w:val="20"/>
          <w:color w:val="auto"/>
        </w:rPr>
      </w:pPr>
      <w:r>
        <w:rPr>
          <w:rFonts w:ascii="Times New Roman" w:cs="Times New Roman" w:eastAsia="Times New Roman" w:hAnsi="Times New Roman"/>
          <w:sz w:val="18"/>
          <w:szCs w:val="18"/>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permitted withdrawals (less, in the case we are unable to complete our initial business combination, of up to $100,000 of interest). Negative interest rates could reduce the value of the assets held in trust such that the per-share redemption amount received by public shareholders may be less than $10.00 per share.</w:t>
      </w:r>
    </w:p>
    <w:p>
      <w:pPr>
        <w:spacing w:after="0" w:line="184" w:lineRule="exact"/>
        <w:rPr>
          <w:sz w:val="20"/>
          <w:szCs w:val="20"/>
          <w:color w:val="auto"/>
        </w:rPr>
      </w:pPr>
    </w:p>
    <w:p>
      <w:pPr>
        <w:ind w:left="120" w:right="540"/>
        <w:spacing w:after="0" w:line="283" w:lineRule="auto"/>
        <w:rPr>
          <w:sz w:val="20"/>
          <w:szCs w:val="20"/>
          <w:color w:val="auto"/>
        </w:rPr>
      </w:pPr>
      <w:r>
        <w:rPr>
          <w:rFonts w:ascii="Times New Roman" w:cs="Times New Roman" w:eastAsia="Times New Roman" w:hAnsi="Times New Roman"/>
          <w:sz w:val="18"/>
          <w:szCs w:val="18"/>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6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public shareholders shall be entitled to receive funds from the trust account only (i) in the event of a redemption to public shareholders prior to any winding up in the event we do not consummate our initial business combination or our liquidation, (ii) if they redeem their shares in connection with an initial business combination that we consummate or, (iii) if they redeem their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our pre-business combination activity and related shareholders’ rights. In no other circumstances will a shareholder have any right or interest of any kind to the funds in the trust account. Accordingly, to liquidate your investment, you may be forced to sell your securities, potentially at a loss.</w:t>
      </w:r>
    </w:p>
    <w:p>
      <w:pPr>
        <w:spacing w:after="0" w:line="187" w:lineRule="exact"/>
        <w:rPr>
          <w:sz w:val="20"/>
          <w:szCs w:val="20"/>
          <w:color w:val="auto"/>
        </w:rPr>
      </w:pPr>
    </w:p>
    <w:p>
      <w:pPr>
        <w:ind w:left="120" w:right="100"/>
        <w:spacing w:after="0" w:line="283" w:lineRule="auto"/>
        <w:rPr>
          <w:sz w:val="20"/>
          <w:szCs w:val="20"/>
          <w:color w:val="auto"/>
        </w:rPr>
      </w:pPr>
      <w:r>
        <w:rPr>
          <w:rFonts w:ascii="Times New Roman" w:cs="Times New Roman" w:eastAsia="Times New Roman" w:hAnsi="Times New Roman"/>
          <w:sz w:val="18"/>
          <w:szCs w:val="18"/>
          <w:i w:val="1"/>
          <w:iCs w:val="1"/>
          <w:color w:val="auto"/>
        </w:rPr>
        <w:t>Nasdaq may delist our securities from trading on its exchange, which could limit investors’ ability to make transactions in our securities and subject us to additional trading restrictions.</w:t>
      </w:r>
    </w:p>
    <w:p>
      <w:pPr>
        <w:spacing w:after="0" w:line="16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applied to have our public units listed on Nasdaq. We expect that our public units will be listed on Nasdaq on or promptly after the date of this prospectus. Following the date our public shares and public rights are eligible to trade separately, we anticipate that our public shares and public rights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an average market value of listed securities (generally $50,000,000) and a minimum number of holders of our securities (generally 300 public shareholders).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unless we decide to list on a different Nasdaq tier, such as the Nasdaq Capital Market which has different initial listing requirements, our share price would generally be required to be at least $4.00 per share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1"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8"/>
          <w:szCs w:val="18"/>
          <w:color w:val="auto"/>
        </w:rPr>
        <w:t>and we would be required to have a minimum of 400 round lot holders of our securities. We may not be able to meet those initial listing requirements at that time.</w:t>
      </w:r>
    </w:p>
    <w:p>
      <w:pPr>
        <w:spacing w:after="0" w:line="163"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3" w:lineRule="exact"/>
        <w:rPr>
          <w:sz w:val="20"/>
          <w:szCs w:val="20"/>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public shares is a “penny stock” which will require brokers trading in our public shares to adhere to more stringent rules and possibly result in a reduced level of trading activity in the secondary trading market for our securities;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public units and eventually our public shares and public rights will be listed on Nasdaq, our public units, public shares, and public rights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You will not be entitled to protections normally afforded to investors of many other blank check companies.</w:t>
      </w:r>
    </w:p>
    <w:p>
      <w:pPr>
        <w:spacing w:after="0" w:line="22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Since the net proceeds of this offering and the sale of the private placement units are intended to be used to complete an initial business combination with a target business that has not been selected, we may be deemed to be a “blank check” company under the United States securities laws. However, we are exempt from rules promulgated by the SEC to protect investors in blank check companies, such as Rule 419. Accordingly, investors will not be afforded the benefits or protections of those rules. Among other things, this means our units will be immediately tradable and we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84" w:lineRule="exact"/>
        <w:rPr>
          <w:sz w:val="20"/>
          <w:szCs w:val="20"/>
          <w:color w:val="auto"/>
        </w:rPr>
      </w:pPr>
    </w:p>
    <w:p>
      <w:pPr>
        <w:ind w:left="120"/>
        <w:spacing w:after="0" w:line="283" w:lineRule="auto"/>
        <w:rPr>
          <w:sz w:val="20"/>
          <w:szCs w:val="20"/>
          <w:color w:val="auto"/>
        </w:rPr>
      </w:pPr>
      <w:r>
        <w:rPr>
          <w:rFonts w:ascii="Times New Roman" w:cs="Times New Roman" w:eastAsia="Times New Roman" w:hAnsi="Times New Roman"/>
          <w:sz w:val="18"/>
          <w:szCs w:val="18"/>
          <w:i w:val="1"/>
          <w:iCs w:val="1"/>
          <w:color w:val="auto"/>
        </w:rPr>
        <w:t>Purchases of public shares on the open market or in privately negotiated transactions by our sponsor, directors, executive officers, or their affiliates may make it difficult for us to maintain the listing of our public shares on Nasdaq following the consummation of an initial business combination.</w:t>
      </w:r>
    </w:p>
    <w:p>
      <w:pPr>
        <w:spacing w:after="0" w:line="5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our sponsor, directors, executive officers, or their affiliates purchase public shares on the open market or in privately negotiated transactions, the public “float” of our public shares and the number of beneficial holders of our securities would both be reduced, possibly making it difficult to maintain the listing or trading of our securities on Nasdaq following consummation of the initial business combination. Additionally, at any time at or prior to the completion of our initial business combination, subject to applicable securities laws (including with respect to material nonpublic information), our initial shareholders, directors, executive officers, or their affiliates may enter into transactions with investors and others to provide them with incentives to acquire public shares or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1"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not redeem their public shares. Such a purchase may include a contractual acknowledgment that such shareholder, although still the record holder of our shares is no longer the beneficial owner thereof and therefore agrees not to exercise its redemption rights. In the event that our initial shareholders, directors, officers, and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It is intended that, if Rule 10b-18 would apply to purchases by our initial shareholders, directors, officers, and their affiliates, then such purchases will comply with Rule 10b-18 under the Exchange Act, to the extent it applies, which provides a safe harbor for purchases made under certain conditions, including with respect to timing, pricing and volume of purchases.</w:t>
      </w:r>
    </w:p>
    <w:p>
      <w:pPr>
        <w:spacing w:after="0" w:line="19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is no limit on the number of shares our initial shareholders,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any material non-public information not disclosed to the seller or if such purchases are prohibited by Regulation M under the Exchange Act.</w:t>
      </w:r>
    </w:p>
    <w:p>
      <w:pPr>
        <w:spacing w:after="0" w:line="182"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The purpose of any such purchases of shares could be to (i) increase the likelihood of obtaining shareholder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Any such transactions may result in the completion of our business combination that may not otherwise have been possible.</w:t>
      </w:r>
    </w:p>
    <w:p>
      <w:pPr>
        <w:spacing w:after="0" w:line="182"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13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directors, officers, and/or their affiliates anticipate that they may identify the shareholders with whom our initial shareholders, directors, officers, or their affiliates may pursue privately negotiated purchases by either the shareholders contacting us directly or by our receipt of redemption requests submitted by shareholders (holding public shares) following our mailing of proxy materials in connection with our initial business combination. To the extent that our initial shareholders, directors, officers,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initial shareholders, directors, officers,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19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Any purchases by our initial shareholders, directors, officers,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initial shareholders, directors, officers, and/or their affiliates will be subject to restrictions in making purchases of ordinary shares if the</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1"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8"/>
          <w:szCs w:val="18"/>
          <w:color w:val="auto"/>
        </w:rPr>
        <w:t>purchases would violate Section 9(a)(2) or Rule 10b-5 of the Exchange Act. Any such purchases will be reported pursuant to Section 13 and Section 16 of the Exchange Act to the extent such purchasers are subject to such reporting requirements.</w:t>
      </w:r>
    </w:p>
    <w:p>
      <w:pPr>
        <w:spacing w:after="0" w:line="163"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Additionally, in the event our initial shareholders, directors, officers, or their affiliates were to purchase public shares from public shareholders, such purchases would be structured in compliance with the requirements of Rule 14e-5 under the Exchange Act including, in pertinent part, through adherence to the following:</w:t>
      </w:r>
    </w:p>
    <w:p>
      <w:pPr>
        <w:spacing w:after="0" w:line="83" w:lineRule="exact"/>
        <w:rPr>
          <w:sz w:val="20"/>
          <w:szCs w:val="20"/>
          <w:color w:val="auto"/>
        </w:rPr>
      </w:pPr>
    </w:p>
    <w:p>
      <w:pPr>
        <w:ind w:left="1100" w:right="120" w:hanging="438"/>
        <w:spacing w:after="0" w:line="265"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statement/proxy statement filed for our business combination transaction would disclose the possibility that our initial shareholders, directors, officers, and their affiliates may purchase public shares from public shareholders outside the redemption process, along with the purpose of such purchases;</w:t>
      </w:r>
    </w:p>
    <w:p>
      <w:pPr>
        <w:spacing w:after="0" w:line="82"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shareholders, directors, officers, and their affiliates were to purchase public shares from public shareholders, they would do so at a price no higher than the price offered through our redemption process;</w:t>
      </w:r>
    </w:p>
    <w:p>
      <w:pPr>
        <w:spacing w:after="0" w:line="68" w:lineRule="exact"/>
        <w:rPr>
          <w:rFonts w:ascii="Times New Roman" w:cs="Times New Roman" w:eastAsia="Times New Roman" w:hAnsi="Times New Roman"/>
          <w:sz w:val="18"/>
          <w:szCs w:val="18"/>
          <w:color w:val="auto"/>
        </w:rPr>
      </w:pPr>
    </w:p>
    <w:p>
      <w:pPr>
        <w:ind w:left="1100" w:right="220" w:hanging="438"/>
        <w:spacing w:after="0" w:line="265"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statement/proxy statement filed for our business combination transaction would include a representation that any of our securities purchased by our initial shareholders, directors, officers, and their affiliates would not be voted in favor of approving the business combination transaction;</w:t>
      </w:r>
    </w:p>
    <w:p>
      <w:pPr>
        <w:spacing w:after="0" w:line="82" w:lineRule="exact"/>
        <w:rPr>
          <w:rFonts w:ascii="Times New Roman" w:cs="Times New Roman" w:eastAsia="Times New Roman" w:hAnsi="Times New Roman"/>
          <w:sz w:val="18"/>
          <w:szCs w:val="18"/>
          <w:color w:val="auto"/>
        </w:rPr>
      </w:pPr>
    </w:p>
    <w:p>
      <w:pPr>
        <w:ind w:left="1100" w:right="80" w:hanging="438"/>
        <w:spacing w:after="0" w:line="281"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shareholders, directors, officers, and their affiliates would not possess any redemption rights with respect to our securities or, if they do acquire and possess redemption rights, they would waive such rights; and</w:t>
      </w:r>
    </w:p>
    <w:p>
      <w:pPr>
        <w:spacing w:after="0" w:line="68" w:lineRule="exact"/>
        <w:rPr>
          <w:rFonts w:ascii="Times New Roman" w:cs="Times New Roman" w:eastAsia="Times New Roman" w:hAnsi="Times New Roman"/>
          <w:sz w:val="18"/>
          <w:szCs w:val="18"/>
          <w:color w:val="auto"/>
        </w:rPr>
      </w:pPr>
    </w:p>
    <w:p>
      <w:pPr>
        <w:ind w:left="1100" w:right="440" w:hanging="438"/>
        <w:spacing w:after="0" w:line="281"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disclose in a Form 8-K, before our security holder meeting to approve the business combination transaction, the following material items:</w:t>
      </w:r>
    </w:p>
    <w:p>
      <w:pPr>
        <w:spacing w:after="0" w:line="68"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securities purchased outside of the redemption offer by our initial shareholders, directors, officers, and their affiliates, along with the purchase price;</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purchases by our initial shareholders, directors, officers, and their affiliates;</w:t>
      </w:r>
    </w:p>
    <w:p>
      <w:pPr>
        <w:spacing w:after="0" w:line="130" w:lineRule="exact"/>
        <w:rPr>
          <w:rFonts w:ascii="Times New Roman" w:cs="Times New Roman" w:eastAsia="Times New Roman" w:hAnsi="Times New Roman"/>
          <w:sz w:val="18"/>
          <w:szCs w:val="18"/>
          <w:color w:val="auto"/>
        </w:rPr>
      </w:pPr>
    </w:p>
    <w:p>
      <w:pPr>
        <w:ind w:left="1100" w:right="300" w:hanging="438"/>
        <w:spacing w:after="0" w:line="281"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purchases by our initial shareholders, directors, officers, and their affiliates on the likelihood that the business combination transaction will be approved;</w:t>
      </w:r>
    </w:p>
    <w:p>
      <w:pPr>
        <w:spacing w:after="0" w:line="68" w:lineRule="exact"/>
        <w:rPr>
          <w:rFonts w:ascii="Times New Roman" w:cs="Times New Roman" w:eastAsia="Times New Roman" w:hAnsi="Times New Roman"/>
          <w:sz w:val="18"/>
          <w:szCs w:val="18"/>
          <w:color w:val="auto"/>
        </w:rPr>
      </w:pPr>
    </w:p>
    <w:p>
      <w:pPr>
        <w:ind w:left="1100" w:right="160" w:hanging="438"/>
        <w:spacing w:after="0" w:line="265"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our security holders who sold to our initial shareholders, directors, officers, and their affiliates (if not purchased on the open market) or the nature of our security holders (e.g., 5% security holders) who sold to our initial shareholders, directors, officers, and their affiliates; and</w:t>
      </w:r>
    </w:p>
    <w:p>
      <w:pPr>
        <w:spacing w:after="0" w:line="82"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securities for which we have received redemption requests pursuant to our redemption offer.</w:t>
      </w:r>
    </w:p>
    <w:p>
      <w:pPr>
        <w:spacing w:after="0" w:line="223"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Since only holders of our founder shares and private investor shares will have the right to vote on the appointment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p>
    <w:p>
      <w:pPr>
        <w:spacing w:after="0" w:line="17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only holders of our founder shares and private investor shares will have the right to vote on the appointment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spacing w:after="0" w:line="88" w:lineRule="exact"/>
        <w:rPr>
          <w:sz w:val="20"/>
          <w:szCs w:val="20"/>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that includes a majority of “independent directors,” as defined under Nasdaq rules;</w:t>
      </w:r>
    </w:p>
    <w:p>
      <w:pPr>
        <w:spacing w:after="0" w:line="130" w:lineRule="exact"/>
        <w:rPr>
          <w:rFonts w:ascii="Times New Roman" w:cs="Times New Roman" w:eastAsia="Times New Roman" w:hAnsi="Times New Roman"/>
          <w:sz w:val="18"/>
          <w:szCs w:val="18"/>
          <w:color w:val="auto"/>
        </w:rPr>
      </w:pPr>
    </w:p>
    <w:p>
      <w:pPr>
        <w:ind w:left="1100" w:right="140" w:hanging="438"/>
        <w:spacing w:after="0" w:line="281"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of our board that is comprised entirely of independent directors with a written charter addressing the committee’s purpose and responsibilities; and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60"/>
          </w:cols>
          <w:pgMar w:left="320" w:top="481"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oversight of our director nominations.</w:t>
      </w:r>
    </w:p>
    <w:p>
      <w:pPr>
        <w:spacing w:after="0" w:line="225" w:lineRule="exact"/>
        <w:rPr>
          <w:sz w:val="20"/>
          <w:szCs w:val="20"/>
          <w:color w:val="auto"/>
        </w:rPr>
      </w:pPr>
    </w:p>
    <w:p>
      <w:pPr>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spacing w:after="0" w:line="175"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i w:val="1"/>
          <w:iCs w:val="1"/>
          <w:color w:val="auto"/>
        </w:rPr>
        <w:t>Because our sponsor paid an aggregate of $15,756, or $0.002108 per founder share (assuming the full exercise of the over-allotment option and after giving effect to the sales of shares to four of our directors), our four directors paid an aggregate of $9,244, or $0.02462 per founder share), and, concurrent with the consummation of this offering, the non-managing investors will purchase 2,964,203 private investor shares at a purchase price of $0.023254 per private investor share, and our insiders and the non-managing investors will purchase 337,675 private placement units at a purchase price of $9.7374 per private placement unit, you will experience immediate and substantial dilution from the purchase of our public shares.</w:t>
      </w:r>
    </w:p>
    <w:p>
      <w:pPr>
        <w:spacing w:after="0" w:line="184"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difference between the public offering price per share and the pro forma net tangible book value per public share after this offering constitutes the dilution to you and the other investors in this offering. Our sponsor acquired the founder shares at a nominal price of $0.002108 per founder share, our directors will pay $0.02462 per founder share and concurrent with the consummation of this offering, the non-managing investors will purchase 2,964,203 private investor shares at a purchase price of $0.023254 per private investor share, and our insiders and the non-managing investors will purchase 337,675 private placement units at a purchase price of $9.7374 per private placement unit, contributing to this dilution. Upon closing of this offering, and assuming that the underwriters do not exercise the over-allotment option, you and the other public shareholders will incur an immediate and substantial dilution of approximately 98.9% or $9.89 per share (the difference between the pro forma net tangible book value of $0.11 per share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 Moreover, although we are of the view that our sponsor, directors and officers paid fair value for the founder shares, there is no assurance that a taxing authority would agree with us, and if a taxing authority were to successfully assert otherwise, we may be subject to material withholding and other tax liabilities that could adversely affect our financial condition.</w:t>
      </w:r>
    </w:p>
    <w:p>
      <w:pPr>
        <w:spacing w:after="0" w:line="17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post-offering not to trade any public shares that they acquire in the offering or otherwise, and it may adversely affect the trading price of our public shares.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1"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do not expect any potential purchases of units by the non-managing investors to negatively impact our ability to meet Nasdaq listing eligibility requirements. However, Nasdaq’s initial listing eligibility requirements for special purpose acquisition companies provide that we must have at least 300 round lot holders upon the completion of the offering, and that in order to maintain the listing on Nasdaq, that we must have at least 300 public shareholders. To the extent that the non-managing investors purchase substantially all of the public units in this offering, then unless there are a sufficient number of other purchasers of public units in this offering to satisfy the Nasdaq listing eligibility requirements, we will not be successful in listing on Nasdaq, and if we are able to list on Nasdaq, but the non-managing investors continue to hold the shares included in the public units that they acquire in this offering, whereas other purchasers do not do so and the trading volume, volatility or liquidity are effected by the public units not having been more widely offered, then it is possible that we will not be able to maintain the number of public shareholders required by Nasdaq to continue to list on Nasdaq.</w:t>
      </w:r>
    </w:p>
    <w:p>
      <w:pPr>
        <w:spacing w:after="0" w:line="18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Such ownership may create an incentive for the non-managing investors to vote any public shares they own in favor of a business combination and make a substantial profit on their private investor shares and private placement units, even if the business combination is with a target that ultimately declines in value and is not profitable for other public shareholders.</w:t>
      </w:r>
    </w:p>
    <w:p>
      <w:pPr>
        <w:spacing w:after="0" w:line="185"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nominal purchase price paid by our insiders for the founder shares and paid by the 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w:t>
      </w:r>
    </w:p>
    <w:p>
      <w:pPr>
        <w:spacing w:after="0" w:line="174"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1"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founder shares, of which up to 1,023,943 Class B ordinary shares remain subject to forfeiture depending on the extent to which the underwriters’ over-allotment option is exercised during this offering. Our sponsor intends at the time of this offering to sell 375,397 founder shares in the aggregate to Messrs. Greene, Machuca, Timm and Horowitz at an aggregate price of $9,244 (or $0.02462 per share), thus reducing the price paid by our sponsor for the 7,474,832 founder shares which it is retaining to $15,756, or $0.002108 per share. Up to 1,023,943 founder shares held by our insiders will remain subject to forfeiture on a pro rata basis depending on the extent to which the underwriters’ over-allotment option is exercised during this offering. Our sponsor which is owned by two of our directors, Dr. Avi S. Katz and Dr. Raluca Dinu, (or non-affiliated investors to which our sponsor assigns this subscription) together with four of our other directors, James Greene, Luis Machuca, Bryan Timm and Raanan Horowitz, will also purchase 95,200 private placement units (including if the underwriters’ over-allotment option is exercised in full), at a price of $9.7374 per unit, for an aggregate purchase price of $927,000 in a private placement that will close simultaneously with the closing of this offering.</w:t>
      </w:r>
    </w:p>
    <w:p>
      <w:pPr>
        <w:spacing w:after="0" w:line="186"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Separately, 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w:t>
      </w:r>
    </w:p>
    <w:p>
      <w:pPr>
        <w:spacing w:after="0" w:line="18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a result, the value of your public shares may be significantly diluted upon the consummation of our initial business combination, when the founder shares, private placement shares and private investor shares are converted into public shares. For example, the following table shows the dilutive effect of the founder shares, private investor shares and private placement shares on the implied value of the public shares upon the consummation of our initial business combination, assuming that our equity value at that time is $220,000,000, which is the amount in cash we would have for our initial business combination in the trust account, assuming the underwriters’ over-allotment option is not exercised,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equityholders or other third parties, or the target’s business itself, including its assets, liabilities, management and prospects. At such valuation, our shares would have an implied value of $6.93 per share upon consummation of our initial business combination, which would be a 30.7% decrease as compared to the initial implied value per public share of $10.00 (the price per unit in this offering, assuming no value is ascribed to the public rights).</w:t>
      </w:r>
    </w:p>
    <w:p>
      <w:pPr>
        <w:sectPr>
          <w:pgSz w:w="11900" w:h="16838" w:orient="portrait"/>
          <w:cols w:equalWidth="0" w:num="1">
            <w:col w:w="11120"/>
          </w:cols>
          <w:pgMar w:left="320" w:top="481" w:right="459" w:bottom="1440" w:gutter="0" w:footer="0" w:header="0"/>
        </w:sectPr>
      </w:pPr>
    </w:p>
    <w:p>
      <w:pPr>
        <w:spacing w:after="0" w:line="3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-119380</wp:posOffset>
            </wp:positionV>
            <wp:extent cx="474345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43450" cy="137160"/>
                    </a:xfrm>
                    <a:prstGeom prst="rect">
                      <a:avLst/>
                    </a:prstGeom>
                    <a:noFill/>
                  </pic:spPr>
                </pic:pic>
              </a:graphicData>
            </a:graphic>
          </wp:anchor>
        </w:drawing>
      </w:r>
    </w:p>
    <w:p>
      <w:pPr>
        <w:ind w:left="1880"/>
        <w:spacing w:after="0" w:line="231" w:lineRule="auto"/>
        <w:rPr>
          <w:sz w:val="20"/>
          <w:szCs w:val="20"/>
          <w:color w:val="auto"/>
        </w:rPr>
      </w:pPr>
      <w:r>
        <w:rPr>
          <w:rFonts w:ascii="Times New Roman" w:cs="Times New Roman" w:eastAsia="Times New Roman" w:hAnsi="Times New Roman"/>
          <w:sz w:val="18"/>
          <w:szCs w:val="18"/>
          <w:color w:val="auto"/>
        </w:rPr>
        <w:t>Founder shares</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0</wp:posOffset>
            </wp:positionV>
            <wp:extent cx="474345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43450" cy="137160"/>
                    </a:xfrm>
                    <a:prstGeom prst="rect">
                      <a:avLst/>
                    </a:prstGeom>
                    <a:noFill/>
                  </pic:spPr>
                </pic:pic>
              </a:graphicData>
            </a:graphic>
          </wp:anchor>
        </w:drawing>
      </w:r>
    </w:p>
    <w:p>
      <w:pPr>
        <w:ind w:left="1880"/>
        <w:spacing w:after="0" w:line="199" w:lineRule="auto"/>
        <w:rPr>
          <w:sz w:val="20"/>
          <w:szCs w:val="20"/>
          <w:color w:val="auto"/>
        </w:rPr>
      </w:pPr>
      <w:r>
        <w:rPr>
          <w:rFonts w:ascii="Times New Roman" w:cs="Times New Roman" w:eastAsia="Times New Roman" w:hAnsi="Times New Roman"/>
          <w:sz w:val="18"/>
          <w:szCs w:val="18"/>
          <w:color w:val="auto"/>
        </w:rPr>
        <w:t>Private investor shares</w:t>
      </w:r>
      <w:r>
        <w:rPr>
          <w:rFonts w:ascii="Times New Roman" w:cs="Times New Roman" w:eastAsia="Times New Roman" w:hAnsi="Times New Roman"/>
          <w:sz w:val="22"/>
          <w:szCs w:val="22"/>
          <w:color w:val="auto"/>
          <w:vertAlign w:val="superscript"/>
        </w:rPr>
        <w:t>(2)</w:t>
      </w:r>
    </w:p>
    <w:p>
      <w:pPr>
        <w:ind w:left="1880"/>
        <w:spacing w:after="0" w:line="236" w:lineRule="auto"/>
        <w:rPr>
          <w:sz w:val="20"/>
          <w:szCs w:val="20"/>
          <w:color w:val="auto"/>
        </w:rPr>
      </w:pPr>
      <w:r>
        <w:rPr>
          <w:rFonts w:ascii="Times New Roman" w:cs="Times New Roman" w:eastAsia="Times New Roman" w:hAnsi="Times New Roman"/>
          <w:sz w:val="18"/>
          <w:szCs w:val="18"/>
          <w:color w:val="auto"/>
        </w:rPr>
        <w:t>Private placement shares underlying private placement units</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0</wp:posOffset>
            </wp:positionV>
            <wp:extent cx="474345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43450"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Total shares</w:t>
      </w:r>
    </w:p>
    <w:p>
      <w:pPr>
        <w:spacing w:after="0" w:line="43" w:lineRule="exact"/>
        <w:rPr>
          <w:sz w:val="20"/>
          <w:szCs w:val="20"/>
          <w:color w:val="auto"/>
        </w:rPr>
      </w:pPr>
    </w:p>
    <w:p>
      <w:pPr>
        <w:ind w:left="1880" w:right="1320"/>
        <w:spacing w:after="0" w:line="231" w:lineRule="auto"/>
        <w:rPr>
          <w:sz w:val="20"/>
          <w:szCs w:val="20"/>
          <w:color w:val="auto"/>
        </w:rPr>
      </w:pPr>
      <w:r>
        <w:rPr>
          <w:rFonts w:ascii="Times New Roman" w:cs="Times New Roman" w:eastAsia="Times New Roman" w:hAnsi="Times New Roman"/>
          <w:sz w:val="18"/>
          <w:szCs w:val="18"/>
          <w:color w:val="auto"/>
        </w:rPr>
        <w:t>Total funds in trust available for initial business combination Initial implied value per public share</w:t>
      </w:r>
      <w:r>
        <w:rPr>
          <w:rFonts w:ascii="Times New Roman" w:cs="Times New Roman" w:eastAsia="Times New Roman" w:hAnsi="Times New Roman"/>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-132080</wp:posOffset>
            </wp:positionV>
            <wp:extent cx="474345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43450"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7"/>
          <w:szCs w:val="17"/>
          <w:color w:val="auto"/>
        </w:rPr>
        <w:t>Implied value per share upon consummation of initial business combination</w:t>
      </w:r>
      <w:r>
        <w:rPr>
          <w:rFonts w:ascii="Times New Roman" w:cs="Times New Roman" w:eastAsia="Times New Roman" w:hAnsi="Times New Roman"/>
          <w:sz w:val="21"/>
          <w:szCs w:val="21"/>
          <w:color w:val="auto"/>
          <w:vertAlign w:val="superscript"/>
        </w:rPr>
        <w:t>(5)</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22,000,000</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6,826,286</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2,577,522</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337,675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337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7"/>
          <w:szCs w:val="17"/>
          <w:color w:val="auto"/>
        </w:rPr>
        <w:t>31,741,483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6337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37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41910</wp:posOffset>
            </wp:positionV>
            <wp:extent cx="6337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$220,000,000</w:t>
      </w:r>
    </w:p>
    <w:p>
      <w:pPr>
        <w:spacing w:after="0" w:line="27" w:lineRule="exact"/>
        <w:rPr>
          <w:sz w:val="20"/>
          <w:szCs w:val="20"/>
          <w:color w:val="auto"/>
        </w:rPr>
      </w:pPr>
    </w:p>
    <w:p>
      <w:pPr>
        <w:ind w:left="600" w:hanging="593"/>
        <w:spacing w:after="0"/>
        <w:tabs>
          <w:tab w:leader="none" w:pos="6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w:t>
      </w:r>
    </w:p>
    <w:p>
      <w:pPr>
        <w:spacing w:after="0" w:line="20" w:lineRule="exact"/>
        <w:rPr>
          <w:rFonts w:ascii="Times New Roman" w:cs="Times New Roman" w:eastAsia="Times New Roman" w:hAnsi="Times New Roman"/>
          <w:sz w:val="17"/>
          <w:szCs w:val="17"/>
          <w:color w:val="auto"/>
        </w:rPr>
      </w:pPr>
    </w:p>
    <w:p>
      <w:pPr>
        <w:ind w:left="700" w:hanging="693"/>
        <w:spacing w:after="0"/>
        <w:tabs>
          <w:tab w:leader="none" w:pos="7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6.93</w:t>
      </w:r>
    </w:p>
    <w:p>
      <w:pPr>
        <w:spacing w:after="0" w:line="240" w:lineRule="exact"/>
        <w:rPr>
          <w:sz w:val="20"/>
          <w:szCs w:val="20"/>
          <w:color w:val="auto"/>
        </w:rPr>
      </w:pPr>
    </w:p>
    <w:p>
      <w:pPr>
        <w:sectPr>
          <w:pgSz w:w="11900" w:h="16838" w:orient="portrait"/>
          <w:cols w:equalWidth="0" w:num="2">
            <w:col w:w="7580" w:space="720"/>
            <w:col w:w="2820"/>
          </w:cols>
          <w:pgMar w:left="320" w:top="481" w:right="459" w:bottom="1440" w:gutter="0" w:footer="0" w:header="0"/>
          <w:type w:val="continuous"/>
        </w:sectPr>
      </w:pPr>
    </w:p>
    <w:p>
      <w:pPr>
        <w:spacing w:after="0" w:line="4" w:lineRule="exact"/>
        <w:rPr>
          <w:sz w:val="20"/>
          <w:szCs w:val="20"/>
          <w:color w:val="auto"/>
        </w:rPr>
      </w:pPr>
    </w:p>
    <w:p>
      <w:pPr>
        <w:ind w:left="560" w:hanging="438"/>
        <w:spacing w:after="0" w:line="260" w:lineRule="auto"/>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over-allotment option has not been exercised and an aggregate of 1,023,943 founder shares have been forfeited by our insiders as a result thereof.</w:t>
      </w:r>
    </w:p>
    <w:p>
      <w:pPr>
        <w:spacing w:after="0" w:line="1" w:lineRule="exact"/>
        <w:rPr>
          <w:rFonts w:ascii="Times New Roman" w:cs="Times New Roman" w:eastAsia="Times New Roman" w:hAnsi="Times New Roman"/>
          <w:sz w:val="18"/>
          <w:szCs w:val="18"/>
          <w:color w:val="auto"/>
        </w:rPr>
      </w:pPr>
    </w:p>
    <w:p>
      <w:pPr>
        <w:ind w:left="560" w:right="400" w:hanging="438"/>
        <w:spacing w:after="0" w:line="260" w:lineRule="auto"/>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over-allotment option has not been exercised and an aggregate of 386,681 private investor shares have been forfeited by the non-managing investors as a result thereof.</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1" w:right="4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right="140" w:hanging="438"/>
        <w:spacing w:after="0" w:line="257" w:lineRule="auto"/>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over-allotment option has not been exercised and the total of 337,675 private placement shares underlying 337,675 private placement units are outstanding, consisting of 95,200 private placement shares held by the insiders and 242,475 private placement shares held by the non-managing investors, and assuming further that no private placement rights have been exercised.</w:t>
      </w:r>
    </w:p>
    <w:p>
      <w:pPr>
        <w:ind w:left="560" w:right="20" w:hanging="438"/>
        <w:spacing w:after="0" w:line="250" w:lineRule="auto"/>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public shareholders’ investment is in both the public shares and the public rights, for purposes of this table the full investment amount is ascribed to the public shares only.</w:t>
      </w:r>
    </w:p>
    <w:p>
      <w:pPr>
        <w:ind w:left="560" w:right="240" w:hanging="438"/>
        <w:spacing w:after="0" w:line="260" w:lineRule="auto"/>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founder shares and private investor shares would automatically convert into Class A ordinary shares upon completion of our initial business combination or earlier at the option of the holder.</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dilution would increase to the extent that the anti-dilution provisions of the founder shares and private investor shares result in the issuance of Class A ordinary shares on a greater than one-to-one basis upon conversion of the founder shares and private investor shares at the time of our initial business combination and would become exacerbated to the extent that public shareholders seek redemptions from the trust for their public shares. In addition, because of the anti-dilution protection in the founder shares and private investor shares, any equity or equity-linked securities issued in connection with our initial business combination would be disproportionately dilutive to our Class A ordinary shares.</w:t>
      </w:r>
    </w:p>
    <w:p>
      <w:pPr>
        <w:spacing w:after="0" w:line="180" w:lineRule="exact"/>
        <w:rPr>
          <w:sz w:val="20"/>
          <w:szCs w:val="20"/>
          <w:color w:val="auto"/>
        </w:rPr>
      </w:pPr>
    </w:p>
    <w:p>
      <w:pPr>
        <w:ind w:left="120" w:right="560"/>
        <w:spacing w:after="0" w:line="283" w:lineRule="auto"/>
        <w:rPr>
          <w:sz w:val="20"/>
          <w:szCs w:val="20"/>
          <w:color w:val="auto"/>
        </w:rPr>
      </w:pPr>
      <w:r>
        <w:rPr>
          <w:rFonts w:ascii="Times New Roman" w:cs="Times New Roman" w:eastAsia="Times New Roman" w:hAnsi="Times New Roman"/>
          <w:sz w:val="18"/>
          <w:szCs w:val="18"/>
          <w:i w:val="1"/>
          <w:iCs w:val="1"/>
          <w:color w:val="auto"/>
        </w:rPr>
        <w:t>The grant of registration rights to our initial shareholders may make it more difficult to complete our initial business combination, and the future exercise of such rights may adversely affect the market price of our ordinary shares.</w:t>
      </w:r>
    </w:p>
    <w:p>
      <w:pPr>
        <w:spacing w:after="0" w:line="16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an agreement to be entered into concurrently with the issuance and sale of the securities in this offering, holders of the founder shares, private placement units and any units that may be issued upon conversion of working capital loans may demand that we register such units and/or underlying securities. We will bear the cost of registering these securities. The registration and availability of such a significant number of securities for trading in the public market may have an adverse effect on the market price of our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ordinary shares that is expected when the founder shares, private placement units and any units that may be issued upon conversion of working capital loans are registered.</w:t>
      </w:r>
    </w:p>
    <w:p>
      <w:pPr>
        <w:spacing w:after="0" w:line="187" w:lineRule="exact"/>
        <w:rPr>
          <w:sz w:val="20"/>
          <w:szCs w:val="20"/>
          <w:color w:val="auto"/>
        </w:rPr>
      </w:pPr>
    </w:p>
    <w:p>
      <w:pPr>
        <w:ind w:left="120" w:right="400"/>
        <w:spacing w:after="0" w:line="283" w:lineRule="auto"/>
        <w:rPr>
          <w:sz w:val="20"/>
          <w:szCs w:val="20"/>
          <w:color w:val="auto"/>
        </w:rPr>
      </w:pPr>
      <w:r>
        <w:rPr>
          <w:rFonts w:ascii="Times New Roman" w:cs="Times New Roman" w:eastAsia="Times New Roman" w:hAnsi="Times New Roman"/>
          <w:sz w:val="18"/>
          <w:szCs w:val="18"/>
          <w:i w:val="1"/>
          <w:iCs w:val="1"/>
          <w:color w:val="auto"/>
        </w:rPr>
        <w:t>We may amend the terms of the rights in a manner that may be adverse to holders with the approval by the holders of at least a majority of the then outstanding rights.</w:t>
      </w:r>
    </w:p>
    <w:p>
      <w:pPr>
        <w:spacing w:after="0" w:line="161" w:lineRule="exact"/>
        <w:rPr>
          <w:sz w:val="20"/>
          <w:szCs w:val="20"/>
          <w:color w:val="auto"/>
        </w:rPr>
      </w:pPr>
    </w:p>
    <w:p>
      <w:pPr>
        <w:jc w:val="both"/>
        <w:ind w:left="120" w:right="160" w:firstLine="440"/>
        <w:spacing w:after="0" w:line="260" w:lineRule="auto"/>
        <w:rPr>
          <w:sz w:val="20"/>
          <w:szCs w:val="20"/>
          <w:color w:val="auto"/>
        </w:rPr>
      </w:pPr>
      <w:r>
        <w:rPr>
          <w:rFonts w:ascii="Times New Roman" w:cs="Times New Roman" w:eastAsia="Times New Roman" w:hAnsi="Times New Roman"/>
          <w:sz w:val="18"/>
          <w:szCs w:val="18"/>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w:t>
      </w:r>
    </w:p>
    <w:p>
      <w:pPr>
        <w:spacing w:after="0" w:line="180" w:lineRule="exact"/>
        <w:rPr>
          <w:sz w:val="20"/>
          <w:szCs w:val="20"/>
          <w:color w:val="auto"/>
        </w:rPr>
      </w:pPr>
    </w:p>
    <w:p>
      <w:pPr>
        <w:ind w:left="120" w:right="960"/>
        <w:spacing w:after="0" w:line="283" w:lineRule="auto"/>
        <w:rPr>
          <w:sz w:val="20"/>
          <w:szCs w:val="20"/>
          <w:color w:val="auto"/>
        </w:rPr>
      </w:pPr>
      <w:r>
        <w:rPr>
          <w:rFonts w:ascii="Times New Roman" w:cs="Times New Roman" w:eastAsia="Times New Roman" w:hAnsi="Times New Roman"/>
          <w:sz w:val="18"/>
          <w:szCs w:val="18"/>
          <w:i w:val="1"/>
          <w:iCs w:val="1"/>
          <w:color w:val="auto"/>
        </w:rPr>
        <w:t>Our rights may have an adverse effect on the market price of our ordinary shares and make it more difficult to complete our initial business combination.</w:t>
      </w:r>
    </w:p>
    <w:p>
      <w:pPr>
        <w:spacing w:after="0" w:line="161"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We will be issuing rights as part of the units sold in this offering entitling the holders to receive an aggregate of up to 2,200,000 ordinary shares (or up to 2,530,000 ordinary shares if the over-allotment option is exercised in full). Simultaneously with the closing of this offering, we will be issuing as part of the private placement units rights entitling the holders to receive an aggregate of 33,767 ordinary shares (or 35,765 ordinary shares if the over-allotment option is exercised in full).</w:t>
      </w:r>
    </w:p>
    <w:p>
      <w:pPr>
        <w:spacing w:after="0" w:line="182" w:lineRule="exact"/>
        <w:rPr>
          <w:sz w:val="20"/>
          <w:szCs w:val="20"/>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8"/>
          <w:szCs w:val="18"/>
          <w:color w:val="auto"/>
        </w:rPr>
        <w:t>To the extent we issue ordinary shares to complete a business combination, the potential for the issuance of a substantial number of additional ordinary shares upon conversion of the rights could make us a less attractive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1"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65" w:lineRule="auto"/>
        <w:rPr>
          <w:sz w:val="20"/>
          <w:szCs w:val="20"/>
          <w:color w:val="auto"/>
        </w:rPr>
      </w:pPr>
      <w:r>
        <w:rPr>
          <w:rFonts w:ascii="Times New Roman" w:cs="Times New Roman" w:eastAsia="Times New Roman" w:hAnsi="Times New Roman"/>
          <w:sz w:val="18"/>
          <w:szCs w:val="18"/>
          <w:color w:val="auto"/>
        </w:rPr>
        <w:t>acquisition vehicle to a target business. Any such issuance will increase the number of issued and outstanding ordinary shares and reduce the value of the ordinary shares issued to complete the business combination. Therefore, our rights may make it more difficult to complete a business combination or increase the cost of acquiring the target business.</w:t>
      </w:r>
    </w:p>
    <w:p>
      <w:pPr>
        <w:spacing w:after="0" w:line="175"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If we are deemed to be an investment company for purposes of the Investment Company Act, we could be forced to liquidate and investors in our company would not be able to participate in any benefits of owning stock in an operating business, including the potential appreciation of our stock following a business combination and our rights would expire worthless.</w:t>
      </w:r>
    </w:p>
    <w:p>
      <w:pPr>
        <w:spacing w:after="0" w:line="174"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As indicated above, we have 24 months from the closing of this offering to consummate an initial business combination. It is possible that a claim in the future could be made that we have been operating as an unregistered investment company. It is also possible that the investment of funds from this offering and private placement of units during our life as a blank check company, and the earning and use of interest from such investment, both of which will likely continue until we consummate an initial business combination, could increase the likelihood of us being found to have been operating as an unregistered investment company more than if we sought to potentially mitigate this risk by holding such funds as cash. Furthermore, the longer the funds are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the greater the risk could be that we are considered an investment company. If we are deemed to be an investment company for purposes of the Investment Company Act and found to have been operating as an unregistered investment company, it could cause us to liquidate. If we are forced to liquidate, investors in our company would not be able to participate in any benefits of owning stock in an operating business, including the potential appreciation of our stock following a business combination and our rights would expire worthless.</w:t>
      </w:r>
    </w:p>
    <w:p>
      <w:pPr>
        <w:spacing w:after="0" w:line="17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Our rights agreement will designate the courts of the State of New York located in the County of New York or the United States District Court for the Southern District of New York as the sole and exclusive forum for certain types of actions and proceedings that may be initiated by holders of our rights, as applicable, which could limit the ability of rights holders to obtain a favorable judicial forum for disputes with our company.</w:t>
      </w:r>
    </w:p>
    <w:p>
      <w:pPr>
        <w:spacing w:after="0" w:line="174"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1"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65" w:lineRule="auto"/>
        <w:rPr>
          <w:sz w:val="20"/>
          <w:szCs w:val="20"/>
          <w:color w:val="auto"/>
        </w:rPr>
      </w:pPr>
      <w:r>
        <w:rPr>
          <w:rFonts w:ascii="Times New Roman" w:cs="Times New Roman" w:eastAsia="Times New Roman" w:hAnsi="Times New Roman"/>
          <w:sz w:val="18"/>
          <w:szCs w:val="18"/>
          <w:color w:val="auto"/>
        </w:rPr>
        <w:t>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w:t>
      </w:r>
    </w:p>
    <w:p>
      <w:pPr>
        <w:spacing w:after="0" w:line="17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choice-of-forum provision may limit a right holder’s ability to bring a claim in a judicial forum that it finds favorable for disputes with our company, which may discourage such lawsuits. Right holders who are unable to bring their claims in the judicial forum of their choosing may be required to incur additional costs in pursuit of actions which are subject to our choice-of-forum provisions. Alternatively, if a court were to find this provision of our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4" w:lineRule="exact"/>
        <w:rPr>
          <w:sz w:val="20"/>
          <w:szCs w:val="20"/>
          <w:color w:val="auto"/>
        </w:rPr>
      </w:pPr>
    </w:p>
    <w:p>
      <w:pPr>
        <w:ind w:left="120" w:right="320"/>
        <w:spacing w:after="0" w:line="283" w:lineRule="auto"/>
        <w:rPr>
          <w:sz w:val="20"/>
          <w:szCs w:val="20"/>
          <w:color w:val="auto"/>
        </w:rPr>
      </w:pPr>
      <w:r>
        <w:rPr>
          <w:rFonts w:ascii="Times New Roman" w:cs="Times New Roman" w:eastAsia="Times New Roman" w:hAnsi="Times New Roman"/>
          <w:sz w:val="18"/>
          <w:szCs w:val="18"/>
          <w:i w:val="1"/>
          <w:iCs w:val="1"/>
          <w:color w:val="auto"/>
        </w:rPr>
        <w:t>The determination of the offering price of our public units and the size of this offering is more arbitrary than the pricing of securities and size of an offering of an operating company in a particular industry.</w:t>
      </w:r>
    </w:p>
    <w:p>
      <w:pPr>
        <w:spacing w:after="0" w:line="161" w:lineRule="exact"/>
        <w:rPr>
          <w:sz w:val="20"/>
          <w:szCs w:val="20"/>
          <w:color w:val="auto"/>
        </w:rPr>
      </w:pPr>
    </w:p>
    <w:p>
      <w:pPr>
        <w:ind w:left="120" w:firstLine="440"/>
        <w:spacing w:after="0" w:line="280"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any of our securities. The public offering price of the public units and the terms of the rights were negotiated between us and the underwriters. In determining the size of this offering, management held customary organizational meetings with the Representative, with respect to the state of capital markets, generally, and the amount the underwriters believed they reasonably could raise on our behalf. Factors considered in determining the size of this offering, prices and terms of the public units, including the public shares and public rights:</w:t>
      </w:r>
    </w:p>
    <w:p>
      <w:pPr>
        <w:spacing w:after="0" w:line="72" w:lineRule="exact"/>
        <w:rPr>
          <w:sz w:val="20"/>
          <w:szCs w:val="20"/>
          <w:color w:val="auto"/>
        </w:rPr>
      </w:pPr>
    </w:p>
    <w:p>
      <w:pPr>
        <w:ind w:left="1100" w:hanging="438"/>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debt-to-equity ratios in leveraged transactions;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61" w:lineRule="exact"/>
        <w:rPr>
          <w:sz w:val="20"/>
          <w:szCs w:val="20"/>
          <w:color w:val="auto"/>
        </w:rPr>
      </w:pPr>
    </w:p>
    <w:p>
      <w:pPr>
        <w:ind w:left="120" w:right="80"/>
        <w:spacing w:after="0" w:line="283" w:lineRule="auto"/>
        <w:rPr>
          <w:sz w:val="20"/>
          <w:szCs w:val="20"/>
          <w:color w:val="auto"/>
        </w:rPr>
      </w:pPr>
      <w:r>
        <w:rPr>
          <w:rFonts w:ascii="Times New Roman" w:cs="Times New Roman" w:eastAsia="Times New Roman" w:hAnsi="Times New Roman"/>
          <w:sz w:val="18"/>
          <w:szCs w:val="18"/>
          <w:i w:val="1"/>
          <w:iCs w:val="1"/>
          <w:color w:val="auto"/>
        </w:rPr>
        <w:t>There is currently no market for our securities and a market for our securities may not develop, which would adversely affect the liquidity and price of our securities.</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we have applied to list our securities on Nasdaq, as of the date of this prospectus there is currently no market for our securities. Prospective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OTCID Basic Market, the Pink Limited Market or the Expert Limited Market systems for quotations of equity securities not listed on a national exchange, the liquidity and price of our securities may be more limited than if our securities were listed on Nasdaq or another national exchange. You may be unable to sell your securities unless a market can be established and sustained.</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40"/>
          </w:cols>
          <w:pgMar w:left="320" w:top="481" w:right="5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60"/>
        <w:spacing w:after="0" w:line="283" w:lineRule="auto"/>
        <w:rPr>
          <w:sz w:val="20"/>
          <w:szCs w:val="20"/>
          <w:color w:val="auto"/>
        </w:rPr>
      </w:pPr>
      <w:r>
        <w:rPr>
          <w:rFonts w:ascii="Times New Roman" w:cs="Times New Roman" w:eastAsia="Times New Roman" w:hAnsi="Times New Roman"/>
          <w:sz w:val="18"/>
          <w:szCs w:val="18"/>
          <w:i w:val="1"/>
          <w:iCs w:val="1"/>
          <w:color w:val="auto"/>
        </w:rPr>
        <w:t>We may issue our shares to investors in connection with our initial business combination at a price which is less than the prevailing market price of our shares at that time.</w:t>
      </w:r>
    </w:p>
    <w:p>
      <w:pPr>
        <w:spacing w:after="0" w:line="161" w:lineRule="exact"/>
        <w:rPr>
          <w:sz w:val="20"/>
          <w:szCs w:val="20"/>
          <w:color w:val="auto"/>
        </w:rPr>
      </w:pPr>
    </w:p>
    <w:p>
      <w:pPr>
        <w:ind w:left="120" w:right="320" w:firstLine="440"/>
        <w:spacing w:after="0" w:line="260"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180" w:lineRule="exact"/>
        <w:rPr>
          <w:sz w:val="20"/>
          <w:szCs w:val="20"/>
          <w:color w:val="auto"/>
        </w:rPr>
      </w:pPr>
    </w:p>
    <w:p>
      <w:pPr>
        <w:ind w:left="120" w:right="460"/>
        <w:spacing w:after="0" w:line="283" w:lineRule="auto"/>
        <w:rPr>
          <w:sz w:val="20"/>
          <w:szCs w:val="20"/>
          <w:color w:val="auto"/>
        </w:rPr>
      </w:pPr>
      <w:r>
        <w:rPr>
          <w:rFonts w:ascii="Times New Roman" w:cs="Times New Roman" w:eastAsia="Times New Roman" w:hAnsi="Times New Roman"/>
          <w:sz w:val="18"/>
          <w:szCs w:val="18"/>
          <w:i w:val="1"/>
          <w:iCs w:val="1"/>
          <w:color w:val="auto"/>
        </w:rPr>
        <w:t>An investment in our securities, and certain subsequent transactions with respect to our securities, may result in uncertain or adverse U.S. federal income tax consequences for an investor.</w:t>
      </w:r>
    </w:p>
    <w:p>
      <w:pPr>
        <w:spacing w:after="0" w:line="16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and certain subsequent transactions with respect to our securities, may result in uncertain or adverse U.S. federal income tax consequences for an investor. For instance, because there is no authority that directly addresses the U.S. federal income tax implications of instruments similar to the public units we are issuing in this offering, the allocation an investor makes of the purchase price of a public unit between the public share and the public rights included in each unit could be challenged by the Internal Revenue Service (the “IRS”) or the courts. Furthermore, the U.S. federal income tax consequences of a cashless exercise of public rights is unclear under current law. Additionally, it is unclear whether the redemption rights with respect to our public shares suspend the running of a U.S. Holder’s (as defined in the section captioned “Taxation—Material United States Federal Income Tax Considerations—U.S. Holders” below) holding period for purposes of determining whether any gain or loss realized by such holder on the sale or exchange of public shares is long-term capital gain or loss and for determining whether any dividend we pay would be eligible for favorable U.S. federal income tax treatment. See “Taxation—Material United States Federal Income Tax Considerations” below for a summary of the principal U.S. federal income tax consequences of an investment in our securities. Each prospective investor is urged to consult with and rely solely upon its own tax advisors with respect to these and other tax consequences when purchasing, holding or disposing of our securities.</w:t>
      </w:r>
    </w:p>
    <w:p>
      <w:pPr>
        <w:spacing w:after="0" w:line="187" w:lineRule="exact"/>
        <w:rPr>
          <w:sz w:val="20"/>
          <w:szCs w:val="20"/>
          <w:color w:val="auto"/>
        </w:rPr>
      </w:pPr>
    </w:p>
    <w:p>
      <w:pPr>
        <w:ind w:left="120" w:right="960"/>
        <w:spacing w:after="0" w:line="283" w:lineRule="auto"/>
        <w:rPr>
          <w:sz w:val="20"/>
          <w:szCs w:val="20"/>
          <w:color w:val="auto"/>
        </w:rPr>
      </w:pPr>
      <w:r>
        <w:rPr>
          <w:rFonts w:ascii="Times New Roman" w:cs="Times New Roman" w:eastAsia="Times New Roman" w:hAnsi="Times New Roman"/>
          <w:sz w:val="18"/>
          <w:szCs w:val="18"/>
          <w:i w:val="1"/>
          <w:iCs w:val="1"/>
          <w:color w:val="auto"/>
        </w:rPr>
        <w:t>Whether a redemption of public shares will be treated as a sale of such public shares for U.S. federal income tax purposes will depend on a shareholder’s specific facts.</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U.S. federal income tax treatment of a redemption of public shares will depend on whether the redemption qualifies as a sale of such public shares under Section 302(a) of the Internal Revenue Code of 1986, as amended (the “Code”), which will depend largely on the total number of our shares treated as held by the shareholder electing to redeem public shares (including any shares constructively owned by the holder as a result of owning private placement rights or public rights or otherwise) relative to all of our shares outstanding both before and after the redemption. If such redemption is not treated as a sale of public shares for U.S. federal income tax purposes, the redemption will instead be treated as a corporate distribution of cash from us. For more information about the U.S. federal income tax treatment of the redemption of public shares, see the sections entitled “</w:t>
      </w: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United States Federal Income Tax Considerations—U.S. Holders—Redemption or Repurchase of public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Taxation—Material United States Federal Income Tax Considerations—Non-U.S. Holders</w:t>
      </w:r>
      <w:r>
        <w:rPr>
          <w:rFonts w:ascii="Times New Roman" w:cs="Times New Roman" w:eastAsia="Times New Roman" w:hAnsi="Times New Roman"/>
          <w:sz w:val="18"/>
          <w:szCs w:val="18"/>
          <w:color w:val="auto"/>
        </w:rPr>
        <w:t>,” as applicable.</w:t>
      </w:r>
    </w:p>
    <w:p>
      <w:pPr>
        <w:spacing w:after="0" w:line="187" w:lineRule="exact"/>
        <w:rPr>
          <w:sz w:val="20"/>
          <w:szCs w:val="20"/>
          <w:color w:val="auto"/>
        </w:rPr>
      </w:pPr>
    </w:p>
    <w:p>
      <w:pPr>
        <w:ind w:left="120" w:right="220"/>
        <w:spacing w:after="0" w:line="283" w:lineRule="auto"/>
        <w:rPr>
          <w:sz w:val="20"/>
          <w:szCs w:val="20"/>
          <w:color w:val="auto"/>
        </w:rPr>
      </w:pPr>
      <w:r>
        <w:rPr>
          <w:rFonts w:ascii="Times New Roman" w:cs="Times New Roman" w:eastAsia="Times New Roman" w:hAnsi="Times New Roman"/>
          <w:sz w:val="18"/>
          <w:szCs w:val="18"/>
          <w:i w:val="1"/>
          <w:iCs w:val="1"/>
          <w:color w:val="auto"/>
        </w:rPr>
        <w:t>We are likely to be treated as a passive foreign investment company (“PFIC”), which could result in adverse U.S. federal income tax consequences to U.S. investors.</w:t>
      </w:r>
    </w:p>
    <w:p>
      <w:pPr>
        <w:spacing w:after="0" w:line="161" w:lineRule="exact"/>
        <w:rPr>
          <w:sz w:val="20"/>
          <w:szCs w:val="20"/>
          <w:color w:val="auto"/>
        </w:rPr>
      </w:pPr>
    </w:p>
    <w:p>
      <w:pPr>
        <w:jc w:val="both"/>
        <w:ind w:left="120" w:right="360" w:firstLine="440"/>
        <w:spacing w:after="0" w:line="260" w:lineRule="auto"/>
        <w:rPr>
          <w:sz w:val="20"/>
          <w:szCs w:val="20"/>
          <w:color w:val="auto"/>
        </w:rPr>
      </w:pPr>
      <w:r>
        <w:rPr>
          <w:rFonts w:ascii="Times New Roman" w:cs="Times New Roman" w:eastAsia="Times New Roman" w:hAnsi="Times New Roman"/>
          <w:sz w:val="18"/>
          <w:szCs w:val="18"/>
          <w:color w:val="auto"/>
        </w:rPr>
        <w:t>If we are treated as a PFIC for any taxable year in which a U.S. Holder holds our Class A ordinary shares or rights (regardless of whether we remain a PFIC for subsequent taxable years), such U.S. Holder may be subject to certain adverse U.S. federal income tax consequences and may be subject to additional reporting requirements. Our PFIC status for our current and subsequent taxable years may depend on, among other things, the timing of our business combination, the amount of our passive income and assets in the year of the business combination,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1"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65" w:lineRule="auto"/>
        <w:rPr>
          <w:sz w:val="20"/>
          <w:szCs w:val="20"/>
          <w:color w:val="auto"/>
        </w:rPr>
      </w:pPr>
      <w:r>
        <w:rPr>
          <w:rFonts w:ascii="Times New Roman" w:cs="Times New Roman" w:eastAsia="Times New Roman" w:hAnsi="Times New Roman"/>
          <w:sz w:val="18"/>
          <w:szCs w:val="18"/>
          <w:color w:val="auto"/>
        </w:rPr>
        <w:t>whether we combine with a U.S. or non-U.S. target company, and the amount of passive income and assets of the acquired business. Our actual PFIC status for our current taxable year or any subsequent taxable year will not be determinable until after the end of such taxable year. However, we anticipate that we are likely to be treated as a PFIC in our current taxable year.</w:t>
      </w:r>
    </w:p>
    <w:p>
      <w:pPr>
        <w:spacing w:after="0" w:line="17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determine we are a PFIC for any taxable year, upon written request by a U.S. Holder, we will endeavor to provide to such U.S. Holder such information as the IRS may require, including a PFIC annual information statement, in order to enable such U.S. Holder to make and maintain a “qualified electing fund” (“QEF”) election with respect to its Class A ordinary shares, but there is no assurance that we will timely provide such required information. Furthermore, a U.S. Holder may not make a QEF election with respect to its rights to acquire our Class A ordinary shares. The rules dealing with PFICs and with the QEF election are very complex and are affected by various factors in addition to those described in this prospectus. Accordingly, U.S. investors are strongly urged to consult with and rely solely upon their own tax advisors regarding the application of the PFIC rules to them in their particular circumstances.</w:t>
      </w:r>
    </w:p>
    <w:p>
      <w:pPr>
        <w:spacing w:after="0" w:line="18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For a more detailed discussion of the PFIC rules and the related tax considerations for U.S. Holders, see the section of this prospectus captioned “Taxation—Material United States Federal Income Tax Considerations—U.S. Holders—Passive Foreign Investment Company Rules.”</w:t>
      </w:r>
    </w:p>
    <w:p>
      <w:pPr>
        <w:spacing w:after="0" w:line="161" w:lineRule="exact"/>
        <w:rPr>
          <w:sz w:val="20"/>
          <w:szCs w:val="20"/>
          <w:color w:val="auto"/>
        </w:rPr>
      </w:pPr>
    </w:p>
    <w:p>
      <w:pPr>
        <w:ind w:left="120" w:right="120"/>
        <w:spacing w:after="0" w:line="314" w:lineRule="auto"/>
        <w:rPr>
          <w:sz w:val="20"/>
          <w:szCs w:val="20"/>
          <w:color w:val="auto"/>
        </w:rPr>
      </w:pPr>
      <w:r>
        <w:rPr>
          <w:rFonts w:ascii="Times New Roman" w:cs="Times New Roman" w:eastAsia="Times New Roman" w:hAnsi="Times New Roman"/>
          <w:sz w:val="17"/>
          <w:szCs w:val="17"/>
          <w:i w:val="1"/>
          <w:iCs w:val="1"/>
          <w:color w:val="auto"/>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p>
    <w:p>
      <w:pPr>
        <w:spacing w:after="0" w:line="13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provides for, among other things, a new 1% U.S. federal excise tax on certain repurchases (including redemptions) of stock by publicly traded U.S. corporations after December 31, 2022 (the “stock buyback tax”), subject to certain exceptions. If applicable, the amount of the stock buyback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stock buyback tax rate from 1% to 4%; however, it is unclear whether such a change will be enacted and, if enacted, how soon it could take effect. In addition, the U.S. Treasury Department and IRS have released preliminary guidance that would potentially cause a non-U.S. corporation’s U.S. subsidiaries to be subject to the stock buyback tax with respect to any share repurchases made by the non-U.S. corporation under certain circumstances.</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an entity incorporated as a Cayman Islands exempted company, the stock buyback tax is currently not expected to apply to redemptions of our public shares (absent any regulations or other additional guidance that may be issued in the future). However, in connection with an initial business combination involving a company organized under the laws of the United States (or any subdivision thereof), it is possible that we domesticate and continue as a Delaware corporation prior to certain redemptions. Because we expect that, following such a domestication, our securities would continue to trade on Nasdaq, in such a case we could be subject to the stock buyback tax with respect to any subsequent redemptions (including redemptions in connection with the initial business combination) that are treated as repurchases for this purpose. In all cases, whether and to what extent we would be subject to the stock buyback tax will depend on a number of factors, including (i) the structure of the initial business combination, including the extent to which the initial business combination involves a U.S. corporation and the extent to which we issue shares in the initial business combination or otherwise during the same taxable year that are eligible to offset any redemptions or other repurchases, (ii) the fair market value of the shares redeemed and (iii) the extent such redemptions could be treated as dividends and not as repurchases. The applicability of the stock buyback tax to us could be further affected by the content of any regulations, clarifications or other additional guidance from the U.S. Treasury Department that may be issued and applicable to the redemptions.</w:t>
      </w:r>
    </w:p>
    <w:p>
      <w:pPr>
        <w:spacing w:after="0" w:line="186"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8"/>
          <w:szCs w:val="18"/>
          <w:color w:val="auto"/>
        </w:rPr>
        <w:t>Any stock buyback tax that becomes payable as a result of any redemptions of our public shares (or other shares into which such public shares may be converted) in connection with our initial business combination or</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1"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otherwise would be payable by us and not by the redeeming holder. To the extent such taxes are applicable, the amount of cash available to pay redemptions or to transfer to the target business in connection with our initial business combination may be reduced, which could result in our inability to meet conditions in the agreement relating to our initial business combination related to a minimum cash requirement, if any, or otherwise result in the shareholders of the combined company (including any of our shareholders who do not exercise their redemption rights in connection with the initial business combination) to economically bear the impact of such stock buyback tax.</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9" w:lineRule="exact"/>
        <w:rPr>
          <w:sz w:val="20"/>
          <w:szCs w:val="20"/>
          <w:color w:val="auto"/>
        </w:rPr>
      </w:pPr>
    </w:p>
    <w:p>
      <w:pPr>
        <w:ind w:left="120" w:right="600"/>
        <w:spacing w:after="0" w:line="283" w:lineRule="auto"/>
        <w:rPr>
          <w:sz w:val="20"/>
          <w:szCs w:val="20"/>
          <w:color w:val="auto"/>
        </w:rPr>
      </w:pPr>
      <w:r>
        <w:rPr>
          <w:rFonts w:ascii="Times New Roman" w:cs="Times New Roman" w:eastAsia="Times New Roman" w:hAnsi="Times New Roman"/>
          <w:sz w:val="18"/>
          <w:szCs w:val="18"/>
          <w:i w:val="1"/>
          <w:iCs w:val="1"/>
          <w:color w:val="auto"/>
        </w:rPr>
        <w:t>We are a blank check company with no operating history and no revenues, and you have no basis on which to evaluate our ability to achieve our business objective.</w:t>
      </w:r>
    </w:p>
    <w:p>
      <w:pPr>
        <w:spacing w:after="0" w:line="16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a blank check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To date, our efforts have been limited to organizational activities as well as activities related to this offering. We have not selected any specific business combination target and may be unable to complete our initial business combination. If we fail to complete our initial business combination, we will never generate any operating revenues.</w:t>
      </w:r>
    </w:p>
    <w:p>
      <w:pPr>
        <w:spacing w:after="0" w:line="180" w:lineRule="exact"/>
        <w:rPr>
          <w:sz w:val="20"/>
          <w:szCs w:val="20"/>
          <w:color w:val="auto"/>
        </w:rPr>
      </w:pPr>
    </w:p>
    <w:p>
      <w:pPr>
        <w:ind w:left="120" w:right="580"/>
        <w:spacing w:after="0" w:line="283" w:lineRule="auto"/>
        <w:rPr>
          <w:sz w:val="20"/>
          <w:szCs w:val="20"/>
          <w:color w:val="auto"/>
        </w:rPr>
      </w:pPr>
      <w:r>
        <w:rPr>
          <w:rFonts w:ascii="Times New Roman" w:cs="Times New Roman" w:eastAsia="Times New Roman" w:hAnsi="Times New Roman"/>
          <w:sz w:val="18"/>
          <w:szCs w:val="18"/>
          <w:i w:val="1"/>
          <w:iCs w:val="1"/>
          <w:color w:val="auto"/>
        </w:rPr>
        <w:t>Our sponsor has the ability to remove itself as the Company’s sponsor or to substantially reduce its interests in the Company before identifying a business combination, which may result in change in the strategy and focus of our Company in pursuing a business combination.</w:t>
      </w:r>
    </w:p>
    <w:p>
      <w:pPr>
        <w:spacing w:after="0" w:line="16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In addition, the members of our sponsor could, with the permission of the sponsor’s managing member, transfer their membership interests in the sponsor, thereby transferring control of our sponsor to a third party. Through the forgoing means, our sponsor may remove itself as the Company’s sponsor, substantially reduce its interests in the Company, or have its control transferred to a third party before we identify a business combination. Any such reduction of the interests of our sponsor in the securities of the Company or transfer of sponsor interests may lead to the sponsor’s managing member no longer having voting power and control over the affairs of the Company in pursuing a business combination. This could also result in a change to our management team, acquisition strategy and criteria and our industry focus without shareholders having the ability to consider the merits of a change in the management team. Additionally, there can be no assurance that any replacement sponsor will successfully identify a business combination target for us, or, even if one is so identified, successfully complete such business combination.</w:t>
      </w:r>
    </w:p>
    <w:p>
      <w:pPr>
        <w:spacing w:after="0" w:line="172" w:lineRule="exact"/>
        <w:rPr>
          <w:sz w:val="20"/>
          <w:szCs w:val="20"/>
          <w:color w:val="auto"/>
        </w:rPr>
      </w:pPr>
    </w:p>
    <w:p>
      <w:pPr>
        <w:ind w:left="120" w:right="100"/>
        <w:spacing w:after="0" w:line="283" w:lineRule="auto"/>
        <w:rPr>
          <w:sz w:val="20"/>
          <w:szCs w:val="20"/>
          <w:color w:val="auto"/>
        </w:rPr>
      </w:pPr>
      <w:r>
        <w:rPr>
          <w:rFonts w:ascii="Times New Roman" w:cs="Times New Roman" w:eastAsia="Times New Roman" w:hAnsi="Times New Roman"/>
          <w:sz w:val="18"/>
          <w:szCs w:val="18"/>
          <w:i w:val="1"/>
          <w:iCs w:val="1"/>
          <w:color w:val="auto"/>
        </w:rPr>
        <w:t>We are an “emerging growth company” and we cannot be certain if the reduced disclosure requirements applicable to emerging growth companies will make our securities less attractive to investors.</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public shares held by non-affiliates exceeds $700 million as of any June 30 before that time, in which case we would no</w:t>
      </w:r>
    </w:p>
    <w:p>
      <w:pPr>
        <w:spacing w:after="0" w:line="1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1"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longer be an emerging growth company as of the following January 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a comparison of our financial statements with another public company, unless it is an emerging growth company that has not opted out of using the extended transition period, difficult or impossible because of the potential differences in accounting standards used.</w:t>
      </w:r>
    </w:p>
    <w:p>
      <w:pPr>
        <w:spacing w:after="0" w:line="18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$220 million as of the prior June 30, and (2) our annual revenues equaled or exceeded $100 million during such completed fiscal year or the market value of our ordinary shares held by non-affiliates equals or exceeds $700 million as of the prior June 30. To the extent we take advantage of such reduced disclosure obligations, it may also make comparison of our financial statements with other public companies difficult or impossible.</w:t>
      </w:r>
    </w:p>
    <w:p>
      <w:pPr>
        <w:spacing w:after="0" w:line="184" w:lineRule="exact"/>
        <w:rPr>
          <w:sz w:val="20"/>
          <w:szCs w:val="20"/>
          <w:color w:val="auto"/>
        </w:rPr>
      </w:pPr>
    </w:p>
    <w:p>
      <w:pPr>
        <w:ind w:left="120" w:right="340"/>
        <w:spacing w:after="0" w:line="283" w:lineRule="auto"/>
        <w:rPr>
          <w:sz w:val="20"/>
          <w:szCs w:val="20"/>
          <w:color w:val="auto"/>
        </w:rPr>
      </w:pPr>
      <w:r>
        <w:rPr>
          <w:rFonts w:ascii="Times New Roman" w:cs="Times New Roman" w:eastAsia="Times New Roman" w:hAnsi="Times New Roman"/>
          <w:sz w:val="18"/>
          <w:szCs w:val="18"/>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61" w:lineRule="exact"/>
        <w:rPr>
          <w:sz w:val="20"/>
          <w:szCs w:val="20"/>
          <w:color w:val="auto"/>
        </w:rPr>
      </w:pPr>
    </w:p>
    <w:p>
      <w:pPr>
        <w:jc w:val="both"/>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7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corporate affairs and the rights of shareholders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Act applicable to us and, for example, the laws applicable to companies incorporated in the United States and their shareholders, see the section of this prospectus captioned “</w:t>
      </w:r>
      <w:r>
        <w:rPr>
          <w:rFonts w:ascii="Times New Roman" w:cs="Times New Roman" w:eastAsia="Times New Roman" w:hAnsi="Times New Roman"/>
          <w:sz w:val="18"/>
          <w:szCs w:val="18"/>
          <w:i w:val="1"/>
          <w:iCs w:val="1"/>
          <w:color w:val="auto"/>
        </w:rPr>
        <w:t>Description of Securities — Certain Differences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Law</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1"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6" w:lineRule="exact"/>
        <w:rPr>
          <w:sz w:val="20"/>
          <w:szCs w:val="20"/>
          <w:color w:val="auto"/>
        </w:rPr>
      </w:pPr>
    </w:p>
    <w:p>
      <w:pPr>
        <w:ind w:left="120" w:right="640" w:firstLine="440"/>
        <w:spacing w:after="0" w:line="312" w:lineRule="auto"/>
        <w:rPr>
          <w:sz w:val="20"/>
          <w:szCs w:val="20"/>
          <w:color w:val="auto"/>
        </w:rPr>
      </w:pPr>
      <w:r>
        <w:rPr>
          <w:rFonts w:ascii="Times New Roman" w:cs="Times New Roman" w:eastAsia="Times New Roman" w:hAnsi="Times New Roman"/>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37" w:lineRule="exact"/>
        <w:rPr>
          <w:sz w:val="20"/>
          <w:szCs w:val="20"/>
          <w:color w:val="auto"/>
        </w:rPr>
      </w:pPr>
    </w:p>
    <w:p>
      <w:pPr>
        <w:ind w:left="120" w:right="760"/>
        <w:spacing w:after="0" w:line="283" w:lineRule="auto"/>
        <w:rPr>
          <w:sz w:val="20"/>
          <w:szCs w:val="20"/>
          <w:color w:val="auto"/>
        </w:rPr>
      </w:pPr>
      <w:r>
        <w:rPr>
          <w:rFonts w:ascii="Times New Roman" w:cs="Times New Roman" w:eastAsia="Times New Roman" w:hAnsi="Times New Roman"/>
          <w:sz w:val="18"/>
          <w:szCs w:val="18"/>
          <w:i w:val="1"/>
          <w:iCs w:val="1"/>
          <w:color w:val="auto"/>
        </w:rPr>
        <w:t>Compliance obligations under the Sarbanes-Oxley Act may make it more difficult for us to effectuate our initial business combination, require substantial financial and management resources, and increase the time and costs of completing a business combination.</w:t>
      </w:r>
    </w:p>
    <w:p>
      <w:pPr>
        <w:spacing w:after="0" w:line="161" w:lineRule="exact"/>
        <w:rPr>
          <w:sz w:val="20"/>
          <w:szCs w:val="20"/>
          <w:color w:val="auto"/>
        </w:rPr>
      </w:pPr>
    </w:p>
    <w:p>
      <w:pPr>
        <w:jc w:val="both"/>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Section 404 of the Sarbanes-Oxley Act requires that we evaluate and report on our system of internal controls beginning with our Annual Report on Form 10-K for the year ending December 31, 2025. Only in the event we are deemed to be a large accelerated filer or an accelerated filer will we be required to comply with the independent registered public accounting firm attestation requirement on our internal control over financial reporting.</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86" w:lineRule="exact"/>
        <w:rPr>
          <w:sz w:val="20"/>
          <w:szCs w:val="20"/>
          <w:color w:val="auto"/>
        </w:rPr>
      </w:pPr>
    </w:p>
    <w:p>
      <w:pPr>
        <w:ind w:left="120" w:right="380"/>
        <w:spacing w:after="0" w:line="283" w:lineRule="auto"/>
        <w:rPr>
          <w:sz w:val="20"/>
          <w:szCs w:val="20"/>
          <w:color w:val="auto"/>
        </w:rPr>
      </w:pPr>
      <w:r>
        <w:rPr>
          <w:rFonts w:ascii="Times New Roman" w:cs="Times New Roman" w:eastAsia="Times New Roman" w:hAnsi="Times New Roman"/>
          <w:sz w:val="18"/>
          <w:szCs w:val="18"/>
          <w:i w:val="1"/>
          <w:iCs w:val="1"/>
          <w:color w:val="auto"/>
        </w:rPr>
        <w:t>Provisions in our amended and restated memorandum and articles of association may inhibit a takeover of us, which could limit the price investors might be willing to pay in the future for our ordinary shares and could entrench management.</w:t>
      </w:r>
    </w:p>
    <w:p>
      <w:pPr>
        <w:spacing w:after="0" w:line="161"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81"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540"/>
        <w:spacing w:after="0" w:line="281" w:lineRule="auto"/>
        <w:rPr>
          <w:sz w:val="20"/>
          <w:szCs w:val="20"/>
          <w:color w:val="auto"/>
        </w:rPr>
      </w:pPr>
      <w:r>
        <w:rPr>
          <w:rFonts w:ascii="Times New Roman" w:cs="Times New Roman" w:eastAsia="Times New Roman" w:hAnsi="Times New Roman"/>
          <w:sz w:val="18"/>
          <w:szCs w:val="18"/>
          <w:color w:val="auto"/>
        </w:rPr>
        <w:t>new series of preferred shares, which may make the removal of management more difficult and may discourage transactions that otherwise could involve payment of a premium over prevailing market prices for our securities.</w:t>
      </w:r>
    </w:p>
    <w:p>
      <w:pPr>
        <w:spacing w:after="0" w:line="161" w:lineRule="exact"/>
        <w:rPr>
          <w:sz w:val="20"/>
          <w:szCs w:val="20"/>
          <w:color w:val="auto"/>
        </w:rPr>
      </w:pPr>
    </w:p>
    <w:p>
      <w:pPr>
        <w:jc w:val="both"/>
        <w:ind w:left="120" w:right="460"/>
        <w:spacing w:after="0" w:line="267" w:lineRule="auto"/>
        <w:rPr>
          <w:sz w:val="20"/>
          <w:szCs w:val="20"/>
          <w:color w:val="auto"/>
        </w:rPr>
      </w:pPr>
      <w:r>
        <w:rPr>
          <w:rFonts w:ascii="Times New Roman" w:cs="Times New Roman" w:eastAsia="Times New Roman" w:hAnsi="Times New Roman"/>
          <w:sz w:val="18"/>
          <w:szCs w:val="18"/>
          <w:i w:val="1"/>
          <w:iCs w:val="1"/>
          <w:color w:val="auto"/>
        </w:rPr>
        <w:t>Our amended and restated memorandum and articles of association provide that the courts of the Cayman Islands will be the exclusive forums for certain disputes between us and our shareholders, which could limit our shareholders’ ability to obtain a favorable judicial forum for complaints against us or our directors, officers or employees.</w:t>
      </w:r>
    </w:p>
    <w:p>
      <w:pPr>
        <w:spacing w:after="0" w:line="174"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memorandum and articles of association provide that 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w:t>
      </w:r>
    </w:p>
    <w:p>
      <w:pPr>
        <w:spacing w:after="0" w:line="1" w:lineRule="exact"/>
        <w:rPr>
          <w:sz w:val="20"/>
          <w:szCs w:val="20"/>
          <w:color w:val="auto"/>
        </w:rPr>
      </w:pPr>
    </w:p>
    <w:p>
      <w:pPr>
        <w:ind w:left="120" w:right="20" w:firstLine="2"/>
        <w:spacing w:after="0" w:line="251"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w:t>
      </w:r>
    </w:p>
    <w:p>
      <w:pPr>
        <w:spacing w:after="0" w:line="192" w:lineRule="exact"/>
        <w:rPr>
          <w:sz w:val="20"/>
          <w:szCs w:val="20"/>
          <w:color w:val="auto"/>
        </w:rPr>
      </w:pPr>
    </w:p>
    <w:p>
      <w:pPr>
        <w:ind w:left="120" w:firstLine="440"/>
        <w:spacing w:after="0" w:line="280" w:lineRule="auto"/>
        <w:rPr>
          <w:sz w:val="20"/>
          <w:szCs w:val="20"/>
          <w:color w:val="auto"/>
        </w:rPr>
      </w:pPr>
      <w:r>
        <w:rPr>
          <w:rFonts w:ascii="Times New Roman" w:cs="Times New Roman" w:eastAsia="Times New Roman" w:hAnsi="Times New Roman"/>
          <w:sz w:val="17"/>
          <w:szCs w:val="17"/>
          <w:color w:val="auto"/>
        </w:rPr>
        <w:t>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16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187" w:lineRule="exact"/>
        <w:rPr>
          <w:sz w:val="20"/>
          <w:szCs w:val="20"/>
          <w:color w:val="auto"/>
        </w:rPr>
      </w:pPr>
    </w:p>
    <w:p>
      <w:pPr>
        <w:ind w:left="120" w:right="360"/>
        <w:spacing w:after="0" w:line="283" w:lineRule="auto"/>
        <w:rPr>
          <w:sz w:val="20"/>
          <w:szCs w:val="20"/>
          <w:color w:val="auto"/>
        </w:rPr>
      </w:pPr>
      <w:r>
        <w:rPr>
          <w:rFonts w:ascii="Times New Roman" w:cs="Times New Roman" w:eastAsia="Times New Roman" w:hAnsi="Times New Roman"/>
          <w:sz w:val="18"/>
          <w:szCs w:val="18"/>
          <w:i w:val="1"/>
          <w:iCs w:val="1"/>
          <w:color w:val="auto"/>
        </w:rPr>
        <w:t>Our independent registered public accounting firm’s report contains an explanatory paragraph that expresses substantial doubt about our ability to continue as a “going concern.”</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July 21, 2025, we had $125,000 in cash and working capital of $5,668. Further, we expect to incur significant costs in pursuit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plans. Management’s plans to address this need for capital through this offering are discussed in the section of this prospectus 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Our plans to raise capital and to consummate our initial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may not be successful. These factors, among others, raise substantial doubt about our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81"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8"/>
          <w:szCs w:val="18"/>
          <w:color w:val="auto"/>
        </w:rPr>
        <w:t>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61" w:lineRule="exact"/>
        <w:rPr>
          <w:sz w:val="20"/>
          <w:szCs w:val="20"/>
          <w:color w:val="auto"/>
        </w:rPr>
      </w:pPr>
    </w:p>
    <w:p>
      <w:pPr>
        <w:ind w:left="120" w:right="400"/>
        <w:spacing w:after="0" w:line="283" w:lineRule="auto"/>
        <w:rPr>
          <w:sz w:val="20"/>
          <w:szCs w:val="20"/>
          <w:color w:val="auto"/>
        </w:rPr>
      </w:pPr>
      <w:r>
        <w:rPr>
          <w:rFonts w:ascii="Times New Roman" w:cs="Times New Roman" w:eastAsia="Times New Roman" w:hAnsi="Times New Roman"/>
          <w:sz w:val="18"/>
          <w:szCs w:val="18"/>
          <w:i w:val="1"/>
          <w:iCs w:val="1"/>
          <w:color w:val="auto"/>
        </w:rPr>
        <w:t>Changes in laws or regulations, or a failure to comply with any laws and regulations, may adversely affect our business, investments and results of operations.</w:t>
      </w:r>
    </w:p>
    <w:p>
      <w:pPr>
        <w:spacing w:after="0" w:line="16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0" w:lineRule="exact"/>
        <w:rPr>
          <w:sz w:val="20"/>
          <w:szCs w:val="20"/>
          <w:color w:val="auto"/>
        </w:rPr>
      </w:pPr>
    </w:p>
    <w:p>
      <w:pPr>
        <w:ind w:left="120" w:right="40"/>
        <w:spacing w:after="0" w:line="283" w:lineRule="auto"/>
        <w:rPr>
          <w:sz w:val="20"/>
          <w:szCs w:val="20"/>
          <w:color w:val="auto"/>
        </w:rPr>
      </w:pPr>
      <w:r>
        <w:rPr>
          <w:rFonts w:ascii="Times New Roman" w:cs="Times New Roman" w:eastAsia="Times New Roman" w:hAnsi="Times New Roman"/>
          <w:sz w:val="18"/>
          <w:szCs w:val="18"/>
          <w:i w:val="1"/>
          <w:iCs w:val="1"/>
          <w:color w:val="auto"/>
        </w:rPr>
        <w:t>We are subject to changing law and regulations regarding regulatory matters, corporate governance and public disclosure that have increased both our costs and the risk of non-compliance.</w:t>
      </w:r>
    </w:p>
    <w:p>
      <w:pPr>
        <w:spacing w:after="0" w:line="161" w:lineRule="exact"/>
        <w:rPr>
          <w:sz w:val="20"/>
          <w:szCs w:val="20"/>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82"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0" w:lineRule="exact"/>
        <w:rPr>
          <w:sz w:val="20"/>
          <w:szCs w:val="20"/>
          <w:color w:val="auto"/>
        </w:rPr>
      </w:pPr>
    </w:p>
    <w:p>
      <w:pPr>
        <w:ind w:left="120" w:right="400"/>
        <w:spacing w:after="0" w:line="314" w:lineRule="auto"/>
        <w:rPr>
          <w:sz w:val="20"/>
          <w:szCs w:val="20"/>
          <w:color w:val="auto"/>
        </w:rPr>
      </w:pPr>
      <w:r>
        <w:rPr>
          <w:rFonts w:ascii="Times New Roman" w:cs="Times New Roman" w:eastAsia="Times New Roman" w:hAnsi="Times New Roman"/>
          <w:sz w:val="17"/>
          <w:szCs w:val="17"/>
          <w:i w:val="1"/>
          <w:iCs w:val="1"/>
          <w:color w:val="auto"/>
        </w:rPr>
        <w:t>Changes to laws or regulations or in how such laws or regulations are interpreted or applied, or a failure to comply with any laws, regulations, interpretations or applications may adversely affect our business, including our ability to negotiate and complete our initial business combination.</w:t>
      </w:r>
    </w:p>
    <w:p>
      <w:pPr>
        <w:spacing w:after="0" w:line="13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and interpretations and applications of such laws and regulations, of national, regional, state and local governments and applicable non-U.S. jurisdictions. In particular, we are required to comply with certain SEC and potentially other legal and regulatory requirements, and our consummation of an initial business combination may be contingent upon our ability to comply with certain laws, regulations, interpretations and applications and any post-business combination company may be subject to additional laws, regulations, interpretations and applications. Compliance with, and monitoring of, the foregoing may be difficult, time consuming and costly. Those laws and regulations and their interpretation and application may also change from time to time, and those changes could have a material adverse effect on our business, including our ability to negotiate and complete an initial business combination. A failure to comply with applicable laws or regulations, as interpreted and applied, could have a material adverse effect on our business, including our ability to negotiate and complete our initial business combination.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January 24, 2024, the SEC issued final rules (the “2024 SPAC Rules”), which became effective on July 1, 2024, that formally adopted some of the SEC’s proposed rules for SPACs that were released on March 30, 2022. The 2024 SPAC Rules, among other items, impose additional disclosure requirements in initial public offerings by SPACs and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as well as when projections are disclosed in connection with proposed business combination transactions; increase the potential</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81"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80"/>
        <w:spacing w:after="0" w:line="265" w:lineRule="auto"/>
        <w:rPr>
          <w:sz w:val="20"/>
          <w:szCs w:val="20"/>
          <w:color w:val="auto"/>
        </w:rPr>
      </w:pPr>
      <w:r>
        <w:rPr>
          <w:rFonts w:ascii="Times New Roman" w:cs="Times New Roman" w:eastAsia="Times New Roman" w:hAnsi="Times New Roman"/>
          <w:sz w:val="18"/>
          <w:szCs w:val="18"/>
          <w:color w:val="auto"/>
        </w:rPr>
        <w:t>liability of certain participants in proposed business combination transactions; and could impact the extent to which SPACs could become subject to regulation under the Investment Company Act of 1940. The 2024 SPAC Rules may materially adversely affect our business, including our ability to negotiate and complete, and the costs associated with, our initial business combination, and results of operations.</w:t>
      </w:r>
    </w:p>
    <w:p>
      <w:pPr>
        <w:spacing w:after="0" w:line="175"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We may reincorporate in another jurisdiction in connection with our initial business combination and such reincorporation may result in taxes imposed on shareholders.</w:t>
      </w:r>
    </w:p>
    <w:p>
      <w:pPr>
        <w:spacing w:after="0" w:line="16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We may, in connection with our initial business combination,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initial business combination or reincorporation may result in taxes imposed on shareholders.</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subject to requisite shareholder approval under the Companies Act, effect a business combination with a target company in another jurisdiction, reincorporate in the jurisdiction in which the target company or business is located, or reincorporate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taxes attributable to such income. Shareholders may be subject to withholding taxes or other taxes with respect to their ownership of us after the reincorporation.</w:t>
      </w:r>
    </w:p>
    <w:p>
      <w:pPr>
        <w:spacing w:after="0" w:line="180" w:lineRule="exact"/>
        <w:rPr>
          <w:sz w:val="20"/>
          <w:szCs w:val="20"/>
          <w:color w:val="auto"/>
        </w:rPr>
      </w:pPr>
    </w:p>
    <w:p>
      <w:pPr>
        <w:ind w:left="120" w:right="180"/>
        <w:spacing w:after="0" w:line="283" w:lineRule="auto"/>
        <w:rPr>
          <w:sz w:val="20"/>
          <w:szCs w:val="20"/>
          <w:color w:val="auto"/>
        </w:rPr>
      </w:pPr>
      <w:r>
        <w:rPr>
          <w:rFonts w:ascii="Times New Roman" w:cs="Times New Roman" w:eastAsia="Times New Roman" w:hAnsi="Times New Roman"/>
          <w:sz w:val="18"/>
          <w:szCs w:val="18"/>
          <w:i w:val="1"/>
          <w:iCs w:val="1"/>
          <w:color w:val="auto"/>
        </w:rPr>
        <w:t>Neither the underwriters nor any of their affiliates have an obligation to provide us with potential investment opportunities or to devote any specified amount of time or support to our company’s business.</w:t>
      </w:r>
    </w:p>
    <w:p>
      <w:pPr>
        <w:spacing w:after="0" w:line="161"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Neither the underwriters nor any of their affiliates have any legal or contractual obligation to seek on our behalf or to present to us investment opportunities that might be suitable for our business, and may allocate any such opportunities at their discretion to us or other parties. We have no investment management, advisory, consulting or other agreement in place with the underwriters or any of its affiliates that obligates them to undertake efforts on our behalf or that govern the manner in which they will allocate investment opportunities. Even if the underwriters or one of their affiliates refer an opportunity to us, no assurance can be given that such opportunity will result in an acquisition agreement or our initial business combination.</w:t>
      </w:r>
    </w:p>
    <w:p>
      <w:pPr>
        <w:spacing w:after="0" w:line="168" w:lineRule="exact"/>
        <w:rPr>
          <w:sz w:val="20"/>
          <w:szCs w:val="20"/>
          <w:color w:val="auto"/>
        </w:rPr>
      </w:pPr>
    </w:p>
    <w:p>
      <w:pPr>
        <w:ind w:left="120" w:right="800"/>
        <w:spacing w:after="0" w:line="283" w:lineRule="auto"/>
        <w:rPr>
          <w:sz w:val="20"/>
          <w:szCs w:val="20"/>
          <w:color w:val="auto"/>
        </w:rPr>
      </w:pPr>
      <w:r>
        <w:rPr>
          <w:rFonts w:ascii="Times New Roman" w:cs="Times New Roman" w:eastAsia="Times New Roman" w:hAnsi="Times New Roman"/>
          <w:sz w:val="18"/>
          <w:szCs w:val="18"/>
          <w:i w:val="1"/>
          <w:iCs w:val="1"/>
          <w:color w:val="auto"/>
        </w:rPr>
        <w:t>We intend to offer each public shareholder the option to vote in favor of the proposed business combination and still seek redemption of such shareholders’ public shares.</w:t>
      </w:r>
    </w:p>
    <w:p>
      <w:pPr>
        <w:spacing w:after="0" w:line="16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any meeting held to approve an initial business combination, we will offer each public shareholder (but not our sponsor, executive officers and directors) the right to have his, her or its public shares redeemed for cash (subject to the limitations described elsewhere in this prospectus) regardless of whether such shareholder votes for or against such proposed business combination or votes at all. This is different than other similarly structured blank check companies where shareholders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w:t>
      </w:r>
    </w:p>
    <w:p>
      <w:pPr>
        <w:spacing w:after="0" w:line="184" w:lineRule="exact"/>
        <w:rPr>
          <w:sz w:val="20"/>
          <w:szCs w:val="20"/>
          <w:color w:val="auto"/>
        </w:rPr>
      </w:pPr>
    </w:p>
    <w:p>
      <w:pPr>
        <w:ind w:left="120" w:right="860"/>
        <w:spacing w:after="0" w:line="283" w:lineRule="auto"/>
        <w:rPr>
          <w:sz w:val="20"/>
          <w:szCs w:val="20"/>
          <w:color w:val="auto"/>
        </w:rPr>
      </w:pPr>
      <w:r>
        <w:rPr>
          <w:rFonts w:ascii="Times New Roman" w:cs="Times New Roman" w:eastAsia="Times New Roman" w:hAnsi="Times New Roman"/>
          <w:sz w:val="18"/>
          <w:szCs w:val="18"/>
          <w:i w:val="1"/>
          <w:iCs w:val="1"/>
          <w:color w:val="auto"/>
        </w:rPr>
        <w:t>Because of our structure, other companies may have a competitive advantage and we may not be able to consummate an attractive business combination.</w:t>
      </w:r>
    </w:p>
    <w:p>
      <w:pPr>
        <w:spacing w:after="0" w:line="16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private equity groups, venture capital funds, leveraged buyout funds</w:t>
      </w:r>
    </w:p>
    <w:p>
      <w:pPr>
        <w:spacing w:after="0" w:line="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40"/>
          </w:cols>
          <w:pgMar w:left="320" w:top="481" w:right="5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shareholder approval of our initial business combination may delay the consummation of a transaction. Any of the foregoing may place us at a competitive disadvantage in successfully negotiating our initial business combination.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do not intend to hold an annual meeting of shareholders to elect new directors prior to the completion of our business combination. Unless we hold an annual meeting, all of the current directors will continue in office until at least the completion of the business combination. If there is an annual meeting, the entire board of directors will be considered for election, however our initial shareholders, because of their ownership position, will have considerable influence regarding the outcome. Accordingly, our initial shareholders will continue to exert control at least until the completion of our business combination.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Cyber incidents or attacks directed at us could result in information theft, data corruption, operational disruption and/or financial loss.</w:t>
      </w:r>
    </w:p>
    <w:p>
      <w:pPr>
        <w:spacing w:after="0" w:line="22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5" w:lineRule="exact"/>
        <w:rPr>
          <w:sz w:val="20"/>
          <w:szCs w:val="20"/>
          <w:color w:val="auto"/>
        </w:rPr>
      </w:pPr>
    </w:p>
    <w:p>
      <w:pPr>
        <w:ind w:left="120" w:right="780"/>
        <w:spacing w:after="0" w:line="283" w:lineRule="auto"/>
        <w:rPr>
          <w:sz w:val="20"/>
          <w:szCs w:val="20"/>
          <w:color w:val="auto"/>
        </w:rPr>
      </w:pPr>
      <w:r>
        <w:rPr>
          <w:rFonts w:ascii="Times New Roman" w:cs="Times New Roman" w:eastAsia="Times New Roman" w:hAnsi="Times New Roman"/>
          <w:sz w:val="18"/>
          <w:szCs w:val="18"/>
          <w:i w:val="1"/>
          <w:iCs w:val="1"/>
          <w:color w:val="auto"/>
        </w:rPr>
        <w:t>We may face risks related to companies in the A&amp;D, cybersecurity, encryption and quantum technologies, satellite and drone technologies for commercial and defense applications, and semiconductor “system on a chip” (SOC) industry.</w:t>
      </w:r>
    </w:p>
    <w:p>
      <w:pPr>
        <w:spacing w:after="0" w:line="161" w:lineRule="exact"/>
        <w:rPr>
          <w:sz w:val="20"/>
          <w:szCs w:val="20"/>
          <w:color w:val="auto"/>
        </w:rPr>
      </w:pPr>
    </w:p>
    <w:p>
      <w:pPr>
        <w:ind w:left="120" w:right="40" w:firstLine="440"/>
        <w:spacing w:after="0" w:line="288" w:lineRule="auto"/>
        <w:rPr>
          <w:sz w:val="20"/>
          <w:szCs w:val="20"/>
          <w:color w:val="auto"/>
        </w:rPr>
      </w:pPr>
      <w:r>
        <w:rPr>
          <w:rFonts w:ascii="Times New Roman" w:cs="Times New Roman" w:eastAsia="Times New Roman" w:hAnsi="Times New Roman"/>
          <w:sz w:val="17"/>
          <w:szCs w:val="17"/>
          <w:color w:val="auto"/>
        </w:rPr>
        <w:t>Business combinations with companies in the A&amp;D, cybersecurity, encryption and quantum technologies, satellite and drone technologies for commercial and defense applications, and semiconductor “system on a chip” (SOC) industry entail special considerations and risks. If we are successful in completing a business combination with such a target business, we may be subject to, and possibly adversely affected by, the following risks:</w:t>
      </w:r>
    </w:p>
    <w:p>
      <w:pPr>
        <w:spacing w:after="0" w:line="65" w:lineRule="exact"/>
        <w:rPr>
          <w:sz w:val="20"/>
          <w:szCs w:val="20"/>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compete effectively in a highly competitive environment with many incumbents having substantially greater resources;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manage rapid change, increasing consumer expectations and growth;</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build strong brand identity and improve subscriber or customer satisfaction and loyalty;</w:t>
      </w:r>
    </w:p>
    <w:p>
      <w:pPr>
        <w:spacing w:after="0" w:line="130" w:lineRule="exact"/>
        <w:rPr>
          <w:rFonts w:ascii="Times New Roman" w:cs="Times New Roman" w:eastAsia="Times New Roman" w:hAnsi="Times New Roman"/>
          <w:sz w:val="18"/>
          <w:szCs w:val="18"/>
          <w:color w:val="auto"/>
        </w:rPr>
      </w:pPr>
    </w:p>
    <w:p>
      <w:pPr>
        <w:ind w:left="1100" w:right="600" w:hanging="438"/>
        <w:spacing w:after="0" w:line="281" w:lineRule="auto"/>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reliance on proprietary technology to provide services and to manage our operations, and the failure of this technology to operate effectively, or our failure to use such technology effectively;</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deal with our subscribers’ or customers’ privacy concerns;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subscribers or customers;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license or enforce intellectual property rights on which our business may depend;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our computer systems or those of third parties that we would utilize in our operations;</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81"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a refusal by third parties, to license intellectual property to us upon acceptable terms;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negligence, copyright, or trademark infringement or other claims based on the nature and content of materials that we may distribute;</w:t>
      </w:r>
    </w:p>
    <w:p>
      <w:pPr>
        <w:spacing w:after="0" w:line="68"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the leisure and entertainment time and discretionary spending of subscribers or customers, which may intensify in part due to advances in technology and changes in consumer expectations and behavior;</w:t>
      </w:r>
    </w:p>
    <w:p>
      <w:pPr>
        <w:spacing w:after="0" w:line="68"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hardware, software and operational support;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vendors or service providers.</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Any of the foregoing could have an adverse impact on our operations following a business combination. However, our efforts in identifying prospective target businesses will not be limited to the A&amp;D, cybersecurity, encryption and quantum technologies, satellite and drone technologies for commercial and defense applications, and semiconductor “system on a chip” (SOC) industry. Accordingly, if we acquire a target business in another industry, we will be subject to risks attendant with the specific industry in which the target business we acquire operates, which may or may not be different than those risks listed above.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81"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We are offering 22,000,000 units at an offering price of $10.00 per unit. We estimate that the net proceeds of this offering together with the funds we will receive from the sale of the private investor shares and private placement units will be used as set forth in the following table.</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540" w:type="dxa"/>
            <w:vAlign w:val="bottom"/>
          </w:tcPr>
          <w:p>
            <w:pPr>
              <w:spacing w:after="0"/>
              <w:rPr>
                <w:sz w:val="13"/>
                <w:szCs w:val="13"/>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w w:val="97"/>
              </w:rPr>
              <w:t>Over-</w:t>
            </w:r>
          </w:p>
        </w:tc>
        <w:tc>
          <w:tcPr>
            <w:tcW w:w="5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Allotment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Gross proceeds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Offering</w:t>
            </w:r>
            <w:r>
              <w:rPr>
                <w:rFonts w:ascii="Times New Roman" w:cs="Times New Roman" w:eastAsia="Times New Roman" w:hAnsi="Times New Roman"/>
                <w:sz w:val="22"/>
                <w:szCs w:val="22"/>
                <w:color w:val="auto"/>
                <w:vertAlign w:val="superscript"/>
              </w:rPr>
              <w:t>(1)</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Sale of private placement units and private investor shares</w:t>
            </w:r>
            <w:r>
              <w:rPr>
                <w:rFonts w:ascii="Times New Roman" w:cs="Times New Roman" w:eastAsia="Times New Roman" w:hAnsi="Times New Roman"/>
                <w:sz w:val="22"/>
                <w:szCs w:val="22"/>
                <w:color w:val="auto"/>
                <w:vertAlign w:val="superscript"/>
              </w:rPr>
              <w:t>(2)</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3,357,006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gross proceeds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223,357,006</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256,551,578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2"/>
                <w:szCs w:val="22"/>
                <w:i w:val="1"/>
                <w:iCs w:val="1"/>
                <w:color w:val="auto"/>
                <w:vertAlign w:val="superscript"/>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Underwriting discount and commissions</w:t>
            </w:r>
            <w:r>
              <w:rPr>
                <w:rFonts w:ascii="Times New Roman" w:cs="Times New Roman" w:eastAsia="Times New Roman" w:hAnsi="Times New Roman"/>
                <w:sz w:val="22"/>
                <w:szCs w:val="22"/>
                <w:color w:val="auto"/>
                <w:vertAlign w:val="superscript"/>
              </w:rPr>
              <w:t>(4)(5)</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Nasdaq listing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Miscellaneous expenses</w:t>
            </w:r>
            <w:r>
              <w:rPr>
                <w:rFonts w:ascii="Times New Roman" w:cs="Times New Roman" w:eastAsia="Times New Roman" w:hAnsi="Times New Roman"/>
                <w:sz w:val="22"/>
                <w:szCs w:val="22"/>
                <w:i w:val="1"/>
                <w:iCs w:val="1"/>
                <w:color w:val="auto"/>
                <w:vertAlign w:val="superscript"/>
              </w:rPr>
              <w:t>(6)</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301,099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offering 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1,957,006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Total offering expenses (excluding underwriting discount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957,006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proceeds of the offering and private placement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Held in the trust</w:t>
            </w:r>
            <w:r>
              <w:rPr>
                <w:rFonts w:ascii="Times New Roman" w:cs="Times New Roman" w:eastAsia="Times New Roman" w:hAnsi="Times New Roman"/>
                <w:sz w:val="22"/>
                <w:szCs w:val="22"/>
                <w:color w:val="auto"/>
                <w:vertAlign w:val="superscript"/>
              </w:rPr>
              <w:t>(7)</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the trust account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net proceeds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Use of cash not held in the trust account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Legal, accounting and other third-party expenses related to business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2"/>
                <w:szCs w:val="22"/>
                <w:color w:val="auto"/>
                <w:vertAlign w:val="superscript"/>
              </w:rPr>
              <w:t>(8)</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SEC filing and other legal and accounting fees related to regulatory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obligations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Office space and other administrative expenses ($30,000 per month</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up to 24 months)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Payments to Chief Financial Officer ($15,000 per month)</w:t>
            </w:r>
            <w:r>
              <w:rPr>
                <w:rFonts w:ascii="Times New Roman" w:cs="Times New Roman" w:eastAsia="Times New Roman" w:hAnsi="Times New Roman"/>
                <w:sz w:val="22"/>
                <w:szCs w:val="22"/>
                <w:color w:val="auto"/>
                <w:vertAlign w:val="superscript"/>
              </w:rPr>
              <w:t>(9)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right="240" w:hanging="438"/>
        <w:spacing w:after="0" w:line="234" w:lineRule="auto"/>
        <w:tabs>
          <w:tab w:leader="none" w:pos="56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amounts payable to public shareholders who properly redeem their shares in connection with our successful completion of our initial business combination.</w:t>
      </w:r>
    </w:p>
    <w:p>
      <w:pPr>
        <w:spacing w:after="0" w:line="1" w:lineRule="exact"/>
        <w:rPr>
          <w:rFonts w:ascii="Times New Roman" w:cs="Times New Roman" w:eastAsia="Times New Roman" w:hAnsi="Times New Roman"/>
          <w:sz w:val="22"/>
          <w:szCs w:val="22"/>
          <w:color w:val="auto"/>
          <w:vertAlign w:val="superscript"/>
        </w:rPr>
      </w:pPr>
    </w:p>
    <w:p>
      <w:pPr>
        <w:ind w:left="560" w:hanging="438"/>
        <w:spacing w:after="0" w:line="232" w:lineRule="auto"/>
        <w:tabs>
          <w:tab w:leader="none" w:pos="56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$3,357,006 (or $3,551,578 if the underwriters exercise their over-allotment option) from the sale of (i) 95,200 private placement units to the insiders at a price of $9.7374 per private placement unit, and (ii)(A) 2,964,203 private investor shares (of which 386,681 private investor shares remain subject to</w:t>
      </w:r>
    </w:p>
    <w:p>
      <w:pPr>
        <w:spacing w:after="0" w:line="1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320" w:top="481" w:right="5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560" w:right="60"/>
        <w:spacing w:after="0" w:line="255" w:lineRule="auto"/>
        <w:rPr>
          <w:sz w:val="20"/>
          <w:szCs w:val="20"/>
          <w:color w:val="auto"/>
        </w:rPr>
      </w:pPr>
      <w:r>
        <w:rPr>
          <w:rFonts w:ascii="Times New Roman" w:cs="Times New Roman" w:eastAsia="Times New Roman" w:hAnsi="Times New Roman"/>
          <w:sz w:val="18"/>
          <w:szCs w:val="18"/>
          <w:color w:val="auto"/>
        </w:rPr>
        <w:t>forfeiture depending on the extent to which the underwriters’ over-allotment option is exercised in full) at a price of $0.023254 per share, and (B) 242,475 private placement units (or 262,457 private placement units if the underwriters exercise their over-allotment option) to the non-managing investors at a price of $9.7374 per private placement unit.</w:t>
      </w:r>
    </w:p>
    <w:p>
      <w:pPr>
        <w:ind w:left="560" w:right="100" w:hanging="438"/>
        <w:spacing w:after="0" w:line="243" w:lineRule="auto"/>
        <w:tabs>
          <w:tab w:leader="none" w:pos="56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 portion of the offering expenses will be paid from the proceeds of a loan from our sponsor of up to $100,000 as described in this prospectus. This loan will be repaid upon completion of this offering as part of the estimated $957,006 (or $1,019,578 if the underwriters exercise their over-allotment option) of offering proceeds that has been allocated for the payment of offering expenses (other than underwriting discounts and commissions) and amounts not to be held in the trust account. These expenses are estimates only. In the event that offering expenses are less than set forth in this table, any such amounts will be used for post-closing working capital expenses. In the event that offering expenses are more than as set forth in this table, they will be repaid using a portion of the $1,400,000 offering proceeds (or $1,507,000 if the underwriters exercise their over-allotment option) not held in the trust account and set aside for post-closing working capital expenses.</w:t>
      </w:r>
    </w:p>
    <w:p>
      <w:pPr>
        <w:spacing w:after="0" w:line="2" w:lineRule="exact"/>
        <w:rPr>
          <w:rFonts w:ascii="Times New Roman" w:cs="Times New Roman" w:eastAsia="Times New Roman" w:hAnsi="Times New Roman"/>
          <w:sz w:val="22"/>
          <w:szCs w:val="22"/>
          <w:color w:val="auto"/>
          <w:vertAlign w:val="superscript"/>
        </w:rPr>
      </w:pPr>
    </w:p>
    <w:p>
      <w:pPr>
        <w:ind w:left="560" w:hanging="438"/>
        <w:spacing w:after="0" w:line="225" w:lineRule="auto"/>
        <w:tabs>
          <w:tab w:leader="none" w:pos="56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If the underwriters’ over-allotment option is exercised, the underwriting discount applicable to each unit sold pursuant to the over-allotment option will be approximately $0.0405. No discounts or commissions will be paid with respect to the purchase of the private placement units.</w:t>
      </w:r>
    </w:p>
    <w:p>
      <w:pPr>
        <w:ind w:left="560" w:hanging="438"/>
        <w:spacing w:after="0" w:line="204" w:lineRule="auto"/>
        <w:tabs>
          <w:tab w:leader="none" w:pos="56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a $250,000 referral fee to be paid by the underwriters to United First Partners LLC.</w:t>
      </w:r>
    </w:p>
    <w:p>
      <w:pPr>
        <w:spacing w:after="0" w:line="2" w:lineRule="exact"/>
        <w:rPr>
          <w:rFonts w:ascii="Times New Roman" w:cs="Times New Roman" w:eastAsia="Times New Roman" w:hAnsi="Times New Roman"/>
          <w:sz w:val="22"/>
          <w:szCs w:val="22"/>
          <w:color w:val="auto"/>
          <w:vertAlign w:val="superscript"/>
        </w:rPr>
      </w:pPr>
    </w:p>
    <w:p>
      <w:pPr>
        <w:ind w:left="560" w:right="20" w:hanging="438"/>
        <w:spacing w:after="0" w:line="224" w:lineRule="auto"/>
        <w:tabs>
          <w:tab w:leader="none" w:pos="56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organizational and administrative expenses and may include amounts related to above-listed expenses in the event actual amounts exceed estimates.</w:t>
      </w:r>
    </w:p>
    <w:p>
      <w:pPr>
        <w:ind w:left="560" w:right="120" w:hanging="438"/>
        <w:spacing w:after="0" w:line="250" w:lineRule="auto"/>
        <w:tabs>
          <w:tab w:leader="none" w:pos="56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Upon completion of an initial business combination, this amount (plus accrued interest, but minus permitted withdrawals),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w:t>
      </w:r>
    </w:p>
    <w:p>
      <w:pPr>
        <w:ind w:left="560" w:hanging="438"/>
        <w:spacing w:after="0" w:line="243" w:lineRule="auto"/>
        <w:tabs>
          <w:tab w:leader="none" w:pos="56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These expenses are estimates only. Our actual expenditures for some or all of these items may differ from the estimates set forth in this prospectus.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2" w:lineRule="exact"/>
        <w:rPr>
          <w:rFonts w:ascii="Times New Roman" w:cs="Times New Roman" w:eastAsia="Times New Roman" w:hAnsi="Times New Roman"/>
          <w:sz w:val="22"/>
          <w:szCs w:val="22"/>
          <w:color w:val="auto"/>
          <w:vertAlign w:val="superscript"/>
        </w:rPr>
      </w:pPr>
    </w:p>
    <w:p>
      <w:pPr>
        <w:ind w:left="560" w:hanging="438"/>
        <w:spacing w:after="0" w:line="204" w:lineRule="auto"/>
        <w:tabs>
          <w:tab w:leader="none" w:pos="56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Reflects first year of payments.</w:t>
      </w:r>
    </w:p>
    <w:p>
      <w:pPr>
        <w:spacing w:after="0" w:line="198"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Nasdaq rules provide that at least 90% of the gross proceeds from this offering and the sale of the private placement units be deposited in a trust account. Of the gross proceeds of this offering and the sale of the private placement units described in this prospectus, $220,000,000 ($10.00 per unit), or $253,000,000 if the underwriters’ over-allotment option is exercised in full ($10.00 per unit), will be placed in a segregated trust account located in the United States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Except for (x) permitted withdrawals, and (y) up to $100,000 to pay dissolution expenses, as discussed below, none of the funds held in the trust account will be released from the trust account until the earlier of: (1) the completion of our initial business combination within the required time period; (2) our redemption of 100% of the outstanding public shares if we have not completed an initial business combination within 24 months from the closing of this offering; and (3) the redemption of any public shares properly tendered in connection with a shareholder vote to amend our amended and restated memorandum and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81"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80"/>
        <w:spacing w:after="0" w:line="265" w:lineRule="auto"/>
        <w:rPr>
          <w:sz w:val="20"/>
          <w:szCs w:val="20"/>
          <w:color w:val="auto"/>
        </w:rPr>
      </w:pPr>
      <w:r>
        <w:rPr>
          <w:rFonts w:ascii="Times New Roman" w:cs="Times New Roman" w:eastAsia="Times New Roman" w:hAnsi="Times New Roman"/>
          <w:sz w:val="18"/>
          <w:szCs w:val="18"/>
          <w:color w:val="auto"/>
        </w:rPr>
        <w:t>articles of association (A) to modify the substance or timing of our obligation to redeem 100% of our public shares if we do not complete our initial business combination within the required time period or (B) with respect to any other provision relating to our pre-business combination activity and related shareholders’ rights.</w:t>
      </w:r>
    </w:p>
    <w:p>
      <w:pPr>
        <w:spacing w:after="0" w:line="17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 We believe that amounts not held in trust along with permitted withdrawals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members of our sponsor or an affiliate of our sponsor or our executive officers and directors, but such members of our management team are not under any obligation to advance funds to, or invest in, us.</w:t>
      </w:r>
    </w:p>
    <w:p>
      <w:pPr>
        <w:spacing w:after="0" w:line="194" w:lineRule="exact"/>
        <w:rPr>
          <w:sz w:val="20"/>
          <w:szCs w:val="20"/>
          <w:color w:val="auto"/>
        </w:rPr>
      </w:pPr>
    </w:p>
    <w:p>
      <w:pPr>
        <w:jc w:val="both"/>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Commencing on the date that our securities are first listed on Nasdaq, we have agreed to pay GigManagement, LLC, an affiliate of our sponsor, a monthly fee of $30,000 for office space, utilities and secretarial and administrative services. Upon completion of our initial business combination or our liquidation, we will cease paying these monthly fees.</w:t>
      </w:r>
    </w:p>
    <w:p>
      <w:pPr>
        <w:spacing w:after="0" w:line="17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executive officers, directors or their affiliates may, but are not obligated to, loan us funds as may be required. If we consummate our initial business combination, we would repay such loaned amounts. In the event that the initial business combination does not close, we may use a portion of the offering proceeds held outside the trust account to repay such loaned amounts but no proceeds from our trust account would be used to repay such loaned amounts. Up to $1,500,000 of such loans may be convertible into units of the post business combination entity at a price of $10.00 per unit at the option of the lender. The units and their underlying securities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6" w:lineRule="exact"/>
        <w:rPr>
          <w:sz w:val="20"/>
          <w:szCs w:val="20"/>
          <w:color w:val="auto"/>
        </w:rPr>
      </w:pPr>
    </w:p>
    <w:p>
      <w:pPr>
        <w:ind w:left="120" w:right="480" w:firstLine="440"/>
        <w:spacing w:after="0" w:line="281" w:lineRule="auto"/>
        <w:rPr>
          <w:sz w:val="20"/>
          <w:szCs w:val="20"/>
          <w:color w:val="auto"/>
        </w:rPr>
      </w:pPr>
      <w:r>
        <w:rPr>
          <w:rFonts w:ascii="Times New Roman" w:cs="Times New Roman" w:eastAsia="Times New Roman" w:hAnsi="Times New Roman"/>
          <w:sz w:val="18"/>
          <w:szCs w:val="18"/>
          <w:color w:val="auto"/>
        </w:rPr>
        <w:t>If too many public shareholders exercise their redemption rights so that we cannot satisfy any net worth or cash requirements, we would not proceed with the redemption of our public shares or the business combination and instead may search for an alternate business combination.</w:t>
      </w:r>
    </w:p>
    <w:p>
      <w:pPr>
        <w:spacing w:after="0" w:line="16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business combination pursuant to the tender offer rules, our sponsor, directors, officers, advisors or their affiliates may purchase shares in privately negotiated transactions either prior to or following the completion of our initial business combination. There is no limit on the number of shares our sponsor,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Such persons will be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81"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8"/>
          <w:szCs w:val="18"/>
          <w:color w:val="auto"/>
        </w:rPr>
        <w:t>subject to restrictions in making any such purchases when they are in possession of any material non-public information not disclosed to the seller or if such purchases are prohibited by Regulation M under the Exchange Act.</w:t>
      </w:r>
    </w:p>
    <w:p>
      <w:pPr>
        <w:spacing w:after="0" w:line="163" w:lineRule="exact"/>
        <w:rPr>
          <w:sz w:val="20"/>
          <w:szCs w:val="20"/>
          <w:color w:val="auto"/>
        </w:rPr>
      </w:pPr>
    </w:p>
    <w:p>
      <w:pPr>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7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A public shareholder will be entitled to receive funds from the trust account only upon the earlier to occur of: (i) our consummation of our initial business combination, and then only in connection with those public shares that such shareholder properly elected to redeem, subject to the limitations described herein, (ii) the redemption of our public shares if we are unable to consummate our initial business combination within 24 months from the closing of this offering or, if our amended and restated memorandum and articles of association are amended to so provide, (iii) the redemption of our public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any extended period of time that we may have to consummate an initial business combination as a result of an amendment to our amended and restated memorandum and articles of association), or (B) with respect to any other provision relating to shareholders’ rights or pre-business combination activity, subject to applicable law. In no other circumstances will a public shareholder have any right or interest of any kind to or in the trust account.</w:t>
      </w:r>
    </w:p>
    <w:p>
      <w:pPr>
        <w:spacing w:after="0" w:line="19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will each enter into agreements with us, pursuant to which they will agree: (1) to waive their redemption rights with respect to their founder shares, private investor shares and private placement shares held by them in connection with the consummation of our initial business combination or a tender offer conducted prior to a business combination or in connection with it; and (2) to waive their rights to liquidating distributions from the trust account with respect to their founder shares, private investor shares and private placement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81"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Our board of directors is not currently contemplating and does not anticipate declaring any share dividends in the foreseeable future, except if we increase the size of this offering pursuant to Rule 462(b) under the Securities Act, in which case we will effect a share dividend immediately prior to the consummation of the offering in such amount as to maintain the collective ownership of our sponsor’s ownership through its ownership of the founder shares, together with the private investor shares, at least at 30% of the issued and outstanding ordinary shares upon the consummation of this offering (assuming no purchase in this offering and not taking into account ownership of the private placement shares). Further, if we incur any indebtedness in connection with our initial business combination, our ability to declare dividends may be limited by restrictive covenants we may agree to in connection therewith.</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81"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80" w:firstLine="440"/>
        <w:spacing w:after="0" w:line="288" w:lineRule="auto"/>
        <w:rPr>
          <w:sz w:val="20"/>
          <w:szCs w:val="20"/>
          <w:color w:val="auto"/>
        </w:rPr>
      </w:pPr>
      <w:r>
        <w:rPr>
          <w:rFonts w:ascii="Times New Roman" w:cs="Times New Roman" w:eastAsia="Times New Roman" w:hAnsi="Times New Roman"/>
          <w:sz w:val="17"/>
          <w:szCs w:val="17"/>
          <w:color w:val="auto"/>
        </w:rPr>
        <w:t>The difference between the public offering price per unit and the net tangible book value (“NTBV”) per Class A ordinary share after this offering constitutes the dilution to investors in this offering. NTBV per share is determined by dividing our NTBV, which is our total tangible assets less total liabilities (including the value of Class A ordinary shares that may be redeemed for cash), by the number of outstanding Class A ordinary shares.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below calculations (A) assume that (i) no ordinary shares are issued to shareholders of a potential business combination target as consideration or issuable by a post-business combination company, for instance under an equity or employee share purchase plan, (ii) no ordinary shares and convertible equity or debt securities are issued in connection with additional financing that we may seek in connection with an initial business combination, (iii) no working capital loans are converted into private placement units, as further described in this prospectus and (iv) no value is attributed to the rights, and (B) assume the issuance of 22,000,000 Class A ordinary shares (or 25,300,000 Class A ordinary shares if the over-allotment option is exercised in full), 2,964,203 Class B ordinary shares (up to 1,410,624 of which are assumed to be forfeited in the scenario in which the over-allotment option is not exercised in full) to our initial shareholders, and 337,675 private placement shares (or 357,657 private placement shares if the over-allotment option is exercised in full) to our initial shareholders. Such calculation does not reflect any dilution associated with the sale and exercise of rights, including the private placement units, which would cause the actual dilution to the public shareholders to be higher. Further, we may need to issue additional securities as we intend to seek an initial business combination with a target company with an enterprise value greater than the net proceeds of the offering and the sale of private placement units and the issuance of the issuance of additional ordinary or preferred shares may significantly dilute the equity interest of public shareholders, which dilution would even further increase if the anti-dilution provisions in the Class B ordinary shares resulted in the issuance of Class A ordinary shares on a greater than one-to-one basis upon conversion of the Class B ordinary shares.</w:t>
      </w:r>
    </w:p>
    <w:p>
      <w:pPr>
        <w:spacing w:after="0" w:line="195" w:lineRule="exact"/>
        <w:rPr>
          <w:sz w:val="20"/>
          <w:szCs w:val="20"/>
          <w:color w:val="auto"/>
        </w:rPr>
      </w:pPr>
    </w:p>
    <w:p>
      <w:pPr>
        <w:ind w:left="120" w:right="500" w:firstLine="440"/>
        <w:spacing w:after="0" w:line="281" w:lineRule="auto"/>
        <w:rPr>
          <w:sz w:val="20"/>
          <w:szCs w:val="20"/>
          <w:color w:val="auto"/>
        </w:rPr>
      </w:pPr>
      <w:r>
        <w:rPr>
          <w:rFonts w:ascii="Times New Roman" w:cs="Times New Roman" w:eastAsia="Times New Roman" w:hAnsi="Times New Roman"/>
          <w:sz w:val="18"/>
          <w:szCs w:val="18"/>
          <w:color w:val="auto"/>
        </w:rPr>
        <w:t>The following table illustrates the difference between the public offering price and our NTBV, as adjusted to give effect to this offering and assuming redemption of our public shares at varying levels and the full exercise and no exercise of the over-allotment option:</w:t>
      </w:r>
    </w:p>
    <w:p>
      <w:pPr>
        <w:sectPr>
          <w:pgSz w:w="11900" w:h="16838" w:orient="portrait"/>
          <w:cols w:equalWidth="0" w:num="1">
            <w:col w:w="11080"/>
          </w:cols>
          <w:pgMar w:left="320" w:top="481" w:right="499" w:bottom="1440" w:gutter="0" w:footer="0" w:header="0"/>
        </w:sectPr>
      </w:pPr>
    </w:p>
    <w:bookmarkStart w:id="130" w:name="page131"/>
    <w:bookmarkEnd w:id="130"/>
    <w:p>
      <w:pPr>
        <w:ind w:right="120" w:firstLine="440"/>
        <w:spacing w:after="0" w:line="281" w:lineRule="auto"/>
        <w:rPr>
          <w:sz w:val="20"/>
          <w:szCs w:val="20"/>
          <w:color w:val="auto"/>
        </w:rPr>
      </w:pPr>
      <w:r>
        <w:rPr>
          <w:rFonts w:ascii="Times New Roman" w:cs="Times New Roman" w:eastAsia="Times New Roman" w:hAnsi="Times New Roman"/>
          <w:sz w:val="18"/>
          <w:szCs w:val="18"/>
          <w:color w:val="auto"/>
        </w:rPr>
        <w:t>The following table illustrates the difference between the public offering price per unit and our NTBV per share, as adjusted to give effect to this offering and assuming redemption of our public shares at varying levels and the full exercise and no exercise of the over-allotment option:</w:t>
      </w:r>
    </w:p>
    <w:p>
      <w:pPr>
        <w:sectPr>
          <w:pgSz w:w="11900" w:h="16838" w:orient="portrait"/>
          <w:cols w:equalWidth="0" w:num="1">
            <w:col w:w="10960"/>
          </w:cols>
          <w:pgMar w:left="440" w:top="121" w:right="499" w:bottom="1440" w:gutter="0" w:footer="0" w:header="0"/>
        </w:sect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Price of</w:t>
      </w:r>
    </w:p>
    <w:p>
      <w:pPr>
        <w:spacing w:after="0"/>
        <w:rPr>
          <w:sz w:val="20"/>
          <w:szCs w:val="20"/>
          <w:color w:val="auto"/>
        </w:rPr>
      </w:pPr>
      <w:r>
        <w:rPr>
          <w:rFonts w:ascii="Times New Roman" w:cs="Times New Roman" w:eastAsia="Times New Roman" w:hAnsi="Times New Roman"/>
          <w:sz w:val="14"/>
          <w:szCs w:val="14"/>
          <w:b w:val="1"/>
          <w:bCs w:val="1"/>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594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941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NTBV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$6.98</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5"/>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As of July 21, 2025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70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25% of Maximum</w:t>
            </w:r>
          </w:p>
        </w:tc>
        <w:tc>
          <w:tcPr>
            <w:tcW w:w="120" w:type="dxa"/>
            <w:vAlign w:val="bottom"/>
          </w:tcPr>
          <w:p>
            <w:pPr>
              <w:spacing w:after="0"/>
              <w:rPr>
                <w:sz w:val="23"/>
                <w:szCs w:val="23"/>
                <w:color w:val="auto"/>
              </w:rPr>
            </w:pPr>
          </w:p>
        </w:tc>
        <w:tc>
          <w:tcPr>
            <w:tcW w:w="14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50% of Maximum</w:t>
            </w:r>
          </w:p>
        </w:tc>
        <w:tc>
          <w:tcPr>
            <w:tcW w:w="360" w:type="dxa"/>
            <w:vAlign w:val="bottom"/>
          </w:tcPr>
          <w:p>
            <w:pPr>
              <w:spacing w:after="0"/>
              <w:rPr>
                <w:sz w:val="23"/>
                <w:szCs w:val="23"/>
                <w:color w:val="auto"/>
              </w:rPr>
            </w:pPr>
          </w:p>
        </w:tc>
        <w:tc>
          <w:tcPr>
            <w:tcW w:w="14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75% of Maximum</w:t>
            </w:r>
          </w:p>
        </w:tc>
        <w:tc>
          <w:tcPr>
            <w:tcW w:w="360" w:type="dxa"/>
            <w:vAlign w:val="bottom"/>
          </w:tcPr>
          <w:p>
            <w:pPr>
              <w:spacing w:after="0"/>
              <w:rPr>
                <w:sz w:val="23"/>
                <w:szCs w:val="23"/>
                <w:color w:val="auto"/>
              </w:rPr>
            </w:pPr>
          </w:p>
        </w:tc>
        <w:tc>
          <w:tcPr>
            <w:tcW w:w="11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46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60" w:type="dxa"/>
            <w:vAlign w:val="bottom"/>
          </w:tcPr>
          <w:p>
            <w:pPr>
              <w:spacing w:after="0"/>
              <w:rPr>
                <w:sz w:val="15"/>
                <w:szCs w:val="15"/>
                <w:color w:val="auto"/>
              </w:rPr>
            </w:pPr>
          </w:p>
        </w:tc>
        <w:tc>
          <w:tcPr>
            <w:tcW w:w="146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6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4"/>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NTBV and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ind w:left="256"/>
              <w:spacing w:after="0" w:line="149" w:lineRule="exact"/>
              <w:rPr>
                <w:sz w:val="20"/>
                <w:szCs w:val="20"/>
                <w:color w:val="auto"/>
              </w:rPr>
            </w:pPr>
            <w:r>
              <w:rPr>
                <w:rFonts w:ascii="Times New Roman" w:cs="Times New Roman" w:eastAsia="Times New Roman" w:hAnsi="Times New Roman"/>
                <w:sz w:val="14"/>
                <w:szCs w:val="14"/>
                <w:b w:val="1"/>
                <w:bCs w:val="1"/>
                <w:color w:val="auto"/>
              </w:rPr>
              <w:t>NTBV and</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ind w:left="256"/>
              <w:spacing w:after="0" w:line="149" w:lineRule="exact"/>
              <w:rPr>
                <w:sz w:val="20"/>
                <w:szCs w:val="20"/>
                <w:color w:val="auto"/>
              </w:rPr>
            </w:pPr>
            <w:r>
              <w:rPr>
                <w:rFonts w:ascii="Times New Roman" w:cs="Times New Roman" w:eastAsia="Times New Roman" w:hAnsi="Times New Roman"/>
                <w:sz w:val="14"/>
                <w:szCs w:val="14"/>
                <w:b w:val="1"/>
                <w:bCs w:val="1"/>
                <w:color w:val="auto"/>
              </w:rPr>
              <w:t>NTBV and</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ind w:left="256"/>
              <w:spacing w:after="0" w:line="149" w:lineRule="exact"/>
              <w:rPr>
                <w:sz w:val="20"/>
                <w:szCs w:val="20"/>
                <w:color w:val="auto"/>
              </w:rPr>
            </w:pPr>
            <w:r>
              <w:rPr>
                <w:rFonts w:ascii="Times New Roman" w:cs="Times New Roman" w:eastAsia="Times New Roman" w:hAnsi="Times New Roman"/>
                <w:sz w:val="14"/>
                <w:szCs w:val="14"/>
                <w:b w:val="1"/>
                <w:bCs w:val="1"/>
                <w:color w:val="auto"/>
              </w:rPr>
              <w:t>NTBV 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NTBV</w:t>
            </w:r>
          </w:p>
        </w:tc>
        <w:tc>
          <w:tcPr>
            <w:tcW w:w="360" w:type="dxa"/>
            <w:vAlign w:val="bottom"/>
          </w:tcPr>
          <w:p>
            <w:pPr>
              <w:spacing w:after="0"/>
              <w:rPr>
                <w:sz w:val="12"/>
                <w:szCs w:val="12"/>
                <w:color w:val="auto"/>
              </w:rPr>
            </w:pPr>
          </w:p>
        </w:tc>
        <w:tc>
          <w:tcPr>
            <w:tcW w:w="920" w:type="dxa"/>
            <w:vAlign w:val="bottom"/>
            <w:gridSpan w:val="3"/>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NTBV</w:t>
            </w: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6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NTBV</w:t>
            </w: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6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NTBV</w:t>
            </w: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7"/>
        </w:trPr>
        <w:tc>
          <w:tcPr>
            <w:tcW w:w="78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8"/>
                <w:szCs w:val="18"/>
                <w:i w:val="1"/>
                <w:iCs w:val="1"/>
                <w:color w:val="auto"/>
              </w:rPr>
              <w:t>Assuming</w:t>
            </w:r>
          </w:p>
        </w:tc>
        <w:tc>
          <w:tcPr>
            <w:tcW w:w="3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i w:val="1"/>
                <w:iCs w:val="1"/>
                <w:color w:val="auto"/>
              </w:rPr>
              <w:t>No</w:t>
            </w:r>
          </w:p>
        </w:tc>
        <w:tc>
          <w:tcPr>
            <w:tcW w:w="6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i w:val="1"/>
                <w:iCs w:val="1"/>
                <w:color w:val="auto"/>
                <w:w w:val="84"/>
              </w:rPr>
              <w:t>Exercise of</w:t>
            </w:r>
          </w:p>
        </w:tc>
        <w:tc>
          <w:tcPr>
            <w:tcW w:w="36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i w:val="1"/>
                <w:iCs w:val="1"/>
                <w:color w:val="auto"/>
                <w:w w:val="77"/>
              </w:rPr>
              <w:t>Over</w:t>
            </w:r>
          </w:p>
        </w:tc>
        <w:tc>
          <w:tcPr>
            <w:tcW w:w="78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i w:val="1"/>
                <w:iCs w:val="1"/>
                <w:color w:val="auto"/>
                <w:w w:val="92"/>
              </w:rPr>
              <w:t>-Allotment</w:t>
            </w:r>
          </w:p>
        </w:tc>
        <w:tc>
          <w:tcPr>
            <w:tcW w:w="6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i w:val="1"/>
                <w:iCs w:val="1"/>
                <w:color w:val="auto"/>
                <w:w w:val="99"/>
              </w:rPr>
              <w:t>Option</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$6.33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$5.35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$3.68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$ 0.11</w:t>
            </w:r>
          </w:p>
        </w:tc>
        <w:tc>
          <w:tcPr>
            <w:tcW w:w="70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8"/>
        </w:trPr>
        <w:tc>
          <w:tcPr>
            <w:tcW w:w="3640" w:type="dxa"/>
            <w:vAlign w:val="bottom"/>
            <w:gridSpan w:val="11"/>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Assuming Full Exercise of Over-Allotment Option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$6.34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20"/>
                <w:szCs w:val="20"/>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$5.37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$3.70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$0.14</w:t>
            </w:r>
          </w:p>
        </w:tc>
        <w:tc>
          <w:tcPr>
            <w:tcW w:w="70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-778510</wp:posOffset>
            </wp:positionV>
            <wp:extent cx="698690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86905" cy="13716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-504825</wp:posOffset>
            </wp:positionV>
            <wp:extent cx="6986905"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86905" cy="137160"/>
                    </a:xfrm>
                    <a:prstGeom prst="rect">
                      <a:avLst/>
                    </a:prstGeom>
                    <a:noFill/>
                  </pic:spPr>
                </pic:pic>
              </a:graphicData>
            </a:graphic>
          </wp:anchor>
        </w:drawing>
      </w:r>
    </w:p>
    <w:p>
      <w:pPr>
        <w:sectPr>
          <w:pgSz w:w="11900" w:h="16838" w:orient="portrait"/>
          <w:cols w:equalWidth="0" w:num="2">
            <w:col w:w="2960" w:space="720"/>
            <w:col w:w="7280"/>
          </w:cols>
          <w:pgMar w:left="440" w:top="121" w:right="4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For each of the redemption scenarios above, the NTBV was calculated as follows:</w:t>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25% of Maximum</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6"/>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50% of Maximum</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gridSpan w:val="6"/>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75% of Maximum</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6"/>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No Redemption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gridSpan w:val="6"/>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gridSpan w:val="6"/>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10"/>
              <w:spacing w:after="0" w:line="109" w:lineRule="exact"/>
              <w:rPr>
                <w:sz w:val="20"/>
                <w:szCs w:val="20"/>
                <w:color w:val="auto"/>
              </w:rPr>
            </w:pPr>
            <w:r>
              <w:rPr>
                <w:rFonts w:ascii="Times New Roman" w:cs="Times New Roman" w:eastAsia="Times New Roman" w:hAnsi="Times New Roman"/>
                <w:sz w:val="12"/>
                <w:szCs w:val="12"/>
                <w:b w:val="1"/>
                <w:bCs w:val="1"/>
                <w:color w:val="auto"/>
              </w:rPr>
              <w:t>With</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10"/>
              <w:spacing w:after="0" w:line="109" w:lineRule="exact"/>
              <w:rPr>
                <w:sz w:val="20"/>
                <w:szCs w:val="20"/>
                <w:color w:val="auto"/>
              </w:rPr>
            </w:pPr>
            <w:r>
              <w:rPr>
                <w:rFonts w:ascii="Times New Roman" w:cs="Times New Roman" w:eastAsia="Times New Roman" w:hAnsi="Times New Roman"/>
                <w:sz w:val="12"/>
                <w:szCs w:val="12"/>
                <w:b w:val="1"/>
                <w:bCs w:val="1"/>
                <w:color w:val="auto"/>
              </w:rPr>
              <w:t>With</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30"/>
              <w:spacing w:after="0" w:line="109" w:lineRule="exact"/>
              <w:rPr>
                <w:sz w:val="20"/>
                <w:szCs w:val="20"/>
                <w:color w:val="auto"/>
              </w:rPr>
            </w:pPr>
            <w:r>
              <w:rPr>
                <w:rFonts w:ascii="Times New Roman" w:cs="Times New Roman" w:eastAsia="Times New Roman" w:hAnsi="Times New Roman"/>
                <w:sz w:val="12"/>
                <w:szCs w:val="12"/>
                <w:b w:val="1"/>
                <w:bCs w:val="1"/>
                <w:color w:val="auto"/>
              </w:rPr>
              <w:t>With</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30"/>
              <w:spacing w:after="0" w:line="109" w:lineRule="exact"/>
              <w:rPr>
                <w:sz w:val="20"/>
                <w:szCs w:val="20"/>
                <w:color w:val="auto"/>
              </w:rPr>
            </w:pPr>
            <w:r>
              <w:rPr>
                <w:rFonts w:ascii="Times New Roman" w:cs="Times New Roman" w:eastAsia="Times New Roman" w:hAnsi="Times New Roman"/>
                <w:sz w:val="12"/>
                <w:szCs w:val="12"/>
                <w:b w:val="1"/>
                <w:bCs w:val="1"/>
                <w:color w:val="auto"/>
              </w:rPr>
              <w:t>With</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10"/>
              <w:spacing w:after="0" w:line="109" w:lineRule="exact"/>
              <w:rPr>
                <w:sz w:val="20"/>
                <w:szCs w:val="20"/>
                <w:color w:val="auto"/>
              </w:rPr>
            </w:pPr>
            <w:r>
              <w:rPr>
                <w:rFonts w:ascii="Times New Roman" w:cs="Times New Roman" w:eastAsia="Times New Roman" w:hAnsi="Times New Roman"/>
                <w:sz w:val="12"/>
                <w:szCs w:val="12"/>
                <w:b w:val="1"/>
                <w:bCs w:val="1"/>
                <w:color w:val="auto"/>
                <w:w w:val="99"/>
              </w:rPr>
              <w:t>With</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Public offering</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price</w:t>
            </w:r>
          </w:p>
        </w:tc>
        <w:tc>
          <w:tcPr>
            <w:tcW w:w="10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Net tangible</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before this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Increase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attributable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to public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Pro forms net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tangible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after this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Dilution to</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public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4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4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60" w:type="dxa"/>
            <w:vAlign w:val="bottom"/>
            <w:shd w:val="clear" w:color="auto" w:fill="CCEEFF"/>
          </w:tcPr>
          <w:p>
            <w:pPr>
              <w:spacing w:after="0"/>
              <w:rPr>
                <w:sz w:val="12"/>
                <w:szCs w:val="1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shareholders $</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line="159" w:lineRule="exact"/>
              <w:rPr>
                <w:sz w:val="20"/>
                <w:szCs w:val="20"/>
                <w:color w:val="auto"/>
              </w:rPr>
            </w:pPr>
            <w:r>
              <w:rPr>
                <w:rFonts w:ascii="Times New Roman" w:cs="Times New Roman" w:eastAsia="Times New Roman" w:hAnsi="Times New Roman"/>
                <w:sz w:val="14"/>
                <w:szCs w:val="14"/>
                <w:color w:val="auto"/>
              </w:rPr>
              <w:t>Percentage of</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dilution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public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36.60%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46.50%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46.30%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63.20%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63.00%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98.90%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98.60%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Numerator: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tangible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before this</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4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4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proceeds</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from this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and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sale of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private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placement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221,400,000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254,507,000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254,507,000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254,507,000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254,507,000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254,507,000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8"/>
                <w:szCs w:val="8"/>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Plus: Offering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or paid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advance,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excluded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from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tangible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book 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Less: Over-</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allotment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(339,200)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(339,200)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(339,200)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(339,200)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(339,200)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Amounts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paid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(55,000,000)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(63,250,000)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(110,000,000)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(126,500,000)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(165,000,000)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(189,750,000)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(220,000,000)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(253,000,000)</w:t>
            </w:r>
          </w:p>
        </w:tc>
        <w:tc>
          <w:tcPr>
            <w:tcW w:w="0" w:type="dxa"/>
            <w:vAlign w:val="bottom"/>
          </w:tcPr>
          <w:p>
            <w:pPr>
              <w:spacing w:after="0"/>
              <w:rPr>
                <w:sz w:val="1"/>
                <w:szCs w:val="1"/>
                <w:color w:val="auto"/>
              </w:rPr>
            </w:pPr>
          </w:p>
        </w:tc>
      </w:tr>
      <w:tr>
        <w:trPr>
          <w:trHeight w:val="110"/>
        </w:trPr>
        <w:tc>
          <w:tcPr>
            <w:tcW w:w="9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221,066,468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254,512,668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166,066,468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191,262,668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111,066,468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128,012,668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56,066,468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64,762,668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1,066,468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1,512,668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Denominator:</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prior to this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forfeited if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over-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allotment is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(1,023,943)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(1,023,943)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(1,023,943)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(1,023,943)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(1,023,943)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offered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Private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placement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private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from private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if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over-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allotment is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(386,681)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(386,681)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(386,681)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(386,681)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(386,681)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ordinary</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(5,500,000</w:t>
            </w: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(6,325,000</w:t>
            </w: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(11,000,000</w:t>
            </w: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(12,650,000</w:t>
            </w: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(16,500,000</w:t>
            </w: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(18,975,000</w:t>
            </w: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(22,000,000</w:t>
            </w: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(25,300,000</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redeemed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-8890</wp:posOffset>
            </wp:positionV>
            <wp:extent cx="1155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ectPr>
          <w:pgSz w:w="11900" w:h="16838" w:orient="portrait"/>
          <w:cols w:equalWidth="0" w:num="1">
            <w:col w:w="11340"/>
          </w:cols>
          <w:pgMar w:left="320" w:top="481" w:right="239" w:bottom="0" w:gutter="0" w:footer="0" w:header="0"/>
        </w:sectPr>
      </w:pPr>
    </w:p>
    <w:p>
      <w:pPr>
        <w:ind w:left="120"/>
        <w:spacing w:after="0"/>
        <w:rPr>
          <w:sz w:val="20"/>
          <w:szCs w:val="20"/>
          <w:color w:val="auto"/>
        </w:rPr>
      </w:pPr>
      <w:r>
        <w:rPr>
          <w:rFonts w:ascii="Times New Roman" w:cs="Times New Roman" w:eastAsia="Times New Roman" w:hAnsi="Times New Roman"/>
          <w:sz w:val="14"/>
          <w:szCs w:val="14"/>
          <w:color w:val="auto"/>
        </w:rPr>
        <w:t>Total</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ind w:right="140" w:firstLine="648"/>
        <w:spacing w:after="0"/>
        <w:rPr>
          <w:sz w:val="20"/>
          <w:szCs w:val="20"/>
          <w:color w:val="auto"/>
        </w:rPr>
      </w:pPr>
      <w:r>
        <w:rPr>
          <w:rFonts w:ascii="Times New Roman" w:cs="Times New Roman" w:eastAsia="Times New Roman" w:hAnsi="Times New Roman"/>
          <w:sz w:val="14"/>
          <w:szCs w:val="14"/>
          <w:color w:val="auto"/>
        </w:rPr>
        <w:t>31,741,483 36,472,089 26,241,483 30,147,089 20,741,483 23,822,089 15,241,483 17,497,089 9,741,483 11,172,089 Expenses applied against gross proceeds include offering expenses of approximately $957,006 (or $1,019,578 if the underwriters exercise the over-allotment option in full). See “</w:t>
      </w:r>
      <w:r>
        <w:rPr>
          <w:rFonts w:ascii="Times New Roman" w:cs="Times New Roman" w:eastAsia="Times New Roman" w:hAnsi="Times New Roman"/>
          <w:sz w:val="14"/>
          <w:szCs w:val="14"/>
          <w:i w:val="1"/>
          <w:iCs w:val="1"/>
          <w:color w:val="auto"/>
        </w:rPr>
        <w:t>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Proceeds.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-196215</wp:posOffset>
            </wp:positionV>
            <wp:extent cx="7118985"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18985" cy="93980"/>
                    </a:xfrm>
                    <a:prstGeom prst="rect">
                      <a:avLst/>
                    </a:prstGeom>
                    <a:noFill/>
                  </pic:spPr>
                </pic:pic>
              </a:graphicData>
            </a:graphic>
          </wp:anchor>
        </w:drawing>
      </w:r>
    </w:p>
    <w:p>
      <w:pPr>
        <w:spacing w:after="0" w:line="108"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4"/>
          <w:szCs w:val="14"/>
          <w:color w:val="auto"/>
        </w:rPr>
        <w:t>If we seek shareholder approval of our initial business combination and we do not conduct redemptions in connection with our initial business combination pursuant to the tender offer rules, our initial shareholders, directors, executive officers, advisors or their affiliates may purchase public shares or public rights in privately negotiated transactions or in the open market either prior to or following the completion of our initial business combination. In the event of any such purchases of our shares prior to the completion of our initial business combination, the number of ordinary shares subject to redemption will be reduced by the amount of any such purchases, increasing the pro forma net tangible book value per share. See “</w:t>
      </w:r>
      <w:r>
        <w:rPr>
          <w:rFonts w:ascii="Times New Roman" w:cs="Times New Roman" w:eastAsia="Times New Roman" w:hAnsi="Times New Roman"/>
          <w:sz w:val="14"/>
          <w:szCs w:val="14"/>
          <w:i w:val="1"/>
          <w:iCs w:val="1"/>
          <w:color w:val="auto"/>
        </w:rPr>
        <w:t>Proposed Business.</w:t>
      </w:r>
      <w:r>
        <w:rPr>
          <w:rFonts w:ascii="Times New Roman" w:cs="Times New Roman" w:eastAsia="Times New Roman" w:hAnsi="Times New Roman"/>
          <w:sz w:val="14"/>
          <w:szCs w:val="14"/>
          <w:color w:val="auto"/>
        </w:rPr>
        <w:t>”</w:t>
      </w:r>
    </w:p>
    <w:p>
      <w:pPr>
        <w:spacing w:after="0" w:line="117" w:lineRule="exact"/>
        <w:rPr>
          <w:sz w:val="20"/>
          <w:szCs w:val="20"/>
          <w:color w:val="auto"/>
        </w:rPr>
      </w:pPr>
    </w:p>
    <w:p>
      <w:pPr>
        <w:sectPr>
          <w:pgSz w:w="11900" w:h="16838" w:orient="portrait"/>
          <w:cols w:equalWidth="0" w:num="2">
            <w:col w:w="420" w:space="140"/>
            <w:col w:w="10780"/>
          </w:cols>
          <w:pgMar w:left="320" w:top="481" w:right="239" w:bottom="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81" w:right="239"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The following table sets forth our capitalization as of July 21, 2025 and as adjusted to give effect to the sale of our public units offered by this prospectus and the sale of the private investor shares and private placement shares in the private placement, the application of the estimated net proceeds derived from the sale of such securities, and the issuance of the private investor shares and private placement shares:</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July 21, 2025</w:t>
            </w: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8"/>
                <w:szCs w:val="8"/>
                <w:b w:val="1"/>
                <w:bCs w:val="1"/>
                <w:color w:val="auto"/>
              </w:rPr>
              <w:t>(2)(3)</w:t>
            </w:r>
          </w:p>
        </w:tc>
        <w:tc>
          <w:tcPr>
            <w:tcW w:w="14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18"/>
                <w:szCs w:val="18"/>
                <w:color w:val="auto"/>
              </w:rPr>
              <w:t xml:space="preserve">Promissory note to related party </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Over-allotment liability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339,200</w:t>
            </w:r>
          </w:p>
        </w:tc>
        <w:tc>
          <w:tcPr>
            <w:tcW w:w="14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Class A ordinary shares, par value $0.0001 per share, subject to redemption,</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shares subject to possible redemption, actual; 22,000,000 shares subject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redemption, as adjusted</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220,000,000</w:t>
            </w:r>
          </w:p>
        </w:tc>
        <w:tc>
          <w:tcPr>
            <w:tcW w:w="140" w:type="dxa"/>
            <w:vAlign w:val="bottom"/>
            <w:shd w:val="clear" w:color="auto" w:fill="CCEEFF"/>
          </w:tcPr>
          <w:p>
            <w:pPr>
              <w:spacing w:after="0"/>
              <w:rPr>
                <w:sz w:val="20"/>
                <w:szCs w:val="20"/>
                <w:color w:val="auto"/>
              </w:rPr>
            </w:pPr>
          </w:p>
        </w:tc>
      </w:tr>
      <w:tr>
        <w:trPr>
          <w:trHeight w:val="22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Preferred shares, par value $0.0001 per share, 1,000,000 authorized;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none issued or outstanding, actual and adjusted</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7"/>
        </w:trPr>
        <w:tc>
          <w:tcPr>
            <w:tcW w:w="20" w:type="dxa"/>
            <w:vAlign w:val="bottom"/>
          </w:tcPr>
          <w:p>
            <w:pPr>
              <w:spacing w:after="0"/>
              <w:rPr>
                <w:sz w:val="17"/>
                <w:szCs w:val="17"/>
                <w:color w:val="auto"/>
              </w:rPr>
            </w:pPr>
          </w:p>
        </w:tc>
        <w:tc>
          <w:tcPr>
            <w:tcW w:w="578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Class A ordinary shares, par value $0.0001 per share, 200,000,000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authorized, no shares issued and outstanding, actual; 337,675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issued and outstanding, as adjusted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Class B ordinary shares, par value $0.0001 per share, 20,000,000 shares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actual and as adjusted; 7,850,229 shares issued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actual; 9,403,808 shares issued and outstanding, as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520"/>
              <w:spacing w:after="0" w:line="235" w:lineRule="exact"/>
              <w:rPr>
                <w:sz w:val="20"/>
                <w:szCs w:val="20"/>
                <w:color w:val="auto"/>
              </w:rPr>
            </w:pPr>
            <w:r>
              <w:rPr>
                <w:rFonts w:ascii="Times New Roman" w:cs="Times New Roman" w:eastAsia="Times New Roman" w:hAnsi="Times New Roman"/>
                <w:sz w:val="18"/>
                <w:szCs w:val="18"/>
                <w:color w:val="auto"/>
              </w:rPr>
              <w:t>adjusted</w:t>
            </w:r>
            <w:r>
              <w:rPr>
                <w:rFonts w:ascii="Times New Roman" w:cs="Times New Roman" w:eastAsia="Times New Roman" w:hAnsi="Times New Roman"/>
                <w:sz w:val="22"/>
                <w:szCs w:val="22"/>
                <w:color w:val="auto"/>
                <w:vertAlign w:val="superscript"/>
              </w:rPr>
              <w:t>(4)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1,084,826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(19,332)</w:t>
            </w:r>
          </w:p>
        </w:tc>
      </w:tr>
      <w:tr>
        <w:trPr>
          <w:trHeight w:val="23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1,066,468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105,668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221,405,668</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hanging="438"/>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has loaned us an aggregate of $100,000 as of July 21, 2025 to be used for a portion of the expenses of the offering.</w:t>
      </w:r>
    </w:p>
    <w:p>
      <w:pPr>
        <w:spacing w:after="0" w:line="27" w:lineRule="exact"/>
        <w:rPr>
          <w:rFonts w:ascii="Times New Roman" w:cs="Times New Roman" w:eastAsia="Times New Roman" w:hAnsi="Times New Roman"/>
          <w:sz w:val="18"/>
          <w:szCs w:val="18"/>
          <w:color w:val="auto"/>
        </w:rPr>
      </w:pPr>
    </w:p>
    <w:p>
      <w:pPr>
        <w:ind w:left="560" w:right="140" w:hanging="438"/>
        <w:spacing w:after="0" w:line="250"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$927,000 we will receive from the sale of the 95,200 private placement units to our insiders at $9.7374 per private placement unit. Also includes $2,430,006 we will receive from the sale of 2,964,203 private investor shares and 242,475 private placement units to the non-managing investors. Assumes the forfeiture of 1,410,624 Class B ordinary shares that are subject to forfeiture depending on the extent to which the underwriters’ option to purchase additional public units is exercised.</w:t>
      </w:r>
    </w:p>
    <w:p>
      <w:pPr>
        <w:ind w:left="560" w:right="400" w:hanging="438"/>
        <w:spacing w:after="0" w:line="252"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our initial business combination, we will provide our public shareholders with the opportunity to redeem their public shares, regardless of whether they abstain, vote for, or against, or our initial business combination, for cash at a per share price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any limitations (including, but not limited to, cash requirements) created by the terms of the proposed business combination.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81"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hanging="438"/>
        <w:spacing w:after="0" w:line="312" w:lineRule="auto"/>
        <w:tabs>
          <w:tab w:leader="none" w:pos="5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share amount is prior to any forfeiture of founder shares by our sponsor and as adjusted assumes the forfeiture of 1,410,624 Class B ordinary shares that are subject to forfeiture depending on the extent to which the underwriters’ option to purchase additional shares is exercised.</w:t>
      </w:r>
    </w:p>
    <w:p>
      <w:pPr>
        <w:spacing w:after="0" w:line="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320" w:top="481" w:right="5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newly organized Private-to-Public Equity (PPE) company, also known as a blank check company or special purpose acquisition company (SPAC), incorporated in the Cayman Islands and formed by an affiliate of the serial SPAC issuer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A&amp;D, cybersecurity, encryption and quantum technologies, satellite and drone technologies for commercial and defense applications, and semiconductor “system on a chip” (SOC) industries.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14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will seek to capitalize on the significant experience and contacts of our management team to complete our initial business combination. GigCapital8 is our eighth SPAC affiliated with GigCapital Global, with five of the other seven having completed business combinations; GIG1, which successfully completed its business combination with Kaleyra S.p.A., following which it was renamed as Kaleyra, Inc. (NYSE American: KLR) in November 2019 (and since that time, Kaleyra uplisted to NYSE), and Kaleyra, Inc. was then acquired in November 2023 by Tata Communications in a $320 million cash deal; GIG2, which successfully completed its business combination with UpHealth Holding, Inc. and Cloudbreak Health, LLC, following which it was renamed as UpHealth, Inc. (OTC Expert Market: UPHL) in June 2021, and UpHealth, Inc. sold its subsidiaries Innovations Group Incorporated in June 2023 to Belmar Pharma Solutions in a $58 million cash deal, and Cloudbreak Health in March 2024 to an affiliate of GTCR, LLC in a $180 million cash deal (some subsidiaries of UpHealth, Inc., such as UpHealth Holdings, Inc. and its wholly-owned subsidiaries, Thrasys, Inc. and Behavioral Health Services, LLC, and each of their subsidiaries filed voluntary petitions for relief under Chapter 11 of U.S. Bankruptcy Code in 2023); GIG3, which successfully completed its business combination with Lightning Systems, Inc. (doing business as Lightning eMotors), following which it was renamed as Lightning eMotors, Inc. (OTC Expert Market: ZEVY) in May 2021 (Lightning eMotors went into receivership in December 2023, and as a result, the assets of Lightning eMotors were sold to GERCO LLC, a subsidiary of GILLIG, in February 2024); GIG4, which successfully completed its business combination with BigBear.ai Holdings, LLC, following which it was renamed as BigBear.ai Holdings, Inc. (NYSE: BBAI) in December 2021; and GIG5, which successfully completed its business combination with QT Imaging, Inc., following which it was renamed as QT Imaging Holdings, Inc. (OTCQB: QTIH) in March 2024.</w:t>
      </w:r>
    </w:p>
    <w:p>
      <w:pPr>
        <w:spacing w:after="0" w:line="1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believe our management team’s distinctive background and record of acquisition and operational success could have a significant impact on target businesses. Although we may pursue our initial business combination in any business, industry or geographic location, we currently intend to focus on opportunities to capitalize on the ability of our management team, particularly our executive officers, to identify, acquire and operate a business in the A&amp;D, cybersecurity, encryption and quantum technologies, AI and ML, satellite and drone technologies for commercial and defense applications, and semiconductor “system on a chip” (SOC) industries.</w:t>
      </w:r>
    </w:p>
    <w:p>
      <w:pPr>
        <w:spacing w:after="0" w:line="155"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8"/>
          <w:szCs w:val="18"/>
          <w:color w:val="auto"/>
        </w:rPr>
        <w:t>Based on few megatrends in the world, we believe that our new SPAC is timely and relevant to support enhancement of public capital investments in growing and commercializing innovative small and middle-cap exceptional technology companies.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1"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440"/>
        <w:spacing w:after="0" w:line="235" w:lineRule="auto"/>
        <w:rPr>
          <w:sz w:val="20"/>
          <w:szCs w:val="20"/>
          <w:color w:val="auto"/>
        </w:rPr>
      </w:pPr>
      <w:r>
        <w:rPr>
          <w:rFonts w:ascii="Times New Roman" w:cs="Times New Roman" w:eastAsia="Times New Roman" w:hAnsi="Times New Roman"/>
          <w:sz w:val="18"/>
          <w:szCs w:val="18"/>
          <w:color w:val="auto"/>
        </w:rPr>
        <w:t>For one, urban population is expected to increase from today’s 53% to 70% by 2050. Based on United Nations data, overall growth of the world’s population will add close to 2.5 billion people to urban areas by 2050.</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The number of new mega-cities will increase rapidly, particularly in developing countries, requiring massive investments in smart and sustainable city infrastructures. These trends will be further emphasized and challenged by the ongoing demographic shift and new population age structure. In addition, climate change and consequent environmental and social impacts are some of the world’s greatest concerns. The United Nations Sustainable Development Goals and the Paris Climate Agreement are driving the agenda and world’s efforts toward a green economy and sustainable solutions.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Consumer sensitivity to sustainable-marketed products grew substantially in the last 5 years, representing today more than 50% of total Consumer Packaged Goods (CPG) market growth.</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 xml:space="preserve"> Capital allocation in funds embracing Environmental, Social and Governance principles reached record numbers in the last few years.</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8"/>
          <w:szCs w:val="18"/>
          <w:color w:val="auto"/>
        </w:rPr>
        <w:t>12</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Another megatrend is that data has become many enterprises’ most valuable asset. Digital transformation, built on cloud-based platforms and enabled with new technologies, including AI, the internet of things (IoT), mobile and robotics, offer companies across all industries new opportunities to drive new business models, with the scalability, flexibility, agility, and dynamism heretofore infeasible. These transformations, in turn, are powering the movements to address the other megatrends. The focus of global growth has been shifting. Developing countries, particularly in Asia Pacific and Latin America, are starting to bring their economies to the forefront of interlinked global trade and investment flows. The emerging markets are not only transitioning to more consumption-oriented economies, but also starting to export capital and innovation. Enterprises that are prepared and able to adapt and capitalize on the evolving global competitive landscape will be the winners of the 21st century. Our focus will be on companies with sustainable business and solid corporate governance that may have high impact on the world’s Sustainable Development Goals (SDG) and are determined to better society and the environment.</w:t>
      </w:r>
    </w:p>
    <w:p>
      <w:pPr>
        <w:spacing w:after="0" w:line="186" w:lineRule="exact"/>
        <w:rPr>
          <w:sz w:val="20"/>
          <w:szCs w:val="20"/>
          <w:color w:val="auto"/>
        </w:rPr>
      </w:pPr>
    </w:p>
    <w:p>
      <w:pPr>
        <w:ind w:left="120" w:right="80" w:firstLine="440"/>
        <w:spacing w:after="0" w:line="265" w:lineRule="auto"/>
        <w:rPr>
          <w:sz w:val="20"/>
          <w:szCs w:val="20"/>
          <w:color w:val="auto"/>
        </w:rPr>
      </w:pPr>
      <w:r>
        <w:rPr>
          <w:rFonts w:ascii="Times New Roman" w:cs="Times New Roman" w:eastAsia="Times New Roman" w:hAnsi="Times New Roman"/>
          <w:sz w:val="18"/>
          <w:szCs w:val="18"/>
          <w:color w:val="auto"/>
        </w:rPr>
        <w:t>We intend to effectuate our initial business combination using cash from the proceeds of this offering, our common equity or any preferred equity that we may create in accordance with the terms of our amended and restated memorandum and articles of association, debt, or a combination of cash, common or preferred equity and debt.</w:t>
      </w:r>
    </w:p>
    <w:p>
      <w:pPr>
        <w:sectPr>
          <w:pgSz w:w="11900" w:h="16838" w:orient="portrait"/>
          <w:cols w:equalWidth="0" w:num="1">
            <w:col w:w="11100"/>
          </w:cols>
          <w:pgMar w:left="320" w:top="48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1</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2</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3</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additional ordinary shares or the creation of one or more classes of preferred shares during our initial business combination:</w:t>
      </w:r>
    </w:p>
    <w:p>
      <w:pPr>
        <w:spacing w:after="0" w:line="130" w:lineRule="exact"/>
        <w:rPr>
          <w:sz w:val="20"/>
          <w:szCs w:val="20"/>
          <w:color w:val="auto"/>
        </w:rPr>
      </w:pPr>
    </w:p>
    <w:p>
      <w:pPr>
        <w:ind w:left="540" w:hanging="438"/>
        <w:spacing w:after="0"/>
        <w:tabs>
          <w:tab w:leader="none" w:pos="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significantly dilute the equity interest of investors in this offering who would not have pre-emption rights in respect of any such issue;</w:t>
      </w:r>
    </w:p>
    <w:p>
      <w:pPr>
        <w:spacing w:after="0" w:line="141" w:lineRule="exact"/>
        <w:rPr>
          <w:rFonts w:ascii="Times New Roman" w:cs="Times New Roman" w:eastAsia="Times New Roman" w:hAnsi="Times New Roman"/>
          <w:sz w:val="17"/>
          <w:szCs w:val="17"/>
          <w:color w:val="auto"/>
        </w:rPr>
      </w:pPr>
    </w:p>
    <w:p>
      <w:pPr>
        <w:ind w:left="540" w:right="220" w:hanging="438"/>
        <w:spacing w:after="0" w:line="281"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ordinary shares if the rights, preferences, designations and limitations attaching to the preferred shares are senior to those afforded our ordinary shares;</w:t>
      </w:r>
    </w:p>
    <w:p>
      <w:pPr>
        <w:spacing w:after="0" w:line="68" w:lineRule="exact"/>
        <w:rPr>
          <w:rFonts w:ascii="Times New Roman" w:cs="Times New Roman" w:eastAsia="Times New Roman" w:hAnsi="Times New Roman"/>
          <w:sz w:val="18"/>
          <w:szCs w:val="18"/>
          <w:color w:val="auto"/>
        </w:rPr>
      </w:pPr>
    </w:p>
    <w:p>
      <w:pPr>
        <w:ind w:left="540" w:right="120" w:hanging="438"/>
        <w:spacing w:after="0" w:line="281"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spacing w:after="0" w:line="68" w:lineRule="exact"/>
        <w:rPr>
          <w:rFonts w:ascii="Times New Roman" w:cs="Times New Roman" w:eastAsia="Times New Roman" w:hAnsi="Times New Roman"/>
          <w:sz w:val="18"/>
          <w:szCs w:val="18"/>
          <w:color w:val="auto"/>
        </w:rPr>
      </w:pPr>
    </w:p>
    <w:p>
      <w:pPr>
        <w:ind w:left="540" w:hanging="438"/>
        <w:spacing w:after="0" w:line="281"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spacing w:after="0" w:line="68" w:lineRule="exact"/>
        <w:rPr>
          <w:rFonts w:ascii="Times New Roman" w:cs="Times New Roman" w:eastAsia="Times New Roman" w:hAnsi="Times New Roman"/>
          <w:sz w:val="18"/>
          <w:szCs w:val="18"/>
          <w:color w:val="auto"/>
        </w:rPr>
      </w:pPr>
    </w:p>
    <w:p>
      <w:pPr>
        <w:ind w:left="540" w:hanging="438"/>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102870</wp:posOffset>
            </wp:positionV>
            <wp:extent cx="7620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the UN Economist Network for the UN 75th Anniversary—Sept.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 Framework Convention on Climate Change-FCC/CP/2-15/L.9/Rev1.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University, Stern School of Business, Center for Sustainable Business. Research on 2015-2020 IRI Purchasing Data Reveals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Sustainability Drives Growth, Survives the Pandemic, July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Blackrock -Sustainability: The tectonic shift transforming investing, Feb. 2020.</w:t>
      </w:r>
    </w:p>
    <w:p>
      <w:pPr>
        <w:spacing w:after="0" w:line="1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2">
            <w:col w:w="180" w:space="380"/>
            <w:col w:w="10540"/>
          </w:cols>
          <w:pgMar w:left="320" w:top="481" w:right="47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indebtedness, it could result in:</w:t>
      </w:r>
    </w:p>
    <w:p>
      <w:pPr>
        <w:spacing w:after="0" w:line="130" w:lineRule="exact"/>
        <w:rPr>
          <w:sz w:val="20"/>
          <w:szCs w:val="20"/>
          <w:color w:val="auto"/>
        </w:rPr>
      </w:pPr>
    </w:p>
    <w:p>
      <w:pPr>
        <w:ind w:left="1100" w:right="440" w:hanging="438"/>
        <w:spacing w:after="0" w:line="281"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68"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130" w:lineRule="exact"/>
        <w:rPr>
          <w:rFonts w:ascii="Times New Roman" w:cs="Times New Roman" w:eastAsia="Times New Roman" w:hAnsi="Times New Roman"/>
          <w:sz w:val="18"/>
          <w:szCs w:val="18"/>
          <w:color w:val="auto"/>
        </w:rPr>
      </w:pPr>
    </w:p>
    <w:p>
      <w:pPr>
        <w:ind w:left="1100" w:right="360" w:hanging="438"/>
        <w:spacing w:after="0" w:line="281"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any document governing such debt contains covenants restricting our ability to obtain such financing while the debt security is outstanding;</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ordinary shares;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100" w:right="200" w:hanging="438"/>
        <w:spacing w:after="0" w:line="281"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68" w:lineRule="exact"/>
        <w:rPr>
          <w:rFonts w:ascii="Times New Roman" w:cs="Times New Roman" w:eastAsia="Times New Roman" w:hAnsi="Times New Roman"/>
          <w:sz w:val="18"/>
          <w:szCs w:val="18"/>
          <w:color w:val="auto"/>
        </w:rPr>
      </w:pPr>
    </w:p>
    <w:p>
      <w:pPr>
        <w:ind w:left="1100" w:right="660" w:hanging="438"/>
        <w:spacing w:after="0" w:line="312" w:lineRule="auto"/>
        <w:tabs>
          <w:tab w:leader="none" w:pos="11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39" w:lineRule="exact"/>
        <w:rPr>
          <w:sz w:val="20"/>
          <w:szCs w:val="20"/>
          <w:color w:val="auto"/>
        </w:rPr>
      </w:pPr>
    </w:p>
    <w:p>
      <w:pPr>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As indicated in the accompanying financial statements as of July 21, 2025, we had $125,000 in cash and working capital of $5,668. Further, we expect to incur significant costs in the pursuit of our acquisition plans. We cannot assure you that our plans to raise capital or to complete our initial business combination will be successful. These factors, among others, raise substantial doubt about our ability to continue as a going concern.</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liquidity needs have been satisfied to date through receipt of $125,000 from the sale of the founder shares and a related party loan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 We estimate that the net proceeds from (1) the sale of the public units in this offering, after deducting net offering expenses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$1,957,006, which includes underwriting discounts and commissions of $1,000,000 (including a $250,000 referral fee to be paid by the underwriters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United First Partners LLC) (or in the event that the underwriters exercise the over-allotment option in full, expenses of approximately $2,044,578, which</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includes underwriting discounts and commissions of $1,025,000), (2) the sale of the private placement units to our insiders (or non-affiliated investors to</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our sponsor assigns the subscription for such private placement units) for a purchase price of $927,000, and (3) the sale of the private placement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units and the private investor shares to the non-managing investors for a purchase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1"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price of $2,430,006 (or $2,624,578 in the event that the underwriters exercise the over-allotment option in full), will be $221,400,000 (or $254,507,000 if the over-allotment option is exercised in full), of which $220,000,000 (or $253,000,000 if the over-allotment option is exercised in full) will be held in the trust account. The remaining estimated $1,400,000 (or $1,507,000 if the over-allotment option is exercised in full), plus an additional $125,000 that we already have, will not be held in the trust account.</w:t>
      </w:r>
    </w:p>
    <w:p>
      <w:pPr>
        <w:spacing w:after="0" w:line="182" w:lineRule="exact"/>
        <w:rPr>
          <w:sz w:val="20"/>
          <w:szCs w:val="20"/>
          <w:color w:val="auto"/>
        </w:rPr>
      </w:pPr>
    </w:p>
    <w:p>
      <w:pPr>
        <w:jc w:val="both"/>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(less permitted withdrawals), including any amounts representing interest earned on the trust account (which interest shall be net of taxes permitted withdrawals by us), to acquire a target business or businesses and to pay our expenses relating thereto.</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We may withdraw interest to pay our taxes, if any.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upon consummation of this offering, the estimated $1,400,000 (or $1,507,000 if the over-allotment option is exercised in full) of cash not held in the trust account along with permitted withdrawals will be sufficient to allow us to operate for at least the next 24 months from the closing of this offering,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the following approximate expenses to be paid from the $1,400,000 (or $1,507,000 if the over-allotment option is exercised in full) not held in the trust account:</w:t>
      </w:r>
    </w:p>
    <w:p>
      <w:pPr>
        <w:spacing w:after="0" w:line="95" w:lineRule="exact"/>
        <w:rPr>
          <w:sz w:val="20"/>
          <w:szCs w:val="20"/>
          <w:color w:val="auto"/>
        </w:rPr>
      </w:pPr>
    </w:p>
    <w:p>
      <w:pPr>
        <w:ind w:left="1100" w:right="360" w:hanging="438"/>
        <w:spacing w:after="0" w:line="281"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expenses for the legal, accounting and other third-party expenses attendant to the structuring and negotiating of our initial business combination (or $232,000 if the over-allotment option is exercised in full);</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 of expenses for SEC filing and other legal and accounting fees related to regulatory reporting obligations;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$720,000 (equal to $30,000 per month for up to 24 months) for office space and administrative fees;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$215,000 for directors and officers insurance;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 (equal to $15,000 per month for up to 12 months) for payments to our Chief Financial Officer.</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7" w:lineRule="exact"/>
        <w:rPr>
          <w:sz w:val="20"/>
          <w:szCs w:val="20"/>
          <w:color w:val="auto"/>
        </w:rPr>
      </w:pPr>
    </w:p>
    <w:p>
      <w:pPr>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As of July 21, 2025, we had $125,000 in cash and working capital of $5,668. We have incurred and expect to continue to incur significant costs in pursuit of our acquisition plans. Our plans to raise capital and to consummate our initial business combination may not be successful. These factors among others raise substantial doubt about our ability to continue as a going concern.</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81"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Controls and Procedures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2025.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 Oxley Act regarding the adequacy of internal controls. Many small and mid-sized target businesses we may consider for our initial business combination may have internal controls that need improvement in areas such as:</w:t>
      </w:r>
    </w:p>
    <w:p>
      <w:pPr>
        <w:spacing w:after="0" w:line="91" w:lineRule="exact"/>
        <w:rPr>
          <w:sz w:val="20"/>
          <w:szCs w:val="20"/>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225"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also may take longer than we expect, thus increasing our exposure to financial fraud or erroneous financing reporting.</w:t>
      </w:r>
    </w:p>
    <w:p>
      <w:pPr>
        <w:spacing w:after="0" w:line="182" w:lineRule="exact"/>
        <w:rPr>
          <w:sz w:val="20"/>
          <w:szCs w:val="20"/>
          <w:color w:val="auto"/>
        </w:rPr>
      </w:pPr>
    </w:p>
    <w:p>
      <w:pPr>
        <w:jc w:val="both"/>
        <w:ind w:left="120" w:right="400" w:firstLine="440"/>
        <w:spacing w:after="0" w:line="288" w:lineRule="auto"/>
        <w:rPr>
          <w:sz w:val="20"/>
          <w:szCs w:val="20"/>
          <w:color w:val="auto"/>
        </w:rPr>
      </w:pPr>
      <w:r>
        <w:rPr>
          <w:rFonts w:ascii="Times New Roman" w:cs="Times New Roman" w:eastAsia="Times New Roman" w:hAnsi="Times New Roman"/>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Our sponsor intends at the time of this offering to sell 375,397 founder shares in the aggregate to Messrs. Greene, Machuca, Timm and Horowitz at an aggregate price of $9,244, thus reducing the price paid by our sponsor for the 7,474,832 founder shares which it is retaining to $15,756, or $0.002108 per share. The purchase price per founder share was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81"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88" w:lineRule="auto"/>
        <w:rPr>
          <w:sz w:val="20"/>
          <w:szCs w:val="20"/>
          <w:color w:val="auto"/>
        </w:rPr>
      </w:pPr>
      <w:r>
        <w:rPr>
          <w:rFonts w:ascii="Times New Roman" w:cs="Times New Roman" w:eastAsia="Times New Roman" w:hAnsi="Times New Roman"/>
          <w:sz w:val="17"/>
          <w:szCs w:val="17"/>
          <w:color w:val="auto"/>
        </w:rPr>
        <w:t>determined by dividing the amount of cash contributed to the company by the number of founder shares issued. Prior to the initial investment of $25,000 by our sponsor and four other directors, the company had no assets, tangible or intangible. In connection with this offering, up to 1,023,943 founder shares are subject to forfeiture by our insiders depending on the extent to which the underwriters’ over-allotment option is exercised during this offering.</w:t>
      </w:r>
    </w:p>
    <w:p>
      <w:pPr>
        <w:spacing w:after="0" w:line="159"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On July 18, 2025, we also entered into a promissory note with our sponsor with a principal amount of $100,000, all of which remained outstanding as of July 21, 2025, to be used for the payment of expenses related to this offering. The promissory note is non-interest bearing, unsecured and is due on the earlier of (i) December 31, 2025 or (ii) the date on which we consummate this offering.</w:t>
      </w:r>
    </w:p>
    <w:p>
      <w:pPr>
        <w:spacing w:after="0" w:line="177" w:lineRule="exact"/>
        <w:rPr>
          <w:sz w:val="20"/>
          <w:szCs w:val="20"/>
          <w:color w:val="auto"/>
        </w:rPr>
      </w:pPr>
    </w:p>
    <w:p>
      <w:pPr>
        <w:jc w:val="both"/>
        <w:ind w:left="120" w:right="80" w:firstLine="440"/>
        <w:spacing w:after="0" w:line="288" w:lineRule="auto"/>
        <w:rPr>
          <w:sz w:val="20"/>
          <w:szCs w:val="20"/>
          <w:color w:val="auto"/>
        </w:rPr>
      </w:pPr>
      <w:r>
        <w:rPr>
          <w:rFonts w:ascii="Times New Roman" w:cs="Times New Roman" w:eastAsia="Times New Roman" w:hAnsi="Times New Roman"/>
          <w:sz w:val="17"/>
          <w:szCs w:val="17"/>
          <w:color w:val="auto"/>
        </w:rPr>
        <w:t>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rights that permit us to use the trademark “Private-to-Public Equity (PPE).”</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sponsor, executive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a registration rights agreement we will enter into an agreement with each of our initial shareholders on or prior to the closing of this offering, we may be required to register certain securities for sale under the Securities Act. These holders are entitled under the registration rights agreement to make up to three demands that we register certain of our securities held by them under the Securities Act and to have the securities covered thereby registered for resale pursuant to Rule 415 under the Securities Act. In addition, these holders have the right to include their securities in any other registration statement filed by us. However, the registration rights agreement provides that we will not permit any registration statement filed under the Securities Act to become effective until the securities covered thereby are released from their respective lock-up restrictions, as described herein. We will bear the costs and expenses of filing any such registration statements.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11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8"/>
          <w:szCs w:val="18"/>
          <w:color w:val="auto"/>
        </w:rPr>
        <w:t>The amounts in the trust account, will be invested in United States government treasury bills, bonds or notes having a maturity of 185 days or less, or in money market funds meeting the applicable conditions under Rule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1"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81" w:lineRule="auto"/>
        <w:rPr>
          <w:sz w:val="20"/>
          <w:szCs w:val="20"/>
          <w:color w:val="auto"/>
        </w:rPr>
      </w:pPr>
      <w:r>
        <w:rPr>
          <w:rFonts w:ascii="Times New Roman" w:cs="Times New Roman" w:eastAsia="Times New Roman" w:hAnsi="Times New Roman"/>
          <w:sz w:val="18"/>
          <w:szCs w:val="18"/>
          <w:color w:val="auto"/>
        </w:rPr>
        <w:t>2a-7 promulgated under the Investment Company Act and that invest solely in U.S. treasuries. Due to the short-term nature of these investments, we believe there will be no associated material exposure to interest rate risk.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Off-Balance Sheet Arrangements; Commitments and Contractual Obligations; Quarterly Results</w:t>
      </w:r>
    </w:p>
    <w:p>
      <w:pPr>
        <w:spacing w:after="0" w:line="119"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As of the date of this prospectus,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JOBS Act</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including but not limited to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81"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 newly organized Private-to-Public Equity (PPE) company, also known as a blank check company or special purpose acquisition company,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189" w:lineRule="exact"/>
        <w:rPr>
          <w:sz w:val="20"/>
          <w:szCs w:val="20"/>
          <w:color w:val="auto"/>
        </w:rPr>
      </w:pPr>
    </w:p>
    <w:p>
      <w:pPr>
        <w:jc w:val="both"/>
        <w:ind w:left="120" w:right="160" w:firstLine="440"/>
        <w:spacing w:after="0" w:line="288" w:lineRule="auto"/>
        <w:rPr>
          <w:sz w:val="20"/>
          <w:szCs w:val="20"/>
          <w:color w:val="auto"/>
        </w:rPr>
      </w:pPr>
      <w:r>
        <w:rPr>
          <w:rFonts w:ascii="Times New Roman" w:cs="Times New Roman" w:eastAsia="Times New Roman" w:hAnsi="Times New Roman"/>
          <w:sz w:val="17"/>
          <w:szCs w:val="17"/>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A&amp;D services, cybersecurity and secured communications and quantum-based command and control systems, and AI and ML industries.</w:t>
      </w:r>
    </w:p>
    <w:p>
      <w:pPr>
        <w:spacing w:after="0" w:line="159" w:lineRule="exact"/>
        <w:rPr>
          <w:sz w:val="20"/>
          <w:szCs w:val="20"/>
          <w:color w:val="auto"/>
        </w:rPr>
      </w:pPr>
    </w:p>
    <w:p>
      <w:pPr>
        <w:ind w:left="120" w:right="240" w:firstLine="440"/>
        <w:spacing w:after="0" w:line="260" w:lineRule="auto"/>
        <w:rPr>
          <w:sz w:val="20"/>
          <w:szCs w:val="20"/>
          <w:color w:val="auto"/>
        </w:rPr>
      </w:pPr>
      <w:r>
        <w:rPr>
          <w:rFonts w:ascii="Times New Roman" w:cs="Times New Roman" w:eastAsia="Times New Roman" w:hAnsi="Times New Roman"/>
          <w:sz w:val="18"/>
          <w:szCs w:val="18"/>
          <w:color w:val="auto"/>
        </w:rPr>
        <w:t>Our management team believes there is a backlog of companies that are interested in becoming public companies. We believe that because this backlog is substantial, there may be a number of attractive companies that will not be able to list via a traditional IPO in the near-term, and therefore may opt to pursue a listing via a SPAC instead. Moreover, we believe current market conditions are causing middle-market financial sponsors and venture capital firms to consider alternative methods for providing liquidity to their limited partners.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spacing w:after="0" w:line="189" w:lineRule="exact"/>
        <w:rPr>
          <w:sz w:val="20"/>
          <w:szCs w:val="20"/>
          <w:color w:val="auto"/>
        </w:rPr>
      </w:pPr>
    </w:p>
    <w:p>
      <w:pPr>
        <w:jc w:val="both"/>
        <w:ind w:left="120" w:right="300" w:firstLine="440"/>
        <w:spacing w:after="0" w:line="265" w:lineRule="auto"/>
        <w:rPr>
          <w:sz w:val="20"/>
          <w:szCs w:val="20"/>
          <w:color w:val="auto"/>
        </w:rPr>
      </w:pPr>
      <w:r>
        <w:rPr>
          <w:rFonts w:ascii="Times New Roman" w:cs="Times New Roman" w:eastAsia="Times New Roman" w:hAnsi="Times New Roman"/>
          <w:sz w:val="18"/>
          <w:szCs w:val="18"/>
          <w:color w:val="auto"/>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81"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to distinguish ourselves with our ability to:</w:t>
      </w:r>
    </w:p>
    <w:p>
      <w:pPr>
        <w:spacing w:after="0" w:line="126" w:lineRule="exact"/>
        <w:rPr>
          <w:sz w:val="20"/>
          <w:szCs w:val="20"/>
          <w:color w:val="auto"/>
        </w:rPr>
      </w:pPr>
    </w:p>
    <w:p>
      <w:pPr>
        <w:ind w:left="1100" w:hanging="438"/>
        <w:spacing w:after="0" w:line="259"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Tap into our vast international network of relationships to develop a distinctive pipeline of acquisition opportunities. </w:t>
      </w:r>
      <w:r>
        <w:rPr>
          <w:rFonts w:ascii="Times New Roman" w:cs="Times New Roman" w:eastAsia="Times New Roman" w:hAnsi="Times New Roman"/>
          <w:sz w:val="18"/>
          <w:szCs w:val="18"/>
          <w:color w:val="auto"/>
        </w:rPr>
        <w:t>We believe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of our Chief Executive Officer’s industry experience and our directors’ and management’s ability and network of relationships with CEOs, founders, family offices, private equity, hedge-funds,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w:t>
      </w:r>
    </w:p>
    <w:p>
      <w:pPr>
        <w:spacing w:after="0" w:line="83" w:lineRule="exact"/>
        <w:rPr>
          <w:rFonts w:ascii="Times New Roman" w:cs="Times New Roman" w:eastAsia="Times New Roman" w:hAnsi="Times New Roman"/>
          <w:sz w:val="18"/>
          <w:szCs w:val="18"/>
          <w:color w:val="auto"/>
        </w:rPr>
      </w:pPr>
    </w:p>
    <w:p>
      <w:pPr>
        <w:ind w:left="1100" w:right="220" w:hanging="438"/>
        <w:spacing w:after="0" w:line="262"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Revitalize the acquisition target and generate value for shareholders after the business combination. </w:t>
      </w:r>
      <w:r>
        <w:rPr>
          <w:rFonts w:ascii="Times New Roman" w:cs="Times New Roman" w:eastAsia="Times New Roman" w:hAnsi="Times New Roman"/>
          <w:sz w:val="18"/>
          <w:szCs w:val="18"/>
          <w:color w:val="auto"/>
        </w:rPr>
        <w:t>Given our management’s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spacing w:after="0" w:line="80" w:lineRule="exact"/>
        <w:rPr>
          <w:rFonts w:ascii="Times New Roman" w:cs="Times New Roman" w:eastAsia="Times New Roman" w:hAnsi="Times New Roman"/>
          <w:sz w:val="18"/>
          <w:szCs w:val="18"/>
          <w:color w:val="auto"/>
        </w:rPr>
      </w:pPr>
    </w:p>
    <w:p>
      <w:pPr>
        <w:ind w:left="1100" w:right="180" w:hanging="438"/>
        <w:spacing w:after="0" w:line="262"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Show a proven record of successful completions of business combinations</w:t>
      </w:r>
      <w:r>
        <w:rPr>
          <w:rFonts w:ascii="Times New Roman" w:cs="Times New Roman" w:eastAsia="Times New Roman" w:hAnsi="Times New Roman"/>
          <w:sz w:val="18"/>
          <w:szCs w:val="18"/>
          <w:color w:val="auto"/>
        </w:rPr>
        <w:t>. We believe that our management team’s track record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w:t>
      </w:r>
    </w:p>
    <w:p>
      <w:pPr>
        <w:spacing w:after="0" w:line="84" w:lineRule="exact"/>
        <w:rPr>
          <w:rFonts w:ascii="Times New Roman" w:cs="Times New Roman" w:eastAsia="Times New Roman" w:hAnsi="Times New Roman"/>
          <w:sz w:val="18"/>
          <w:szCs w:val="18"/>
          <w:color w:val="auto"/>
        </w:rPr>
      </w:pPr>
    </w:p>
    <w:p>
      <w:pPr>
        <w:ind w:left="1540" w:hanging="325"/>
        <w:spacing w:after="0" w:line="253"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GIG1 —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spacing w:after="0" w:line="96" w:lineRule="exact"/>
        <w:rPr>
          <w:rFonts w:ascii="Times New Roman" w:cs="Times New Roman" w:eastAsia="Times New Roman" w:hAnsi="Times New Roman"/>
          <w:sz w:val="18"/>
          <w:szCs w:val="18"/>
          <w:color w:val="auto"/>
        </w:rPr>
      </w:pPr>
    </w:p>
    <w:p>
      <w:pPr>
        <w:ind w:left="1540" w:hanging="325"/>
        <w:spacing w:after="0" w:line="254"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GIG2 —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1"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560" w:right="40"/>
        <w:spacing w:after="0" w:line="256" w:lineRule="auto"/>
        <w:rPr>
          <w:sz w:val="20"/>
          <w:szCs w:val="20"/>
          <w:color w:val="auto"/>
        </w:rPr>
      </w:pPr>
      <w:r>
        <w:rPr>
          <w:rFonts w:ascii="Times New Roman" w:cs="Times New Roman" w:eastAsia="Times New Roman" w:hAnsi="Times New Roman"/>
          <w:sz w:val="18"/>
          <w:szCs w:val="18"/>
          <w:color w:val="auto"/>
        </w:rPr>
        <w:t xml:space="preserve">UpHealth, Inc. closed down certain of its subsidiaries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w:t>
      </w:r>
      <w:r>
        <w:rPr>
          <w:rFonts w:ascii="Times New Roman" w:cs="Times New Roman" w:eastAsia="Times New Roman" w:hAnsi="Times New Roman"/>
          <w:sz w:val="18"/>
          <w:szCs w:val="18"/>
          <w:u w:val="single" w:color="auto"/>
          <w:color w:val="auto"/>
        </w:rPr>
        <w:t>UpHealth</w:t>
      </w:r>
      <w:r>
        <w:rPr>
          <w:rFonts w:ascii="Times New Roman" w:cs="Times New Roman" w:eastAsia="Times New Roman" w:hAnsi="Times New Roman"/>
          <w:sz w:val="18"/>
          <w:szCs w:val="18"/>
          <w:color w:val="auto"/>
        </w:rPr>
        <w:t xml:space="preserve"> Holdings’ wholly-owned subsidiaries, Thrasys, Inc. and Behavioral Health Services, LLC, and each of their subsidiaries filed voluntary petitions for relief under Chapter 11 of the U.S. Bankruptcy Code.</w:t>
      </w:r>
    </w:p>
    <w:p>
      <w:pPr>
        <w:spacing w:after="0" w:line="91" w:lineRule="exact"/>
        <w:rPr>
          <w:sz w:val="20"/>
          <w:szCs w:val="20"/>
          <w:color w:val="auto"/>
        </w:rPr>
      </w:pPr>
    </w:p>
    <w:p>
      <w:pPr>
        <w:ind w:left="1540" w:hanging="325"/>
        <w:spacing w:after="0" w:line="254"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GIG3 —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w:t>
      </w:r>
    </w:p>
    <w:p>
      <w:pPr>
        <w:spacing w:after="0" w:line="91" w:lineRule="exact"/>
        <w:rPr>
          <w:rFonts w:ascii="Times New Roman" w:cs="Times New Roman" w:eastAsia="Times New Roman" w:hAnsi="Times New Roman"/>
          <w:sz w:val="18"/>
          <w:szCs w:val="18"/>
          <w:color w:val="auto"/>
        </w:rPr>
      </w:pPr>
    </w:p>
    <w:p>
      <w:pPr>
        <w:ind w:left="1540" w:right="80" w:hanging="325"/>
        <w:spacing w:after="0" w:line="25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GIG4 —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w:t>
      </w:r>
    </w:p>
    <w:p>
      <w:pPr>
        <w:spacing w:after="0" w:line="91" w:lineRule="exact"/>
        <w:rPr>
          <w:rFonts w:ascii="Times New Roman" w:cs="Times New Roman" w:eastAsia="Times New Roman" w:hAnsi="Times New Roman"/>
          <w:sz w:val="18"/>
          <w:szCs w:val="18"/>
          <w:color w:val="auto"/>
        </w:rPr>
      </w:pPr>
    </w:p>
    <w:p>
      <w:pPr>
        <w:ind w:left="1540" w:right="200" w:hanging="325"/>
        <w:spacing w:after="0" w:line="255"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GIG5 —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w:t>
      </w:r>
    </w:p>
    <w:p>
      <w:pPr>
        <w:spacing w:after="0" w:line="92" w:lineRule="exact"/>
        <w:rPr>
          <w:rFonts w:ascii="Times New Roman" w:cs="Times New Roman" w:eastAsia="Times New Roman" w:hAnsi="Times New Roman"/>
          <w:sz w:val="18"/>
          <w:szCs w:val="18"/>
          <w:color w:val="auto"/>
        </w:rPr>
      </w:pPr>
    </w:p>
    <w:p>
      <w:pPr>
        <w:ind w:left="1540" w:right="20" w:hanging="325"/>
        <w:spacing w:after="0" w:line="255"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GIW —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spacing w:after="0" w:line="92" w:lineRule="exact"/>
        <w:rPr>
          <w:rFonts w:ascii="Times New Roman" w:cs="Times New Roman" w:eastAsia="Times New Roman" w:hAnsi="Times New Roman"/>
          <w:sz w:val="18"/>
          <w:szCs w:val="18"/>
          <w:color w:val="auto"/>
        </w:rPr>
      </w:pPr>
    </w:p>
    <w:p>
      <w:pPr>
        <w:ind w:left="1540" w:right="200" w:hanging="325"/>
        <w:spacing w:after="0" w:line="260"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GIG7 —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1"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560" w:right="460"/>
        <w:spacing w:after="0" w:line="281" w:lineRule="auto"/>
        <w:rPr>
          <w:sz w:val="20"/>
          <w:szCs w:val="20"/>
          <w:color w:val="auto"/>
        </w:rPr>
      </w:pPr>
      <w:r>
        <w:rPr>
          <w:rFonts w:ascii="Times New Roman" w:cs="Times New Roman" w:eastAsia="Times New Roman" w:hAnsi="Times New Roman"/>
          <w:sz w:val="18"/>
          <w:szCs w:val="18"/>
          <w:color w:val="auto"/>
        </w:rPr>
        <w:t>purchase one Class A ordinary share of GIG7, generating $200 million. GIG7 listed on Nasdaq under the symbol “GIG” and is currently looking for a suitable acquisition target.</w:t>
      </w:r>
    </w:p>
    <w:p>
      <w:pPr>
        <w:spacing w:after="0" w:line="16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quantum-based command and control systems, and AI and ML. Our team is well positioned to originate attractive investment opportunities and has a history of executing various business transactions in multiple geographies and under varying economic and financial market conditions.</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w:t>
      </w:r>
      <w:r>
        <w:rPr>
          <w:rFonts w:ascii="Times New Roman" w:cs="Times New Roman" w:eastAsia="Times New Roman" w:hAnsi="Times New Roman"/>
          <w:sz w:val="18"/>
          <w:szCs w:val="18"/>
          <w:b w:val="1"/>
          <w:bCs w:val="1"/>
          <w:color w:val="auto"/>
        </w:rPr>
        <w:t>. For more information, please refer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Related to Management Team.”</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Avi S. Katz </w:t>
      </w:r>
      <w:r>
        <w:rPr>
          <w:rFonts w:ascii="Times New Roman" w:cs="Times New Roman" w:eastAsia="Times New Roman" w:hAnsi="Times New Roman"/>
          <w:sz w:val="18"/>
          <w:szCs w:val="18"/>
          <w:color w:val="auto"/>
        </w:rPr>
        <w:t>serves as our Chief Executive Officer and Chairman of the Board. Dr. Katz has served as the Chairman of the Board of QT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1"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w:t>
      </w:r>
    </w:p>
    <w:p>
      <w:pPr>
        <w:spacing w:after="0" w:line="2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Dr. Katz was appointed as the Co-Chairman of the board of directors of Lightning eMotors and served in that position until October 2021 when he did not stand for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1"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9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Raluca Dinu </w:t>
      </w:r>
      <w:r>
        <w:rPr>
          <w:rFonts w:ascii="Times New Roman" w:cs="Times New Roman" w:eastAsia="Times New Roman" w:hAnsi="Times New Roman"/>
          <w:sz w:val="18"/>
          <w:szCs w:val="18"/>
          <w:color w:val="auto"/>
        </w:rPr>
        <w:t>is our director. Dr. Dinu is the Chief Executive Officer, President, Secretary, serving in those roles since March 2024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81"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Christine M. Marshall </w:t>
      </w:r>
      <w:r>
        <w:rPr>
          <w:rFonts w:ascii="Times New Roman" w:cs="Times New Roman" w:eastAsia="Times New Roman" w:hAnsi="Times New Roman"/>
          <w:sz w:val="18"/>
          <w:szCs w:val="18"/>
          <w:color w:val="auto"/>
        </w:rPr>
        <w:t>joined our company as Chief Financial Officer on June 30, 2025. Ms. Marshall is an accomplished finance leader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our Board of Directors</w:t>
      </w:r>
    </w:p>
    <w:p>
      <w:pPr>
        <w:spacing w:after="0" w:line="117"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Admiral (Ret.) David Ben-Bashat </w:t>
      </w:r>
      <w:r>
        <w:rPr>
          <w:rFonts w:ascii="Times New Roman" w:cs="Times New Roman" w:eastAsia="Times New Roman" w:hAnsi="Times New Roman"/>
          <w:sz w:val="18"/>
          <w:szCs w:val="18"/>
          <w:color w:val="auto"/>
        </w:rPr>
        <w:t>will serve as our independent director upon the completion of this offering. V. Admiral (Ret.) Ben-Bashat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81"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Rear Admiral (Ret.) Omri Dagul </w:t>
      </w:r>
      <w:r>
        <w:rPr>
          <w:rFonts w:ascii="Times New Roman" w:cs="Times New Roman" w:eastAsia="Times New Roman" w:hAnsi="Times New Roman"/>
          <w:sz w:val="18"/>
          <w:szCs w:val="18"/>
          <w:color w:val="auto"/>
        </w:rPr>
        <w:t>will serve as our independent director upon the completion of this offering. Over several decades, R. Admiral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Raanan I. Horowitz </w:t>
      </w:r>
      <w:r>
        <w:rPr>
          <w:rFonts w:ascii="Times New Roman" w:cs="Times New Roman" w:eastAsia="Times New Roman" w:hAnsi="Times New Roman"/>
          <w:sz w:val="18"/>
          <w:szCs w:val="18"/>
          <w:color w:val="auto"/>
        </w:rPr>
        <w:t>will serve as our independent director upon the completion of this offering. Mr. Horowitz currently serves on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81"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Ambassador Adrian Zuckerman </w:t>
      </w:r>
      <w:r>
        <w:rPr>
          <w:rFonts w:ascii="Times New Roman" w:cs="Times New Roman" w:eastAsia="Times New Roman" w:hAnsi="Times New Roman"/>
          <w:sz w:val="18"/>
          <w:szCs w:val="18"/>
          <w:color w:val="auto"/>
        </w:rPr>
        <w:t>will serve as our independent director upon the completion of this offering. Ambassador Zuckerman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86"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Luis Machuca </w:t>
      </w:r>
      <w:r>
        <w:rPr>
          <w:rFonts w:ascii="Times New Roman" w:cs="Times New Roman" w:eastAsia="Times New Roman" w:hAnsi="Times New Roman"/>
          <w:sz w:val="17"/>
          <w:szCs w:val="17"/>
          <w:color w:val="auto"/>
        </w:rPr>
        <w:t>will serve as our independent director upon the completion of this offering. He also serves as a director of UpHealth, Inc. (OTC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w:t>
      </w:r>
    </w:p>
    <w:p>
      <w:pPr>
        <w:spacing w:after="0" w:line="7" w:lineRule="exact"/>
        <w:rPr>
          <w:sz w:val="20"/>
          <w:szCs w:val="20"/>
          <w:color w:val="auto"/>
        </w:rPr>
      </w:pPr>
    </w:p>
    <w:p>
      <w:pPr>
        <w:ind w:left="120" w:right="100"/>
        <w:spacing w:after="0" w:line="251" w:lineRule="auto"/>
        <w:rPr>
          <w:sz w:val="20"/>
          <w:szCs w:val="20"/>
          <w:color w:val="auto"/>
        </w:rPr>
      </w:pPr>
      <w:r>
        <w:rPr>
          <w:rFonts w:ascii="Times New Roman" w:cs="Times New Roman" w:eastAsia="Times New Roman" w:hAnsi="Times New Roman"/>
          <w:sz w:val="18"/>
          <w:szCs w:val="18"/>
          <w:color w:val="auto"/>
        </w:rPr>
        <w:t>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1"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Bryan Timm </w:t>
      </w:r>
      <w:r>
        <w:rPr>
          <w:rFonts w:ascii="Times New Roman" w:cs="Times New Roman" w:eastAsia="Times New Roman" w:hAnsi="Times New Roman"/>
          <w:sz w:val="18"/>
          <w:szCs w:val="18"/>
          <w:color w:val="auto"/>
        </w:rPr>
        <w:t>will serve as our independent director upon the completion of this offering. Mr. Timm currently serves as a Board Advisor for Pape’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a family company serving the West Coast with Kenworth,John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8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James Greene </w:t>
      </w:r>
      <w:r>
        <w:rPr>
          <w:rFonts w:ascii="Times New Roman" w:cs="Times New Roman" w:eastAsia="Times New Roman" w:hAnsi="Times New Roman"/>
          <w:sz w:val="17"/>
          <w:szCs w:val="17"/>
          <w:color w:val="auto"/>
        </w:rPr>
        <w:t>will serve as our independent director upon completion of this offering. Mr. Greene served as a director of Umpqua Bank (Nasdaq:</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w:t>
      </w:r>
    </w:p>
    <w:p>
      <w:pPr>
        <w:spacing w:after="0" w:line="89" w:lineRule="exact"/>
        <w:rPr>
          <w:sz w:val="20"/>
          <w:szCs w:val="20"/>
          <w:color w:val="auto"/>
        </w:rPr>
      </w:pPr>
    </w:p>
    <w:p>
      <w:pPr>
        <w:ind w:left="1100" w:right="60" w:hanging="438"/>
        <w:spacing w:after="0" w:line="258" w:lineRule="auto"/>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embrace today’s digital transformation and intelligent automation. </w:t>
      </w:r>
      <w:r>
        <w:rPr>
          <w:rFonts w:ascii="Times New Roman" w:cs="Times New Roman" w:eastAsia="Times New Roman" w:hAnsi="Times New Roman"/>
          <w:sz w:val="18"/>
          <w:szCs w:val="18"/>
          <w:color w:val="auto"/>
        </w:rPr>
        <w:t>We will seek acquisition candidates active in the A&amp;D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spacing w:after="0" w:line="87"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Companies that will benefit from a public listing. </w:t>
      </w:r>
      <w:r>
        <w:rPr>
          <w:rFonts w:ascii="Times New Roman" w:cs="Times New Roman" w:eastAsia="Times New Roman" w:hAnsi="Times New Roman"/>
          <w:sz w:val="17"/>
          <w:szCs w:val="17"/>
          <w:color w:val="auto"/>
        </w:rPr>
        <w:t>We will focus on partners looking to move to the next level through a public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68" w:lineRule="exact"/>
        <w:rPr>
          <w:rFonts w:ascii="Times New Roman" w:cs="Times New Roman" w:eastAsia="Times New Roman" w:hAnsi="Times New Roman"/>
          <w:sz w:val="17"/>
          <w:szCs w:val="17"/>
          <w:color w:val="auto"/>
        </w:rPr>
      </w:pPr>
    </w:p>
    <w:p>
      <w:pPr>
        <w:ind w:left="1100" w:right="80" w:hanging="438"/>
        <w:spacing w:after="0" w:line="283" w:lineRule="auto"/>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will benefit from our industry expertise and relationships. </w:t>
      </w:r>
      <w:r>
        <w:rPr>
          <w:rFonts w:ascii="Times New Roman" w:cs="Times New Roman" w:eastAsia="Times New Roman" w:hAnsi="Times New Roman"/>
          <w:sz w:val="18"/>
          <w:szCs w:val="18"/>
          <w:color w:val="auto"/>
        </w:rPr>
        <w:t>We will seek companies that will be best positioned to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industry expertise, international capabilities, global experience,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81"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20"/>
        <w:spacing w:after="0" w:line="272" w:lineRule="auto"/>
        <w:rPr>
          <w:sz w:val="20"/>
          <w:szCs w:val="20"/>
          <w:color w:val="auto"/>
        </w:rPr>
      </w:pPr>
      <w:r>
        <w:rPr>
          <w:rFonts w:ascii="Times New Roman" w:cs="Times New Roman" w:eastAsia="Times New Roman" w:hAnsi="Times New Roman"/>
          <w:sz w:val="17"/>
          <w:szCs w:val="17"/>
          <w:color w:val="auto"/>
        </w:rPr>
        <w:t>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spacing w:after="0" w:line="79" w:lineRule="exact"/>
        <w:rPr>
          <w:sz w:val="20"/>
          <w:szCs w:val="20"/>
          <w:color w:val="auto"/>
        </w:rPr>
      </w:pPr>
    </w:p>
    <w:p>
      <w:pPr>
        <w:ind w:left="1100" w:right="80" w:hanging="438"/>
        <w:spacing w:after="0" w:line="261"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that are market-leading participants</w:t>
      </w:r>
      <w:r>
        <w:rPr>
          <w:rFonts w:ascii="Times New Roman" w:cs="Times New Roman" w:eastAsia="Times New Roman" w:hAnsi="Times New Roman"/>
          <w:sz w:val="18"/>
          <w:szCs w:val="18"/>
          <w:color w:val="auto"/>
        </w:rPr>
        <w:t>. We will seek an acquisition target that has an established business and market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we will focus on the aerospace and defense services, cybersecurity and secured communications and quantum-based command and control systems, and AI and ML, we will not seek a target that is pre-revenue or in early stages of development with unproven technologies.</w:t>
      </w:r>
    </w:p>
    <w:p>
      <w:pPr>
        <w:spacing w:after="0" w:line="83" w:lineRule="exact"/>
        <w:rPr>
          <w:rFonts w:ascii="Times New Roman" w:cs="Times New Roman" w:eastAsia="Times New Roman" w:hAnsi="Times New Roman"/>
          <w:sz w:val="18"/>
          <w:szCs w:val="18"/>
          <w:color w:val="auto"/>
        </w:rPr>
      </w:pPr>
    </w:p>
    <w:p>
      <w:pPr>
        <w:ind w:left="1100" w:right="20" w:hanging="438"/>
        <w:spacing w:after="0" w:line="258"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with strong management. </w:t>
      </w:r>
      <w:r>
        <w:rPr>
          <w:rFonts w:ascii="Times New Roman" w:cs="Times New Roman" w:eastAsia="Times New Roman" w:hAnsi="Times New Roman"/>
          <w:sz w:val="18"/>
          <w:szCs w:val="18"/>
          <w:color w:val="auto"/>
        </w:rPr>
        <w:t>We will prioritize entities with well-established, proven and talented management teams that wish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184"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We intend to partner with a late-stage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w:t>
      </w:r>
    </w:p>
    <w:p>
      <w:pPr>
        <w:spacing w:after="0" w:line="81" w:lineRule="exact"/>
        <w:rPr>
          <w:sz w:val="20"/>
          <w:szCs w:val="20"/>
          <w:color w:val="auto"/>
        </w:rPr>
      </w:pPr>
    </w:p>
    <w:p>
      <w:pPr>
        <w:ind w:left="1100" w:right="20" w:hanging="438"/>
        <w:spacing w:after="0" w:line="258"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Inception</w:t>
      </w:r>
      <w:r>
        <w:rPr>
          <w:rFonts w:ascii="Times New Roman" w:cs="Times New Roman" w:eastAsia="Times New Roman" w:hAnsi="Times New Roman"/>
          <w:sz w:val="18"/>
          <w:szCs w:val="18"/>
          <w:color w:val="auto"/>
        </w:rPr>
        <w:t>. This phase usually lasts up to approx. 2-3 months and entails incorporating a SPAC and bringing on a Private-to-Public (PPE)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w:t>
      </w:r>
    </w:p>
    <w:p>
      <w:pPr>
        <w:spacing w:after="0" w:line="87" w:lineRule="exact"/>
        <w:rPr>
          <w:rFonts w:ascii="Times New Roman" w:cs="Times New Roman" w:eastAsia="Times New Roman" w:hAnsi="Times New Roman"/>
          <w:sz w:val="18"/>
          <w:szCs w:val="18"/>
          <w:color w:val="auto"/>
        </w:rPr>
      </w:pPr>
    </w:p>
    <w:p>
      <w:pPr>
        <w:ind w:left="1100" w:right="100" w:hanging="438"/>
        <w:spacing w:after="0" w:line="258"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Searching</w:t>
      </w:r>
      <w:r>
        <w:rPr>
          <w:rFonts w:ascii="Times New Roman" w:cs="Times New Roman" w:eastAsia="Times New Roman" w:hAnsi="Times New Roman"/>
          <w:sz w:val="18"/>
          <w:szCs w:val="18"/>
          <w:color w:val="auto"/>
        </w:rPr>
        <w:t>. The search for a financially viable acquisition target ready to become a public company may take approx. 6 to 12 months.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w:t>
      </w:r>
    </w:p>
    <w:p>
      <w:pPr>
        <w:spacing w:after="0" w:line="87" w:lineRule="exact"/>
        <w:rPr>
          <w:rFonts w:ascii="Times New Roman" w:cs="Times New Roman" w:eastAsia="Times New Roman" w:hAnsi="Times New Roman"/>
          <w:sz w:val="18"/>
          <w:szCs w:val="18"/>
          <w:color w:val="auto"/>
        </w:rPr>
      </w:pPr>
    </w:p>
    <w:p>
      <w:pPr>
        <w:ind w:left="1100" w:right="100" w:hanging="438"/>
        <w:spacing w:after="0" w:line="283"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The next step is negotiation and execution of a letter of intent. It may take approx. from 3 to 6 weeks, and approx. another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 weeks are required to conduct due diligence review and sign a binding definitive agreement.</w:t>
      </w:r>
    </w:p>
    <w:p>
      <w:pPr>
        <w:spacing w:after="0" w:line="64" w:lineRule="exact"/>
        <w:rPr>
          <w:rFonts w:ascii="Times New Roman" w:cs="Times New Roman" w:eastAsia="Times New Roman" w:hAnsi="Times New Roman"/>
          <w:sz w:val="18"/>
          <w:szCs w:val="18"/>
          <w:color w:val="auto"/>
        </w:rPr>
      </w:pPr>
    </w:p>
    <w:p>
      <w:pPr>
        <w:ind w:left="1100" w:right="60" w:hanging="438"/>
        <w:spacing w:after="0" w:line="283"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Following entry into the binding definitive agreement, the acquisition target must deliver audited financial statements as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enable us to file all necessary SEC filings and obtain SEC</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81"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220"/>
        <w:spacing w:after="0" w:line="256" w:lineRule="auto"/>
        <w:rPr>
          <w:sz w:val="20"/>
          <w:szCs w:val="20"/>
          <w:color w:val="auto"/>
        </w:rPr>
      </w:pPr>
      <w:r>
        <w:rPr>
          <w:rFonts w:ascii="Times New Roman" w:cs="Times New Roman" w:eastAsia="Times New Roman" w:hAnsi="Times New Roman"/>
          <w:sz w:val="18"/>
          <w:szCs w:val="18"/>
          <w:color w:val="auto"/>
        </w:rPr>
        <w:t>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w:t>
      </w:r>
    </w:p>
    <w:p>
      <w:pPr>
        <w:spacing w:after="0" w:line="89" w:lineRule="exact"/>
        <w:rPr>
          <w:sz w:val="20"/>
          <w:szCs w:val="20"/>
          <w:color w:val="auto"/>
        </w:rPr>
      </w:pPr>
    </w:p>
    <w:p>
      <w:pPr>
        <w:ind w:left="1100" w:right="400" w:hanging="438"/>
        <w:spacing w:after="0" w:line="261" w:lineRule="auto"/>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and Exit</w:t>
      </w:r>
      <w:r>
        <w:rPr>
          <w:rFonts w:ascii="Times New Roman" w:cs="Times New Roman" w:eastAsia="Times New Roman" w:hAnsi="Times New Roman"/>
          <w:sz w:val="18"/>
          <w:szCs w:val="18"/>
          <w:color w:val="auto"/>
        </w:rPr>
        <w:t>. The final phase may last approx. from 1 to 4 years, during which we invest our time and resources in expanding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growing the business. We actively participate in meetings of the board of directors and strategic advisory board, provide continuous financing and M&amp;A advisory support for growth, geographic expansion and consolidation, and prepare the business combination for de-SPAC.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w:t>
      </w:r>
    </w:p>
    <w:p>
      <w:pPr>
        <w:spacing w:after="0" w:line="18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ectPr>
          <w:pgSz w:w="11900" w:h="16838" w:orient="portrait"/>
          <w:cols w:equalWidth="0" w:num="1">
            <w:col w:w="11120"/>
          </w:cols>
          <w:pgMar w:left="320" w:top="481" w:right="459" w:bottom="1440" w:gutter="0" w:footer="0" w:header="0"/>
        </w:sectPr>
      </w:pP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320" w:type="dxa"/>
            <w:vAlign w:val="bottom"/>
          </w:tcPr>
          <w:p>
            <w:pPr>
              <w:spacing w:after="0"/>
              <w:rPr>
                <w:sz w:val="13"/>
                <w:szCs w:val="13"/>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tc>
        <w:tc>
          <w:tcPr>
            <w:tcW w:w="0" w:type="dxa"/>
            <w:vAlign w:val="bottom"/>
          </w:tcPr>
          <w:p>
            <w:pPr>
              <w:spacing w:after="0"/>
              <w:rPr>
                <w:sz w:val="1"/>
                <w:szCs w:val="1"/>
                <w:color w:val="auto"/>
              </w:rPr>
            </w:pPr>
          </w:p>
        </w:tc>
      </w:tr>
      <w:tr>
        <w:trPr>
          <w:trHeight w:val="29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GigAcquisitions8</w:t>
            </w: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$30,000 per month</w:t>
            </w:r>
          </w:p>
        </w:tc>
        <w:tc>
          <w:tcPr>
            <w:tcW w:w="0" w:type="dxa"/>
            <w:vAlign w:val="bottom"/>
          </w:tcPr>
          <w:p>
            <w:pPr>
              <w:spacing w:after="0"/>
              <w:rPr>
                <w:sz w:val="1"/>
                <w:szCs w:val="1"/>
                <w:color w:val="auto"/>
              </w:rPr>
            </w:pP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w:t>
            </w: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7,850,229 Class B ordinary shares, of which 1,023,943 Class B</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ordinary shares remain subject to forfeiture depending on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extent to which the underwriters’ over-allotment option is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exercised during this offering. Our sponsor intends at the time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this offering to sell 375,397 founder shares in the aggregate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 Messrs. Greene, Machuca, Timm and Horowitz at an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aggregate price of $9,244, thus reducing its holding to</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7,474,832 founder shares</w:t>
            </w:r>
          </w:p>
        </w:tc>
        <w:tc>
          <w:tcPr>
            <w:tcW w:w="0" w:type="dxa"/>
            <w:vAlign w:val="bottom"/>
          </w:tcPr>
          <w:p>
            <w:pPr>
              <w:spacing w:after="0"/>
              <w:rPr>
                <w:sz w:val="1"/>
                <w:szCs w:val="1"/>
                <w:color w:val="auto"/>
              </w:rPr>
            </w:pPr>
          </w:p>
        </w:tc>
      </w:tr>
      <w:tr>
        <w:trPr>
          <w:trHeight w:val="305"/>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95,200 private placement units to be purchased simultaneously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with the closing of this offering (including if the underwriters’</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over-allotment option is exercised in full)</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Up to $100,000 in loans</w:t>
            </w:r>
          </w:p>
        </w:tc>
        <w:tc>
          <w:tcPr>
            <w:tcW w:w="0" w:type="dxa"/>
            <w:vAlign w:val="bottom"/>
          </w:tcPr>
          <w:p>
            <w:pPr>
              <w:spacing w:after="0"/>
              <w:rPr>
                <w:sz w:val="1"/>
                <w:szCs w:val="1"/>
                <w:color w:val="auto"/>
              </w:rPr>
            </w:pPr>
          </w:p>
        </w:tc>
      </w:tr>
      <w:tr>
        <w:trPr>
          <w:trHeight w:val="521"/>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Up to $1,500,000 in working capital loans, which loans may be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convertible into private placement units at a price of $10.00 per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 at the option of the lender</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7228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spacing w:after="0" w:line="9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Office space, administrative and shared personnel support services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$927,000</w:t>
      </w:r>
    </w:p>
    <w:p>
      <w:pPr>
        <w:spacing w:after="0" w:line="200" w:lineRule="exact"/>
        <w:rPr>
          <w:sz w:val="20"/>
          <w:szCs w:val="20"/>
          <w:color w:val="auto"/>
        </w:rPr>
      </w:pPr>
    </w:p>
    <w:p>
      <w:pPr>
        <w:spacing w:after="0" w:line="34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Repayment of loans made to us to cover offering related and organizational expenses</w:t>
      </w:r>
    </w:p>
    <w:p>
      <w:pPr>
        <w:spacing w:after="0" w:line="5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Working capital loans to finance transaction costs in connection with an initial business combination</w:t>
      </w:r>
    </w:p>
    <w:p>
      <w:pPr>
        <w:sectPr>
          <w:pgSz w:w="11900" w:h="16838" w:orient="portrait"/>
          <w:cols w:equalWidth="0" w:num="2">
            <w:col w:w="6620" w:space="220"/>
            <w:col w:w="4280"/>
          </w:cols>
          <w:pgMar w:left="320" w:top="481" w:right="45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00"/>
          </w:cols>
          <w:pgMar w:left="320" w:top="481" w:right="479" w:bottom="1440" w:gutter="0" w:footer="0" w:header="0"/>
        </w:sectPr>
      </w:pP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54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Reimbursement for any out-of-pocket expenses related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identifying, investigating and completing an initial business</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combination</w:t>
            </w:r>
          </w:p>
        </w:tc>
        <w:tc>
          <w:tcPr>
            <w:tcW w:w="0" w:type="dxa"/>
            <w:vAlign w:val="bottom"/>
          </w:tcPr>
          <w:p>
            <w:pPr>
              <w:spacing w:after="0"/>
              <w:rPr>
                <w:sz w:val="1"/>
                <w:szCs w:val="1"/>
                <w:color w:val="auto"/>
              </w:rPr>
            </w:pPr>
          </w:p>
        </w:tc>
      </w:tr>
      <w:tr>
        <w:trPr>
          <w:trHeight w:val="30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of Class B</w:t>
            </w: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Anti-dilution protection upon conversion into Class A ordinary</w:t>
            </w:r>
          </w:p>
        </w:tc>
        <w:tc>
          <w:tcPr>
            <w:tcW w:w="0" w:type="dxa"/>
            <w:vAlign w:val="bottom"/>
          </w:tcPr>
          <w:p>
            <w:pPr>
              <w:spacing w:after="0"/>
              <w:rPr>
                <w:sz w:val="1"/>
                <w:szCs w:val="1"/>
                <w:color w:val="auto"/>
              </w:rPr>
            </w:pPr>
          </w:p>
        </w:tc>
      </w:tr>
      <w:tr>
        <w:trPr>
          <w:trHeight w:val="23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shares at a greater than one-to-one ratio</w:t>
            </w:r>
          </w:p>
        </w:tc>
        <w:tc>
          <w:tcPr>
            <w:tcW w:w="0" w:type="dxa"/>
            <w:vAlign w:val="bottom"/>
          </w:tcPr>
          <w:p>
            <w:pPr>
              <w:spacing w:after="0"/>
              <w:rPr>
                <w:sz w:val="1"/>
                <w:szCs w:val="1"/>
                <w:color w:val="auto"/>
              </w:rPr>
            </w:pPr>
          </w:p>
        </w:tc>
      </w:tr>
      <w:tr>
        <w:trPr>
          <w:trHeight w:val="521"/>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GigAcquisitions8</w:t>
            </w:r>
          </w:p>
        </w:tc>
        <w:tc>
          <w:tcPr>
            <w:tcW w:w="4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Finder’s fees, advisory fees, consulting fees, success fees</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 our officers,</w:t>
            </w:r>
          </w:p>
        </w:tc>
        <w:tc>
          <w:tcPr>
            <w:tcW w:w="2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or our or</w:t>
            </w:r>
          </w:p>
        </w:tc>
        <w:tc>
          <w:tcPr>
            <w:tcW w:w="2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their affiliates</w:t>
            </w:r>
          </w:p>
        </w:tc>
        <w:tc>
          <w:tcPr>
            <w:tcW w:w="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7228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spacing w:after="0" w:line="9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Services in connection with identifying, investigating and completing an initial business combination</w:t>
      </w:r>
    </w:p>
    <w:p>
      <w:pPr>
        <w:spacing w:after="0" w:line="27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Issuance of the Class A ordinary shares issuable in connection with the conversion of the founder shares on a greater than one-to-one basis upon conversion</w:t>
      </w:r>
    </w:p>
    <w:p>
      <w:pPr>
        <w:spacing w:after="0" w:line="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p>
      <w:pPr>
        <w:spacing w:after="0" w:line="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 No agreements have been signed as of the date of this prospectus.</w:t>
      </w:r>
    </w:p>
    <w:p>
      <w:pPr>
        <w:spacing w:after="0" w:line="200" w:lineRule="exact"/>
        <w:rPr>
          <w:sz w:val="20"/>
          <w:szCs w:val="20"/>
          <w:color w:val="auto"/>
        </w:rPr>
      </w:pPr>
    </w:p>
    <w:p>
      <w:pPr>
        <w:sectPr>
          <w:pgSz w:w="11900" w:h="16838" w:orient="portrait"/>
          <w:cols w:equalWidth="0" w:num="2">
            <w:col w:w="6620" w:space="220"/>
            <w:col w:w="4260"/>
          </w:cols>
          <w:pgMar w:left="320" w:top="481" w:right="4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Because our sponsor acquired the founder shares at a nominal price of $0.002108 per Class B ordinary share, four of our directors will 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from the sponsor for $0.02462 per share, and the non-managing investors acquired the private investor shares at a nominal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$0.023254 per Class B ordinary share, our public shareholders will incur an immediate and material dilution upon the closing of this offering. Further,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 A ordinary shares issuable in connection with the conversion of the Class B ordinary shares may result in material dilution to our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due to the anti-dilution rights of our Class B ordinary shares that may result in an issuance of Class A ordinary shares on a greater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one-to-one basis upon conversion. In addition, because our sponsor and the non-managing investors acquired the private placement units, including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private placement shares, at a price of $9.7374 per private placement unit that is less than the amount paid by out public shareholders for the public units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we are selling in this offering, our public shareholders will incur an immediate and substantial dilution upon the closing of this offering.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Additionally, our public shareholders may experience dilution from the conversion of the 337,675 private placement rights that form a part of the private</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placement units into 33,767 Class A ordinary shares (or up to 357,657 private placement rights converting into 35,765 Class A ordinary shares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to be purchased in the private placement simultaneously with the closing of this offering.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our public shareholders may experience material dilution if the $1,500,000 in working capital loans is fully advanced by the sponsor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elects to convert the working capital loans into private placement units at $10.00 per unit, resulting in the sponsor receiving an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150,000 private placement units. </w:t>
      </w:r>
      <w:r>
        <w:rPr>
          <w:rFonts w:ascii="Times New Roman" w:cs="Times New Roman" w:eastAsia="Times New Roman" w:hAnsi="Times New Roman"/>
          <w:sz w:val="18"/>
          <w:szCs w:val="18"/>
          <w:b w:val="1"/>
          <w:bCs w:val="1"/>
          <w:color w:val="auto"/>
        </w:rPr>
        <w:t>See the sections 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 Factors — Risks Relating to our Securities — The nominal purchase price paid by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insiders for the founder shares and paid by the non-managing investors for the private investor shares, in addition to the sale of private placement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units to the sponsor and the non-managing investors, may result in significant dilution to the implied value of your public shares upon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consummation of our initial business combination.” </w:t>
      </w:r>
      <w:r>
        <w:rPr>
          <w:rFonts w:ascii="Times New Roman" w:cs="Times New Roman" w:eastAsia="Times New Roman" w:hAnsi="Times New Roman"/>
          <w:sz w:val="18"/>
          <w:szCs w:val="18"/>
          <w:b w:val="1"/>
          <w:bCs w:val="1"/>
          <w:color w:val="auto"/>
        </w:rPr>
        <w:t>and “</w:t>
      </w:r>
      <w:r>
        <w:rPr>
          <w:rFonts w:ascii="Times New Roman" w:cs="Times New Roman" w:eastAsia="Times New Roman" w:hAnsi="Times New Roman"/>
          <w:sz w:val="18"/>
          <w:szCs w:val="18"/>
          <w:b w:val="1"/>
          <w:bCs w:val="1"/>
          <w:i w:val="1"/>
          <w:iCs w:val="1"/>
          <w:color w:val="auto"/>
        </w:rPr>
        <w:t>Dilution</w:t>
      </w:r>
      <w:r>
        <w:rPr>
          <w:rFonts w:ascii="Times New Roman" w:cs="Times New Roman" w:eastAsia="Times New Roman" w:hAnsi="Times New Roman"/>
          <w:sz w:val="18"/>
          <w:szCs w:val="18"/>
          <w:b w:val="1"/>
          <w:bCs w:val="1"/>
          <w:color w:val="auto"/>
        </w:rPr>
        <w: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81" w:right="47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w:t>
      </w:r>
      <w:r>
        <w:rPr>
          <w:rFonts w:ascii="Times New Roman" w:cs="Times New Roman" w:eastAsia="Times New Roman" w:hAnsi="Times New Roman"/>
          <w:sz w:val="18"/>
          <w:szCs w:val="18"/>
          <w:b w:val="1"/>
          <w:bCs w:val="1"/>
          <w:color w:val="auto"/>
        </w:rPr>
        <w:t>See the section titled “</w:t>
      </w:r>
      <w:r>
        <w:rPr>
          <w:rFonts w:ascii="Times New Roman" w:cs="Times New Roman" w:eastAsia="Times New Roman" w:hAnsi="Times New Roman"/>
          <w:sz w:val="18"/>
          <w:szCs w:val="18"/>
          <w:b w:val="1"/>
          <w:bCs w:val="1"/>
          <w:i w:val="1"/>
          <w:iCs w:val="1"/>
          <w:color w:val="auto"/>
        </w:rPr>
        <w:t>Summary — The Offering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of founder shares and private investor shares and anti-dilution rights</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ind w:left="120" w:right="240" w:firstLine="440"/>
        <w:spacing w:after="0" w:line="260" w:lineRule="auto"/>
        <w:rPr>
          <w:sz w:val="20"/>
          <w:szCs w:val="20"/>
          <w:color w:val="auto"/>
        </w:rPr>
      </w:pPr>
      <w:r>
        <w:rPr>
          <w:rFonts w:ascii="Times New Roman" w:cs="Times New Roman" w:eastAsia="Times New Roman" w:hAnsi="Times New Roman"/>
          <w:sz w:val="18"/>
          <w:szCs w:val="18"/>
          <w:color w:val="auto"/>
        </w:rPr>
        <w:t>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w:t>
      </w:r>
    </w:p>
    <w:p>
      <w:pPr>
        <w:spacing w:after="0" w:line="182" w:lineRule="exact"/>
        <w:rPr>
          <w:sz w:val="20"/>
          <w:szCs w:val="20"/>
          <w:color w:val="auto"/>
        </w:rPr>
      </w:pPr>
    </w:p>
    <w:p>
      <w:pPr>
        <w:jc w:val="both"/>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Pursuant to a letter agreement to be entered with us, each of our sponsor, directors and officers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540" w:type="dxa"/>
            <w:vAlign w:val="bottom"/>
          </w:tcPr>
          <w:p>
            <w:pPr>
              <w:spacing w:after="0"/>
              <w:rPr>
                <w:sz w:val="13"/>
                <w:szCs w:val="13"/>
                <w:color w:val="auto"/>
              </w:rPr>
            </w:pPr>
          </w:p>
        </w:tc>
        <w:tc>
          <w:tcPr>
            <w:tcW w:w="31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vMerge w:val="continue"/>
          </w:tcPr>
          <w:p>
            <w:pPr>
              <w:spacing w:after="0"/>
              <w:rPr>
                <w:sz w:val="16"/>
                <w:szCs w:val="16"/>
                <w:color w:val="auto"/>
              </w:rPr>
            </w:pPr>
          </w:p>
        </w:tc>
        <w:tc>
          <w:tcPr>
            <w:tcW w:w="5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84"/>
        </w:trPr>
        <w:tc>
          <w:tcPr>
            <w:tcW w:w="11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Founder shares</w:t>
            </w:r>
          </w:p>
        </w:tc>
        <w:tc>
          <w:tcPr>
            <w:tcW w:w="540" w:type="dxa"/>
            <w:vAlign w:val="bottom"/>
          </w:tcPr>
          <w:p>
            <w:pPr>
              <w:spacing w:after="0"/>
              <w:rPr>
                <w:sz w:val="16"/>
                <w:szCs w:val="16"/>
                <w:color w:val="auto"/>
              </w:rPr>
            </w:pPr>
          </w:p>
        </w:tc>
        <w:tc>
          <w:tcPr>
            <w:tcW w:w="31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 earlier of (A) six months after the date</w:t>
            </w:r>
          </w:p>
        </w:tc>
        <w:tc>
          <w:tcPr>
            <w:tcW w:w="220" w:type="dxa"/>
            <w:vAlign w:val="bottom"/>
          </w:tcPr>
          <w:p>
            <w:pPr>
              <w:spacing w:after="0"/>
              <w:rPr>
                <w:sz w:val="16"/>
                <w:szCs w:val="16"/>
                <w:color w:val="auto"/>
              </w:rPr>
            </w:pPr>
          </w:p>
        </w:tc>
        <w:tc>
          <w:tcPr>
            <w:tcW w:w="2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GigAcquisitions8 Corp.</w:t>
            </w:r>
          </w:p>
        </w:tc>
        <w:tc>
          <w:tcPr>
            <w:tcW w:w="140" w:type="dxa"/>
            <w:vAlign w:val="bottom"/>
          </w:tcPr>
          <w:p>
            <w:pPr>
              <w:spacing w:after="0"/>
              <w:rPr>
                <w:sz w:val="16"/>
                <w:szCs w:val="16"/>
                <w:color w:val="auto"/>
              </w:rPr>
            </w:pPr>
          </w:p>
        </w:tc>
        <w:tc>
          <w:tcPr>
            <w:tcW w:w="2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Transfers permitted (1) amongst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of the consummation of our initial business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Avi S. Katz</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sponsor and its affiliates, to our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combination or (B) subsequent to our initial</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Raluca Dinu</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officers or directors, or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business combination, (x) the date on which</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Christine M Marshall</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affiliate or family member of 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last sale price of our ordinary shares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our executive officers or directors,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equals or exceeds $11.50 per share (as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 in the case of an entity, as 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adjusted for share divisions, share</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Raanan I. Horowitz</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 to its partners, shareholders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dividends, reorganizations, recapitalizations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 members upon its liquidation, (3) in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and the like) for any 20 trading days within</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Luis Machuca</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case of an individual, (i) by bona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any 30-trading day period commencing at</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Bryan Timm</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fide gift to such person’s immediate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least 90 days after our initial business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James Greene</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family or to a trust, the beneficiary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combination, or (y) the date on which we</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which is a member of such person’s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immediate family, an affiliate of such</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540" w:type="dxa"/>
            <w:vAlign w:val="bottom"/>
          </w:tcPr>
          <w:p>
            <w:pPr>
              <w:spacing w:after="0"/>
              <w:rPr>
                <w:sz w:val="13"/>
                <w:szCs w:val="13"/>
                <w:color w:val="auto"/>
              </w:rPr>
            </w:pPr>
          </w:p>
        </w:tc>
        <w:tc>
          <w:tcPr>
            <w:tcW w:w="31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vMerge w:val="restart"/>
          </w:tcPr>
          <w:p>
            <w:pPr>
              <w:spacing w:after="0"/>
              <w:rPr>
                <w:sz w:val="13"/>
                <w:szCs w:val="13"/>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120" w:type="dxa"/>
            <w:vAlign w:val="bottom"/>
            <w:tcBorders>
              <w:bottom w:val="single" w:sz="8" w:color="auto"/>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31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81" w:right="439" w:bottom="1440" w:gutter="0" w:footer="0" w:header="0"/>
        </w:sectPr>
      </w:pPr>
    </w:p>
    <w:p>
      <w:pPr>
        <w:ind w:left="1760"/>
        <w:spacing w:after="0"/>
        <w:rPr>
          <w:sz w:val="20"/>
          <w:szCs w:val="20"/>
          <w:color w:val="auto"/>
        </w:rPr>
      </w:pPr>
      <w:r>
        <w:rPr>
          <w:rFonts w:ascii="Times New Roman" w:cs="Times New Roman" w:eastAsia="Times New Roman" w:hAnsi="Times New Roman"/>
          <w:sz w:val="18"/>
          <w:szCs w:val="18"/>
          <w:color w:val="auto"/>
        </w:rPr>
        <w:t>consummate a liquidation, merger, stock</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exchange or other similar transaction after</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our initial business combination which</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results in all of our shareholders having the</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right to exchange their ordinary shares for</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cash, securities or other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person or to a charitable organization,</w:t>
      </w:r>
    </w:p>
    <w:p>
      <w:pPr>
        <w:spacing w:after="0" w:line="9" w:lineRule="exact"/>
        <w:rPr>
          <w:sz w:val="20"/>
          <w:szCs w:val="20"/>
          <w:color w:val="auto"/>
        </w:rPr>
      </w:pPr>
    </w:p>
    <w:p>
      <w:pPr>
        <w:jc w:val="both"/>
        <w:ind w:right="40" w:firstLine="7"/>
        <w:spacing w:after="0" w:line="250"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laws of descent and distribution upon death of such person,</w:t>
      </w:r>
    </w:p>
    <w:p>
      <w:pPr>
        <w:ind w:right="20" w:firstLine="7"/>
        <w:spacing w:after="0" w:line="250" w:lineRule="auto"/>
        <w:tabs>
          <w:tab w:leader="none" w:pos="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(4) by certain pledges to secure obligations incurred in connection with purchases of our company’s securities, (5) 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transferees (“permitted transferees”) shall enter into a written agreement with us agreeing to be bound by the transfer restrictions agreed to by the original holder in connection with the purchase of the securities being transferred. In addition, the sponsor, executive officers and directors may transfer, assign or sell any of the founder shares or private placement units ((including underlying securities) (i) in the event of our liquidation prior to the consummation of our initial business combination; (ii) by virtue of the laws of the Cayman Islands, by virtue of sponsor’s memorandum</w:t>
      </w:r>
    </w:p>
    <w:p>
      <w:pPr>
        <w:spacing w:after="0" w:line="134" w:lineRule="exact"/>
        <w:rPr>
          <w:sz w:val="20"/>
          <w:szCs w:val="20"/>
          <w:color w:val="auto"/>
        </w:rPr>
      </w:pPr>
    </w:p>
    <w:p>
      <w:pPr>
        <w:sectPr>
          <w:pgSz w:w="11900" w:h="16838" w:orient="portrait"/>
          <w:cols w:equalWidth="0" w:num="2">
            <w:col w:w="7540" w:space="720"/>
            <w:col w:w="2880"/>
          </w:cols>
          <w:pgMar w:left="320" w:top="481"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81" w:right="4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180" w:type="dxa"/>
            <w:vAlign w:val="bottom"/>
          </w:tcPr>
          <w:p>
            <w:pPr>
              <w:spacing w:after="0"/>
              <w:rPr>
                <w:sz w:val="13"/>
                <w:szCs w:val="13"/>
                <w:color w:val="auto"/>
              </w:rPr>
            </w:pPr>
          </w:p>
        </w:tc>
        <w:tc>
          <w:tcPr>
            <w:tcW w:w="31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and articles of association or other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constitutional, organizational 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formational documents, as amended,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upon dissolution of the sponsor, or by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virtue of the constitutional,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organizational or formational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documents of a subsidiary of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sponsor that holds any such securities,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upon liquidation or dissolution of such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subsidiary; or (iii) in the event of our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completion of a liquidation, merger,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 exchange, reorganization or other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similar transaction which results in all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our shareholders having the right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their ordinary shares for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securities or other property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subsequent to the completion of our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initial business combination.</w:t>
            </w:r>
          </w:p>
        </w:tc>
        <w:tc>
          <w:tcPr>
            <w:tcW w:w="0" w:type="dxa"/>
            <w:vAlign w:val="bottom"/>
          </w:tcPr>
          <w:p>
            <w:pPr>
              <w:spacing w:after="0"/>
              <w:rPr>
                <w:sz w:val="1"/>
                <w:szCs w:val="1"/>
                <w:color w:val="auto"/>
              </w:rPr>
            </w:pPr>
          </w:p>
        </w:tc>
      </w:tr>
      <w:tr>
        <w:trPr>
          <w:trHeight w:val="305"/>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Thirty days after the completion of our</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GigAcquisitions8 Corp.</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Same as above.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(including</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initial business combination</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Avi S. Katz</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underlying</w:t>
            </w: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Raluca Dinu</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Christine M Marshall</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Raanan I. Horowitz</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Luis Machuca</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Bryan Timm</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James Greene</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Non-managing investors</w:t>
            </w: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earlier of (A) six months after the date</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Non-managing investors</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Same as above.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the consummation of our initial business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combination or (B) subsequent to our initial</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business combination, (x) the date on which</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last sale price of our ordinary shares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equals or exceeds $11.50 per</w:t>
            </w: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140" w:type="dxa"/>
            <w:vAlign w:val="bottom"/>
          </w:tcPr>
          <w:p>
            <w:pPr>
              <w:spacing w:after="0"/>
              <w:rPr>
                <w:sz w:val="13"/>
                <w:szCs w:val="13"/>
                <w:color w:val="auto"/>
              </w:rPr>
            </w:pPr>
          </w:p>
        </w:tc>
        <w:tc>
          <w:tcPr>
            <w:tcW w:w="31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share (as adjusted for share divisions, share</w:t>
            </w:r>
          </w:p>
        </w:tc>
        <w:tc>
          <w:tcPr>
            <w:tcW w:w="22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dividends, reorganizations, recapitalizations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the like) for any 20 trading days within</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30-trading day period commencing at</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least 90 days after our initial business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combination, or (y) the date on which we</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consummate a liquidation, merger, stock</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or other similar transaction after</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our initial business combination which</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results in all of our shareholders having the</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 to exchange their ordinary shares for</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securities or other property.</w:t>
            </w: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units, share</w:t>
            </w: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180 days from the date of this prospectus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GigAcquisitions8 Corp. Dr. Avi S. Katz</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 our sponsor and our officers and</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ordinary</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Raluca Dinu</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directors have agreed that, for a period</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or any other</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Christine M Marshall Admiral (Ret.)</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180 days from the date of this</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David Ben-Bashat</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prospectus, we and they will not,</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into, or</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without the prior written consent of the</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or</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Raanan I. Horowitz</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representative of the underwriters,</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exchangeable for,</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offer, sell, contract to sell, pledge or</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units, ordinary</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Luis Machuca</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otherwise dispose of, directly or</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founder</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Bryan Timm</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indirectly, any units, share rights,</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or rights</w:t>
            </w: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James Greene</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or any other securities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convertible into, or exercisable, 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exchangeable for, shares, subject to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certain exceptions.</w:t>
            </w:r>
          </w:p>
        </w:tc>
        <w:tc>
          <w:tcPr>
            <w:tcW w:w="0" w:type="dxa"/>
            <w:vAlign w:val="bottom"/>
          </w:tcPr>
          <w:p>
            <w:pPr>
              <w:spacing w:after="0"/>
              <w:rPr>
                <w:sz w:val="1"/>
                <w:szCs w:val="1"/>
                <w:color w:val="auto"/>
              </w:rPr>
            </w:pPr>
          </w:p>
        </w:tc>
      </w:tr>
      <w:tr>
        <w:trPr>
          <w:trHeight w:val="319"/>
        </w:trPr>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representative in its sole discretion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release any of the securities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these lock-up agreements at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time without notice, other than in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case of the officers and directors,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which shall be with notice. Our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sponsor, officers and directors are also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w:t>
            </w: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1"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540" w:type="dxa"/>
            <w:vAlign w:val="bottom"/>
          </w:tcPr>
          <w:p>
            <w:pPr>
              <w:spacing w:after="0"/>
              <w:rPr>
                <w:sz w:val="13"/>
                <w:szCs w:val="13"/>
                <w:color w:val="auto"/>
              </w:rPr>
            </w:pPr>
          </w:p>
        </w:tc>
        <w:tc>
          <w:tcPr>
            <w:tcW w:w="3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separate transfer restrictions on their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founder shares and private placement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units pursuant to the letter agreement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described in the immediately preceding</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paragraphs.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We may also issue Class A ordinary shares upon conversion of the Class B ordinary shares at a ratio greater than one-to-one at the time of our initial business combination as a result of the anti-dilution provisions as set forth therein.</w:t>
      </w:r>
    </w:p>
    <w:p>
      <w:pPr>
        <w:spacing w:after="0" w:line="187" w:lineRule="exact"/>
        <w:rPr>
          <w:sz w:val="20"/>
          <w:szCs w:val="20"/>
          <w:color w:val="auto"/>
        </w:rPr>
      </w:pPr>
    </w:p>
    <w:p>
      <w:pPr>
        <w:ind w:left="120" w:right="300" w:firstLine="440"/>
        <w:spacing w:after="0" w:line="260" w:lineRule="auto"/>
        <w:rPr>
          <w:sz w:val="20"/>
          <w:szCs w:val="20"/>
          <w:color w:val="auto"/>
        </w:rPr>
      </w:pPr>
      <w:r>
        <w:rPr>
          <w:rFonts w:ascii="Times New Roman" w:cs="Times New Roman" w:eastAsia="Times New Roman" w:hAnsi="Times New Roman"/>
          <w:sz w:val="18"/>
          <w:szCs w:val="18"/>
          <w:color w:val="auto"/>
        </w:rPr>
        <w:t>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 </w:t>
      </w:r>
      <w:r>
        <w:rPr>
          <w:rFonts w:ascii="Times New Roman" w:cs="Times New Roman" w:eastAsia="Times New Roman" w:hAnsi="Times New Roman"/>
          <w:sz w:val="18"/>
          <w:szCs w:val="18"/>
          <w:b w:val="1"/>
          <w:b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Summary — The Offering — Transfer restrictions applicable to founder shares, private investor shares, private placement shares and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placement rights (and shares into which the rights convert).</w:t>
      </w:r>
      <w:r>
        <w:rPr>
          <w:rFonts w:ascii="Times New Roman" w:cs="Times New Roman" w:eastAsia="Times New Roman" w:hAnsi="Times New Roman"/>
          <w:sz w:val="18"/>
          <w:szCs w:val="18"/>
          <w:b w:val="1"/>
          <w:bCs w:val="1"/>
          <w:color w:val="auto"/>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Combination Process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Sources of Target Businesses</w:t>
      </w:r>
    </w:p>
    <w:p>
      <w:pPr>
        <w:spacing w:after="0" w:line="119" w:lineRule="exact"/>
        <w:rPr>
          <w:sz w:val="20"/>
          <w:szCs w:val="20"/>
          <w:color w:val="auto"/>
        </w:rPr>
      </w:pPr>
    </w:p>
    <w:p>
      <w:pPr>
        <w:jc w:val="both"/>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We expect to evaluate opportunities that are sourced through the relationship networks of Dr. Katz and our combined management and advisory team, which includes numerous entrepreneurs, management teams, intermediaries and venture capital funds. Dr. Katz and our combined management and advisory team has considerable expertise in the evaluation of technology investments.</w:t>
      </w:r>
    </w:p>
    <w:p>
      <w:pPr>
        <w:spacing w:after="0" w:line="17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we have not yet identified any acquisition candidates, we believe based on our combined team’s business knowledge and past experience that there are numerous acquisition candidates. We expect that our principal means of identifying potential target businesses will be through the extensive contacts and relationships of our combined management and advisory team. Although our sponsor, executive officers and directors are not required to commit any specific amount of time in identifying or performing due diligence on potential target businesses, our sponsor, executive officers and directors, as augmented by our advisors, believe that the relationships they have developed collectively over their careers and their access to their contacts and resources will generate a number of potential business combination opportunities that will warrant further investigation.</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81"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also anticipate that target business candidates may also be brought to our attention from various unaffiliated sources, including investment bankers, including the underwriters,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 Our sponsor, executive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Our sponsor, executive officers and directors must present to us all target business opportunities in the sectors of the A&amp;D services, cybersecurity and secured communications and quantum-based command and control systems, and AI and ML industries that we are focusing on and that have a fair market value of at least 80% of the assets held in the trust account (excluding any taxes payable on the interest earned, if any)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no event, however, will our sponsor, executive officers, directors or their respective affiliates be paid any finder’s fee, consulting fee or other compensation prior to, or for any services they render in order to effectuate, the consummation of an initial business combination (regardless of the type of transaction that it is) other than the $30,000 monthly administrative services fee, the repayment of any loans, including but not limited to the sponsor note, from our sponsor, officers and directors for working capital purposes and reimbursement of any out-of-pocket expenses.</w:t>
      </w:r>
    </w:p>
    <w:p>
      <w:pPr>
        <w:spacing w:after="0" w:line="18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audit committee will review and approve all reimbursements and payments made to our sponsor, executive officers, directors or their respective affiliates, with any interested director abstaining from such review and approval. We have no present intention to enter into a business combination with a target business that is affiliated with any of our sponsor, executive officers, directors or their respective affiliates. However, we are not restricted from entering into any such transactions and may do so if (i) 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shareholders from a financial point of view.</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Selection of a Target Business and Structuring of a Business Combination</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our executive officers’ and directors’ pre-existing fiduciary duties and the limitations that a target business have a fair market value of at least 80% of the balance in the trust account (excluding any taxes payable on the interest earned, if any)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Except for the general criteria and guidelines set forth above under the caption “</w:t>
      </w:r>
      <w:r>
        <w:rPr>
          <w:rFonts w:ascii="Times New Roman" w:cs="Times New Roman" w:eastAsia="Times New Roman" w:hAnsi="Times New Roman"/>
          <w:sz w:val="18"/>
          <w:szCs w:val="18"/>
          <w:i w:val="1"/>
          <w:iCs w:val="1"/>
          <w:color w:val="auto"/>
        </w:rPr>
        <w:t>Investment Criteria</w:t>
      </w:r>
      <w:r>
        <w:rPr>
          <w:rFonts w:ascii="Times New Roman" w:cs="Times New Roman" w:eastAsia="Times New Roman" w:hAnsi="Times New Roman"/>
          <w:sz w:val="18"/>
          <w:szCs w:val="18"/>
          <w:color w:val="auto"/>
        </w:rPr>
        <w:t>,” we have not established any specific attributes or criteria (financial or otherwise) for prospective acquisition targets. In evaluating a prospective target business, our management may consider a variety of factors, including one or more of the following:</w:t>
      </w:r>
    </w:p>
    <w:p>
      <w:pPr>
        <w:spacing w:after="0" w:line="92" w:lineRule="exact"/>
        <w:rPr>
          <w:sz w:val="20"/>
          <w:szCs w:val="20"/>
          <w:color w:val="auto"/>
        </w:rPr>
      </w:pPr>
    </w:p>
    <w:p>
      <w:pPr>
        <w:ind w:left="1100" w:hanging="438"/>
        <w:spacing w:after="0"/>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results of operation;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size and growth potential;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potential;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skill of management and availability of additional personnel;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81"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entry;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of development of the products, processes or services;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distribution and potential for expansion;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current or potential market acceptance of the products, processes or services;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aspects of products and the extent of intellectual property or other protection for products or formulas;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regulation on the business;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of the industry;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effecting the business combination;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leadership, sustainability of market share and attractiveness of market industries in which a target business participates;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competitive dynamics in the industry within which the company competes;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 cooperation and coachability of management team.</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86"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Market Value of Target Business</w:t>
      </w:r>
    </w:p>
    <w:p>
      <w:pPr>
        <w:spacing w:after="0" w:line="11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target business or businesses that we acquire must collectively have a fair market value equal to at least 80% of the balance of the funds in the trust account (excluding any taxes payable on the interest earned, if any) at the time of the execution of a definitive agreement for our initial business combination, although we may acquire a target business whose fair market value significantly exceeds 80% of the trust account balance. Such initial business combination must be approved by a majority of the company’s independent directors.</w:t>
      </w:r>
    </w:p>
    <w:p>
      <w:pPr>
        <w:spacing w:after="0" w:line="18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currently anticipate structuring a business combination involving 100% of the equity interests or assets of an acquisition target(s). We may, however, structure our initial business combination where we merge directly with the target business or involving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shareholders prior to the business combination may collectively own a minority interest in the post-transaction company, depending</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82"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fundraising arrangement and have no current intention of doing so. The fair market value of the target will be determined by our board of directors based upon one or more standards generally accepted by the financial community (such as actual and potential sales, earnings, cash flow, valuation of the specific market segment of the target and/or book value). The proxy solicitation materials or tender offer documents used by us in connection with any proposed transaction will provide public shareholders with our analysis of the fair market value of the target business, as well as the basis for our determinations. If our board of directors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investment banking firm as to the fair market value if our board of directors independently determines that the target business complies with the 80% threshold.</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Lack of business diversification</w:t>
      </w:r>
    </w:p>
    <w:p>
      <w:pPr>
        <w:spacing w:after="0" w:line="11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209" w:lineRule="exact"/>
        <w:rPr>
          <w:sz w:val="20"/>
          <w:szCs w:val="20"/>
          <w:color w:val="auto"/>
        </w:rPr>
      </w:pPr>
    </w:p>
    <w:p>
      <w:pPr>
        <w:ind w:left="1100" w:right="160" w:hanging="438"/>
        <w:spacing w:after="0" w:line="281" w:lineRule="auto"/>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89"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Limited ability to evaluate the target’s management team</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a target business’ management may not prove to be correct. Moreover, members of our management team may not have significant experience or knowledge relating to the operations of the particular target business. The future role of members of our management team, if any, in a post-transaction company cannot presently be stated with any certainty. Consequently, members of our management team may not become a part of the post-transaction company’s management team or serve it in advisory positions, and the future management may not have the necessary skills, qualifications or abilities to manage a public company. Further, it is also not certain whether one or more of our directors will remain associated with the post-transaction company in some capacity following our initial business combination. The determination as to whether any of our key personnel will remain with the post-transaction company will be made at the time of our initial business combination.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81"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60" w:firstLine="440"/>
        <w:spacing w:after="0" w:line="265"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However, we may not have the ability to recruit additional managers, or to locate additional managers who will have the requisite skills, knowledge or experience necessary to enhance the incumbent management.</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Shareholders May Not Have the Ability to Approve an Initial Business Combination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any proposed business combination, 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 We will seek shareholder approval if it is required by applicable law or stock exchange listing requirement, provided, that we may also decide to seek shareholder approval for business or other reasons.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Nasdaq listing rules, shareholder approval would be required for our initial business combination if, for example:</w:t>
      </w:r>
    </w:p>
    <w:p>
      <w:pPr>
        <w:spacing w:after="0" w:line="251" w:lineRule="exact"/>
        <w:rPr>
          <w:sz w:val="20"/>
          <w:szCs w:val="20"/>
          <w:color w:val="auto"/>
        </w:rPr>
      </w:pPr>
    </w:p>
    <w:p>
      <w:pPr>
        <w:ind w:left="1100" w:right="460" w:hanging="438"/>
        <w:spacing w:after="0" w:line="281" w:lineRule="auto"/>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(other than in a public offering for cash) ordinary shares that will either (a) be equal to or in excess of 20% of the number of ordinary shares then outstanding or (b) have voting power equal to or in excess of 20% of the voting power then outstanding;</w:t>
      </w:r>
    </w:p>
    <w:p>
      <w:pPr>
        <w:spacing w:after="0" w:line="68" w:lineRule="exact"/>
        <w:rPr>
          <w:rFonts w:ascii="Times New Roman" w:cs="Times New Roman" w:eastAsia="Times New Roman" w:hAnsi="Times New Roman"/>
          <w:sz w:val="18"/>
          <w:szCs w:val="18"/>
          <w:color w:val="auto"/>
        </w:rPr>
      </w:pPr>
    </w:p>
    <w:p>
      <w:pPr>
        <w:ind w:left="1100" w:right="100" w:hanging="438"/>
        <w:spacing w:after="0" w:line="258" w:lineRule="auto"/>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or substantial security holders (as defined by the Nasdaq rules) has a 5% or greater interest, directly or indirectly, in the target business or assets to be acquired and if the number of ordinary shares to be issued, or if the number of ordinary shares into which the securities may be convertible or exercisable, exceeds either (a) 1% of the number of ordinary shares or 1% of the voting power outstanding before the issuance in the case of any of our directors and officers or (b) 5% of the number of ordinary shares or 5% of the voting power outstanding before the issuance in the case of any substantial security holders; or</w:t>
      </w:r>
    </w:p>
    <w:p>
      <w:pPr>
        <w:spacing w:after="0" w:line="87"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left="120" w:right="280" w:firstLine="440"/>
        <w:spacing w:after="0" w:line="260" w:lineRule="auto"/>
        <w:rPr>
          <w:sz w:val="20"/>
          <w:szCs w:val="20"/>
          <w:color w:val="auto"/>
        </w:rPr>
      </w:pPr>
      <w:r>
        <w:rPr>
          <w:rFonts w:ascii="Times New Roman" w:cs="Times New Roman" w:eastAsia="Times New Roman" w:hAnsi="Times New Roman"/>
          <w:sz w:val="18"/>
          <w:szCs w:val="18"/>
          <w:color w:val="auto"/>
        </w:rPr>
        <w:t>If we determine to engage in a tender offer, such tender offer will be structured so that each shareholder may tender any or all of his, her or its shares rather than some pro rata portion of his, her or its shares. The decision as to whether we will seek shareholder approval of a proposed business combination or will allow shareholders to sell their shares to us in a tender offer will be made by us, solely in our discretion, and will be based on business and legal reasons, which include a variety of factors, including, but not limited to:</w:t>
      </w:r>
    </w:p>
    <w:p>
      <w:pPr>
        <w:spacing w:after="0" w:line="87" w:lineRule="exact"/>
        <w:rPr>
          <w:sz w:val="20"/>
          <w:szCs w:val="20"/>
          <w:color w:val="auto"/>
        </w:rPr>
      </w:pPr>
    </w:p>
    <w:p>
      <w:pPr>
        <w:ind w:left="1100" w:right="20" w:hanging="438"/>
        <w:spacing w:after="0" w:line="265" w:lineRule="auto"/>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proposed transaction, including in the event we determine shareholder approval would require additional time and there is either not enough time to seek shareholder approval or doing so would place us at a disadvantage in the transaction or result in other additional burdens on us;</w:t>
      </w:r>
    </w:p>
    <w:p>
      <w:pPr>
        <w:spacing w:after="0" w:line="82"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holding a shareholder vote;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shareholders would fail to approve the initial business combination;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time and budget constraints; and</w:t>
      </w:r>
    </w:p>
    <w:p>
      <w:pPr>
        <w:spacing w:after="0" w:line="130" w:lineRule="exact"/>
        <w:rPr>
          <w:rFonts w:ascii="Times New Roman" w:cs="Times New Roman" w:eastAsia="Times New Roman" w:hAnsi="Times New Roman"/>
          <w:sz w:val="18"/>
          <w:szCs w:val="18"/>
          <w:color w:val="auto"/>
        </w:rPr>
      </w:pPr>
    </w:p>
    <w:p>
      <w:pPr>
        <w:ind w:left="1100" w:right="400" w:hanging="438"/>
        <w:spacing w:after="0" w:line="281" w:lineRule="auto"/>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legal complexities of an initial business combination that would be time-consuming and burdensome to present to shareholders.</w:t>
      </w:r>
    </w:p>
    <w:p>
      <w:pPr>
        <w:spacing w:after="0" w:line="163" w:lineRule="exact"/>
        <w:rPr>
          <w:sz w:val="20"/>
          <w:szCs w:val="20"/>
          <w:color w:val="auto"/>
        </w:rPr>
      </w:pPr>
    </w:p>
    <w:p>
      <w:pPr>
        <w:ind w:left="120" w:right="360" w:firstLine="440"/>
        <w:spacing w:after="0" w:line="265" w:lineRule="auto"/>
        <w:rPr>
          <w:sz w:val="20"/>
          <w:szCs w:val="20"/>
          <w:color w:val="auto"/>
        </w:rPr>
      </w:pPr>
      <w:r>
        <w:rPr>
          <w:rFonts w:ascii="Times New Roman" w:cs="Times New Roman" w:eastAsia="Times New Roman" w:hAnsi="Times New Roman"/>
          <w:sz w:val="18"/>
          <w:szCs w:val="18"/>
          <w:color w:val="auto"/>
        </w:rPr>
        <w:t>Unlike other blank check companies which require shareholder votes and conduct proxy solicitations in conjunction with their initial business combinations and related conversions of public shares for cash upon consummation of such initial business combination even when a vote is not required by law, we will have the</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82"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65" w:lineRule="auto"/>
        <w:rPr>
          <w:sz w:val="20"/>
          <w:szCs w:val="20"/>
          <w:color w:val="auto"/>
        </w:rPr>
      </w:pPr>
      <w:r>
        <w:rPr>
          <w:rFonts w:ascii="Times New Roman" w:cs="Times New Roman" w:eastAsia="Times New Roman" w:hAnsi="Times New Roman"/>
          <w:sz w:val="18"/>
          <w:szCs w:val="18"/>
          <w:color w:val="auto"/>
        </w:rPr>
        <w:t>flexibility to avoid such shareholder vote and allow our shareholders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17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sponsor, directors and non-managing investors will agree to vote their founder shares, private investor shares and private placement shares in favor of any proposed business combination. In addition, the sponsor, executive officers and directors will agree (1) not to redeem any ordinary shares in connection with a shareholder vote to approve a proposed initial business combination and (2) not sell any ordinary shares in any tender in connection with a proposed initial business combination. As a result, we would need only approximately 11,757,181 public shares, or approximately 53.44% of the 22,000,000 public shares sold in this offering to be voted in favor of a transaction in order to have our initial business combination approved (assuming</w:t>
      </w:r>
    </w:p>
    <w:p>
      <w:pPr>
        <w:spacing w:after="0" w:line="2" w:lineRule="exact"/>
        <w:rPr>
          <w:sz w:val="20"/>
          <w:szCs w:val="20"/>
          <w:color w:val="auto"/>
        </w:rPr>
      </w:pPr>
    </w:p>
    <w:p>
      <w:pPr>
        <w:ind w:left="120" w:right="220" w:firstLine="2"/>
        <w:spacing w:after="0" w:line="289" w:lineRule="auto"/>
        <w:tabs>
          <w:tab w:leader="none" w:pos="33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over-allotment option is not exercised and all shares were present and entitled to vote at the meeting, (ii) 1,023,943 founder shares and 386,681 private investor shares have been forfeited and (iii) there are 337,675 private placement shares included in the private placement units outstanding).</w:t>
      </w:r>
    </w:p>
    <w:p>
      <w:pPr>
        <w:spacing w:after="0" w:line="158" w:lineRule="exact"/>
        <w:rPr>
          <w:sz w:val="20"/>
          <w:szCs w:val="20"/>
          <w:color w:val="auto"/>
        </w:rPr>
      </w:pPr>
    </w:p>
    <w:p>
      <w:pPr>
        <w:jc w:val="both"/>
        <w:ind w:left="120" w:right="320" w:firstLine="440"/>
        <w:spacing w:after="0" w:line="265" w:lineRule="auto"/>
        <w:rPr>
          <w:sz w:val="20"/>
          <w:szCs w:val="20"/>
          <w:color w:val="auto"/>
        </w:rPr>
      </w:pPr>
      <w:r>
        <w:rPr>
          <w:rFonts w:ascii="Times New Roman" w:cs="Times New Roman" w:eastAsia="Times New Roman" w:hAnsi="Times New Roman"/>
          <w:sz w:val="18"/>
          <w:szCs w:val="18"/>
          <w:color w:val="auto"/>
        </w:rPr>
        <w:t>None of our sponsor, executive officers, directors, or their affiliates has indicated any intention to purchase public units or public shares in this offering or from persons on the open market or in private transactions. However, our sponsor, executive officers and directors will agree to vote any public shares they may hold in favor of our initial business combination.</w:t>
      </w:r>
    </w:p>
    <w:p>
      <w:pPr>
        <w:spacing w:after="0" w:line="17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However, if we hold a meeting to approve a proposed business combination and a significant number of shareholders vote, or indicate an intention to vote, against such proposed business combination, our sponsor, executive officers, directors, or their affiliates could make such purchases on the open market or in private transactions in order to influence the vote. Notwithstanding the foregoing, our sponsor, executive officers, directors, and their affiliates will not make purchases of public shares if the purchases would violate Section 9(a)(2) or Rule 10b-5 of the Exchange Act, which are rules designed to stop potential manipulation of a company’s stock.</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11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At any meeting called to approve an initial business combination, public shareholders (but not our sponsor, executive officers and directors) may seek to redeem their public shares, regardless of whether they vote for or against the proposed business combination, by converting such shares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net of taxes). Alternatively, we may provide our public shareholders (but not our sponsor, executive officers and directors) with the opportunity to sell their public shares to us through a tender offer (and thereby avoid the need for a shareholder vote) for an amount equal to their pro rata share of the aggregate amount then on deposit in the trust account, less any taxes then due but not yet paid. Our sponsor, executive officers and directors will enter into a letter agreement with us, pursuant to which they will agree to waive their redemption rights with respect to all ordinary shares in connection with the completion of our initial business combination.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82"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81" w:lineRule="auto"/>
        <w:rPr>
          <w:sz w:val="20"/>
          <w:szCs w:val="20"/>
          <w:color w:val="auto"/>
        </w:rPr>
      </w:pPr>
      <w:r>
        <w:rPr>
          <w:rFonts w:ascii="Times New Roman" w:cs="Times New Roman" w:eastAsia="Times New Roman" w:hAnsi="Times New Roman"/>
          <w:sz w:val="18"/>
          <w:szCs w:val="18"/>
          <w:color w:val="auto"/>
        </w:rPr>
        <w:t>approving our initial business combination and otherwise exercising their rights as public shareholders because of their ownership of private investor shares and private placement units as further discussed in this prospectus.</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also require public shareholders seeking redemption, whether they are a record holder or hold their shares in “street name,” to either</w:t>
      </w:r>
    </w:p>
    <w:p>
      <w:pPr>
        <w:spacing w:after="0" w:line="27" w:lineRule="exact"/>
        <w:rPr>
          <w:sz w:val="20"/>
          <w:szCs w:val="20"/>
          <w:color w:val="auto"/>
        </w:rPr>
      </w:pPr>
    </w:p>
    <w:p>
      <w:pPr>
        <w:ind w:left="120" w:right="120" w:firstLine="2"/>
        <w:spacing w:after="0" w:line="255" w:lineRule="auto"/>
        <w:tabs>
          <w:tab w:leader="none" w:pos="3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delivery process and the act of certificating the shares or delivering them through the DWAC System. The transfer agent will typically charge the tendering broker $80.00 and it would be up to the broker whether or not to pass this cost on to the holder. This fee would be incurred regardless of whether or not we require holders seeking to exercise redemption rights to do so prior to the time that we know that the proposed business combination will be consummated. The need to deliver shares is a requirement of exercising redemption rights regardless of the timing of when such delivery must be effectuated. Thus, in the event we require shareholders seeking to exercise redemption rights to deliver their shares prior to the consummation of the proposed business combination and the proposed business combination is not consummated, this may result in an increased cost to shareholders.</w:t>
      </w:r>
    </w:p>
    <w:p>
      <w:pPr>
        <w:spacing w:after="0" w:line="18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Any proxy solicitation materials we furnish to shareholders in connection with a vote for any proposed business combination will indicate whether we are requiring shareholders to satisfy such certification and delivery requirements. Accordingly, a shareholder would have from the time the shareholder received our proxy statement up until the time designated in the proxy statement to deliver his, her or its shares if he, she or it wishes to seek to exercise his, her or its redemption rights. This time period varies depending on the specific facts of each transaction. However, as the delivery process can be accomplished by the shareholder, whether or not he, she or it is a record holder or his, her or its shares are held in “street name,” in a matter of hours by simply contacting the transfer agent or his, her or its broker and requesting delivery of his her or its shares through the DWAC System, we believe this time period is sufficient for an average investor. However, we cannot assure you of this fact. </w:t>
      </w:r>
      <w:r>
        <w:rPr>
          <w:rFonts w:ascii="Times New Roman" w:cs="Times New Roman" w:eastAsia="Times New Roman" w:hAnsi="Times New Roman"/>
          <w:sz w:val="17"/>
          <w:szCs w:val="17"/>
          <w:b w:val="1"/>
          <w:bCs w:val="1"/>
          <w:color w:val="auto"/>
        </w:rPr>
        <w:t>See “</w:t>
      </w:r>
      <w:r>
        <w:rPr>
          <w:rFonts w:ascii="Times New Roman" w:cs="Times New Roman" w:eastAsia="Times New Roman" w:hAnsi="Times New Roman"/>
          <w:sz w:val="17"/>
          <w:szCs w:val="17"/>
          <w:b w:val="1"/>
          <w:bCs w:val="1"/>
          <w:i w:val="1"/>
          <w:iCs w:val="1"/>
          <w:color w:val="auto"/>
        </w:rPr>
        <w:t>Risk Factors—Risks Relating to our</w:t>
      </w:r>
    </w:p>
    <w:p>
      <w:pPr>
        <w:spacing w:after="0" w:line="1" w:lineRule="exact"/>
        <w:rPr>
          <w:sz w:val="20"/>
          <w:szCs w:val="20"/>
          <w:color w:val="auto"/>
        </w:rPr>
      </w:pPr>
    </w:p>
    <w:p>
      <w:pPr>
        <w:jc w:val="both"/>
        <w:ind w:left="120"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Search for, and Consummation of or Inability to Consummate, a Business Combination—We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r>
        <w:rPr>
          <w:rFonts w:ascii="Times New Roman" w:cs="Times New Roman" w:eastAsia="Times New Roman" w:hAnsi="Times New Roman"/>
          <w:sz w:val="18"/>
          <w:szCs w:val="18"/>
          <w:color w:val="auto"/>
        </w:rPr>
        <w:t>” for further information on the risks of failing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comply with these requirements.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foregoing is different from the procedures historically used by some blank check companies. Traditionally, in order to perfect redemption rights in connection with a blank check company’s business combination, the company would distribute proxy materials for the shareholders’ vote on an initial business combination, and a holder could simply vote against a proposed business combination and check a box on the proxy card indicating such holder was seeking to exercise his, her or its redemption rights. After the business combination was approved, the company would contact such shareholder to arrange for him, her or it to deliver his, her or its certificate to verify ownership. As a result, the shareholder then had an “option window” after the consummation of the business combination during which he, she or it could monitor the price of the company’s stock in the market. If the price rose above the conversion price, he could sell his, her or its shares on the open market before actually delivering his, her or its shares to the company for cancellation. As a result, the redemption rights, to which shareholders were aware they needed to commit before the shareholder meeting, would become a “continuing” right surviving past the consummation of the business combination until the holder delivered his, her or its certificate or shares. The requirement for physical or electronic delivery prior to the meeting ensures that a holder’s election to convert his, her or its shares is irrevocable once the business combination is approved.</w:t>
      </w:r>
    </w:p>
    <w:p>
      <w:pPr>
        <w:spacing w:after="0" w:line="18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Any request to redeem such shares once made, may be withdrawn at any time up to the vote on the proposed business combination. Furthermore, if a holder of a public share delivered his, her or its certificate in connection</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81"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81" w:lineRule="auto"/>
        <w:rPr>
          <w:sz w:val="20"/>
          <w:szCs w:val="20"/>
          <w:color w:val="auto"/>
        </w:rPr>
      </w:pPr>
      <w:r>
        <w:rPr>
          <w:rFonts w:ascii="Times New Roman" w:cs="Times New Roman" w:eastAsia="Times New Roman" w:hAnsi="Times New Roman"/>
          <w:sz w:val="18"/>
          <w:szCs w:val="18"/>
          <w:color w:val="auto"/>
        </w:rPr>
        <w:t>with an election of such shares’ redemption and subsequently decides prior to the vote on the proposed business combination not to elect to exercise such rights, he, she or it may simply request that the transfer agent return the certificate or shares (physically or electronically).</w:t>
      </w:r>
    </w:p>
    <w:p>
      <w:pPr>
        <w:spacing w:after="0" w:line="16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initial business combination is not approved or completed for any reason, then our public shareholders who elected to exercise their redemption rights would not be entitled to redeem their shares for the applicable pro rata share of the trust account (net of permitted withdrawals) as of two (2) business days prior to the consummation of the initial business combination. In such case, we will promptly return any certificates or shares delivered by public holders. Furthermore, if the initial business combination is not approved or completed for any reason, then our public shareholders who elected to exercise their redemption rights will not be entitled to convert their shares into a full pro rata portion of the trust account (net of permitted withdrawals and less $100,000 for dissolution expenses), as applicable. We will thereafter promptly return any shares delivered by public shareholders. In such case, public shareholders may only share in the assets of the trust account upon our liquidation. This may result in public shareholders receiving less than they would have received if the business combination was completed and they had exercised redemption rights in connection therewith due to potential claims of creditors.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if No Business Combination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provides that we will have only 24 months from the closing of this offering to complete an initial business combination. If we have not completed an initial business combination by such date, we will (i) cease all operations except for the purpose of winding up, (ii) as promptly as reasonably possible but not more than ten (10) business days thereafter, redeem 100% of the outstanding public shares, at a per-share price, payable in cash, equal to the aggregate amount then on deposit in the trust account, (net of permitted withdrawals and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the case of (ii) and (iii) above) to our obligations under the Cayman Islands laws to provide for claims of creditors and the requirements of other applicable law.</w:t>
      </w:r>
    </w:p>
    <w:p>
      <w:pPr>
        <w:spacing w:after="0" w:line="18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sponsor, executive officers and directors have agreed (pursuant to a written letter agreement with us filed as exhibits to the registration statement of which this prospectus forms a part) that they will not propose any amendment to our amended and restated memorandum and articles of association that would stop our public shareholders from converting or selling their public shares to us in connection with a business combination or affect the substance or timing of our obligation to redeem 100% of our public shares if we do not complete a business combination within 24 months from the closing of this offering unless we provide our public shareholders with the opportunity to redeem their public shares upon such approval at a per-share price, payable in cash, equal to the aggregate amount then on deposit in the trust account, net of permitted withdrawals, divided by the number of then outstanding public shares. This redemption right shall apply in the event of the approval of any such amendment, whether proposed by our sponsor, any executive officer, director or director nominee, or any other person.</w:t>
      </w:r>
    </w:p>
    <w:p>
      <w:pPr>
        <w:spacing w:after="0" w:line="18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w:t>
      </w:r>
    </w:p>
    <w:p>
      <w:pPr>
        <w:spacing w:after="0" w:line="1" w:lineRule="exact"/>
        <w:rPr>
          <w:sz w:val="20"/>
          <w:szCs w:val="20"/>
          <w:color w:val="auto"/>
        </w:rPr>
      </w:pPr>
    </w:p>
    <w:p>
      <w:pPr>
        <w:ind w:left="120" w:right="100" w:firstLine="2"/>
        <w:spacing w:after="0" w:line="255" w:lineRule="auto"/>
        <w:tabs>
          <w:tab w:leader="none" w:pos="4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81"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40"/>
        <w:spacing w:after="0" w:line="265" w:lineRule="auto"/>
        <w:rPr>
          <w:sz w:val="20"/>
          <w:szCs w:val="20"/>
          <w:color w:val="auto"/>
        </w:rPr>
      </w:pPr>
      <w:r>
        <w:rPr>
          <w:rFonts w:ascii="Times New Roman" w:cs="Times New Roman" w:eastAsia="Times New Roman" w:hAnsi="Times New Roman"/>
          <w:sz w:val="18"/>
          <w:szCs w:val="18"/>
          <w:color w:val="auto"/>
        </w:rPr>
        <w:t>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w:t>
      </w:r>
    </w:p>
    <w:p>
      <w:pPr>
        <w:spacing w:after="0" w:line="17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required to use our reasonable best efforts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(net of permitted withdrawals and less up to $100,000 for dissolution expenses) to our public shareholders.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anticipate notifying the trustee of the trust account to begin liquidating such assets promptly after such date and anticipate it will take no more than ten (10) business days to effectuate such distribution. Our insiders and non-managing investors have waived their rights to participate in any liquidation distribution with respect to the founder shares, private investor shares and private placement shares. We will pay the costs of any subsequent liquidation from our remaining assets outside of the trust account and the interest earned on the funds held in the trust account that we are permitted to withdraw to pay such expenses.</w:t>
      </w:r>
    </w:p>
    <w:p>
      <w:pPr>
        <w:spacing w:after="0" w:line="182"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shareholders.</w:t>
      </w:r>
    </w:p>
    <w:p>
      <w:pPr>
        <w:spacing w:after="0" w:line="182" w:lineRule="exact"/>
        <w:rPr>
          <w:sz w:val="20"/>
          <w:szCs w:val="20"/>
          <w:color w:val="auto"/>
        </w:rPr>
      </w:pPr>
    </w:p>
    <w:p>
      <w:pPr>
        <w:ind w:left="120" w:right="280" w:firstLine="440"/>
        <w:spacing w:after="0" w:line="260" w:lineRule="auto"/>
        <w:rPr>
          <w:sz w:val="20"/>
          <w:szCs w:val="20"/>
          <w:color w:val="auto"/>
        </w:rPr>
      </w:pPr>
      <w:r>
        <w:rPr>
          <w:rFonts w:ascii="Times New Roman" w:cs="Times New Roman" w:eastAsia="Times New Roman" w:hAnsi="Times New Roman"/>
          <w:sz w:val="18"/>
          <w:szCs w:val="18"/>
          <w:color w:val="auto"/>
        </w:rPr>
        <w:t>Our public shareholders shall be entitled to receive funds from the trust account only in the event of our failure to complete a business combination within the required time period or if the shareholders seek to have us redeem or purchase their respective shares upon a business combination which is actually completed by us or upon certain amendments to our amended and restated memorandum and articles of association as described elsewhere herein. In no other circumstances shall a shareholder have any right or interest of any kind to or in the trust account.</w:t>
      </w:r>
    </w:p>
    <w:p>
      <w:pPr>
        <w:spacing w:after="0" w:line="182"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Our insiders and non-managing investors will not participate in any redemption distribution from our trust account with respect to their founder shares, private investor shares and private placement shares. Additionally, any loans made by our officers, directors, sponsors or their affiliates for working capital needs will be forgiven and not repaid if we are unable to complete an initial business combination.</w:t>
      </w:r>
    </w:p>
    <w:p>
      <w:pPr>
        <w:spacing w:after="0" w:line="177"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81"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780"/>
        <w:spacing w:after="0" w:line="312" w:lineRule="auto"/>
        <w:rPr>
          <w:sz w:val="20"/>
          <w:szCs w:val="20"/>
          <w:color w:val="auto"/>
        </w:rPr>
      </w:pPr>
      <w:r>
        <w:rPr>
          <w:rFonts w:ascii="Times New Roman" w:cs="Times New Roman" w:eastAsia="Times New Roman" w:hAnsi="Times New Roman"/>
          <w:sz w:val="17"/>
          <w:szCs w:val="17"/>
          <w:color w:val="auto"/>
        </w:rPr>
        <w:t>included in our bankruptcy estate and subject to the claims of third parties with priority over the claims of our shareholders. To the extent any bankruptcy claims deplete the trust account, we cannot make any assurance of the amount we will be able to return to our public shareholders.</w:t>
      </w:r>
    </w:p>
    <w:p>
      <w:pPr>
        <w:spacing w:after="0" w:line="13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Furthermore, because we intend to distribute the proceeds held in the trust account to our public shareholders promptly after 24 months from the closing of this offering, this may be viewed or interpreted as giving preference to our public shareholders over any potential creditors with respect to access to or distributions from our assets. Furthermore, our board of directors may be viewed as having breached their fiduciary duties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and Restated Memorandum and Articles of Association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contain certain requirements and restrictions relating to this offering that will apply to us until the consummation of our initial business combination. These provisions cannot be amended without the approval of a majority of our shareholders. If we seek to amend any provisions of our amended and restated memorandum and articles of association that would stop our public shareholders from converting or selling their shares to us in connection with a business combination or affect the substance or timing of our obligation to redeem 100% of our public shares if we do not complete a business combination within 24 months from the closing of this offering, we will provide dissenting public shareholders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insiders and non-managing investors have agreed to waive any redemption rights with respect to their founder shares, private investor shares and private placement shares held by them, and the sponsor has agreed to waive its redemption rights with respect to any public shares it may hold, in each case in connection with any vote to amend our amended and restated memorandum and articles of association. Specifically, our amended and restated memorandum and articles of association provides, among other things, that:</w:t>
      </w:r>
    </w:p>
    <w:p>
      <w:pPr>
        <w:spacing w:after="0" w:line="94" w:lineRule="exact"/>
        <w:rPr>
          <w:sz w:val="20"/>
          <w:szCs w:val="20"/>
          <w:color w:val="auto"/>
        </w:rPr>
      </w:pPr>
    </w:p>
    <w:p>
      <w:pPr>
        <w:ind w:left="1100" w:right="20" w:hanging="438"/>
        <w:spacing w:after="0" w:line="256" w:lineRule="auto"/>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either (1) seek shareholder approval of our initial business combination at a meeting called for such purpose at which shareholders may seek to redeem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w:t>
      </w:r>
    </w:p>
    <w:p>
      <w:pPr>
        <w:spacing w:after="0" w:line="91" w:lineRule="exact"/>
        <w:rPr>
          <w:rFonts w:ascii="Times New Roman" w:cs="Times New Roman" w:eastAsia="Times New Roman" w:hAnsi="Times New Roman"/>
          <w:sz w:val="18"/>
          <w:szCs w:val="18"/>
          <w:color w:val="auto"/>
        </w:rPr>
      </w:pPr>
    </w:p>
    <w:p>
      <w:pPr>
        <w:ind w:left="1100" w:right="260" w:hanging="438"/>
        <w:spacing w:after="0" w:line="281" w:lineRule="auto"/>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from the closing of this offering then we will redeem all of the outstanding public shares and thereafter liquidate and dissolve our company;</w:t>
      </w:r>
    </w:p>
    <w:p>
      <w:pPr>
        <w:spacing w:after="0" w:line="68" w:lineRule="exact"/>
        <w:rPr>
          <w:rFonts w:ascii="Times New Roman" w:cs="Times New Roman" w:eastAsia="Times New Roman" w:hAnsi="Times New Roman"/>
          <w:sz w:val="18"/>
          <w:szCs w:val="18"/>
          <w:color w:val="auto"/>
        </w:rPr>
      </w:pPr>
    </w:p>
    <w:p>
      <w:pPr>
        <w:ind w:left="1100" w:right="280" w:hanging="438"/>
        <w:spacing w:after="0" w:line="281" w:lineRule="auto"/>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$220,000,000, or $253,000,000 if the over-allotment option is exercised in full, shall be placed into the trust account; and</w:t>
      </w:r>
    </w:p>
    <w:p>
      <w:pPr>
        <w:spacing w:after="0" w:line="68" w:lineRule="exact"/>
        <w:rPr>
          <w:rFonts w:ascii="Times New Roman" w:cs="Times New Roman" w:eastAsia="Times New Roman" w:hAnsi="Times New Roman"/>
          <w:sz w:val="18"/>
          <w:szCs w:val="18"/>
          <w:color w:val="auto"/>
        </w:rPr>
      </w:pPr>
    </w:p>
    <w:p>
      <w:pPr>
        <w:ind w:left="1100" w:right="400" w:hanging="438"/>
        <w:spacing w:after="0" w:line="281" w:lineRule="auto"/>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shares that participate in any manner in the proceeds of the trust account, or that votes as a class with the public shares sold in this offering on any matter.</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81"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Although we believe there may be numerous potential target businesses that we could acquire with the net proceeds of this offering, our ability to compete in acquiring certain sizable target businesses may be limited by our available financial resources.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also may not be viewed favorably by certain target businesses:</w:t>
      </w:r>
    </w:p>
    <w:p>
      <w:pPr>
        <w:spacing w:after="0" w:line="130" w:lineRule="exact"/>
        <w:rPr>
          <w:sz w:val="20"/>
          <w:szCs w:val="20"/>
          <w:color w:val="auto"/>
        </w:rPr>
      </w:pPr>
    </w:p>
    <w:p>
      <w:pPr>
        <w:ind w:left="1100" w:right="760" w:hanging="438"/>
        <w:spacing w:after="0" w:line="281" w:lineRule="auto"/>
        <w:tabs>
          <w:tab w:leader="none" w:pos="1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seek shareholder approval of a business combination or engage in a tender offer may delay the completion of a transaction; and</w:t>
      </w:r>
    </w:p>
    <w:p>
      <w:pPr>
        <w:spacing w:after="0" w:line="68" w:lineRule="exact"/>
        <w:rPr>
          <w:rFonts w:ascii="Times New Roman" w:cs="Times New Roman" w:eastAsia="Times New Roman" w:hAnsi="Times New Roman"/>
          <w:sz w:val="18"/>
          <w:szCs w:val="18"/>
          <w:color w:val="auto"/>
        </w:rPr>
      </w:pPr>
    </w:p>
    <w:p>
      <w:pPr>
        <w:ind w:left="1100" w:right="160" w:hanging="438"/>
        <w:spacing w:after="0" w:line="281" w:lineRule="auto"/>
        <w:tabs>
          <w:tab w:leader="none" w:pos="1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redeem Class A ordinary shares held by our public shareholders may reduce the resources available to us for a business combination.</w:t>
      </w:r>
    </w:p>
    <w:p>
      <w:pPr>
        <w:spacing w:after="0" w:line="163" w:lineRule="exact"/>
        <w:rPr>
          <w:sz w:val="20"/>
          <w:szCs w:val="20"/>
          <w:color w:val="auto"/>
        </w:rPr>
      </w:pPr>
    </w:p>
    <w:p>
      <w:pPr>
        <w:ind w:left="120" w:right="200" w:firstLine="440"/>
        <w:spacing w:after="0" w:line="288" w:lineRule="auto"/>
        <w:rPr>
          <w:sz w:val="20"/>
          <w:szCs w:val="20"/>
          <w:color w:val="auto"/>
        </w:rPr>
      </w:pPr>
      <w:r>
        <w:rPr>
          <w:rFonts w:ascii="Times New Roman" w:cs="Times New Roman" w:eastAsia="Times New Roman" w:hAnsi="Times New Roman"/>
          <w:sz w:val="17"/>
          <w:szCs w:val="17"/>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 held entities having a similar business objective as ours in acquiring a target business with significant growth potential on favorable terms.</w:t>
      </w:r>
    </w:p>
    <w:p>
      <w:pPr>
        <w:spacing w:after="0" w:line="15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currently maintain our principal executive offices at 1731 Embarcadero Rd., Suite 200, Palo Alto, CA 94303. The cost for this space is included in the $30,000 monthly fee GigManagement, LLC will charge us for general and administrative services commencing on the date of this prospectus pursuant to an Administrative Services Agreement between us and GigManagement, LLC until the consummation of an initial business combination. We believe, based on rents and fees for similar services in the San Francisco Bay Area, that the fee charged by our sponsor is at least as favorable as we could have obtained from an unaffiliated person. We consider our current office space, combined with the other office space otherwise available to our executive officers, adequate for our current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two executive officers.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full-time employees prior to the consummation of a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Periodic Reporting and Audited Financial Statements</w:t>
      </w:r>
    </w:p>
    <w:p>
      <w:pPr>
        <w:spacing w:after="0" w:line="119"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We have registered our public units, public shares and public rights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60"/>
          </w:cols>
          <w:pgMar w:left="320" w:top="481" w:right="5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will provide shareholders with audited financial statements of the prospective target business as part of any proxy solicitation materials or tender offer documents sent to shareholders to assist them in assessing the target business. These financial statements will need to be prepared in accordance with or reconciled to GAAP or IFRS.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82" w:lineRule="exact"/>
        <w:rPr>
          <w:sz w:val="20"/>
          <w:szCs w:val="20"/>
          <w:color w:val="auto"/>
        </w:rPr>
      </w:pPr>
    </w:p>
    <w:p>
      <w:pPr>
        <w:ind w:left="120" w:right="300" w:firstLine="440"/>
        <w:spacing w:after="0" w:line="260" w:lineRule="auto"/>
        <w:rPr>
          <w:sz w:val="20"/>
          <w:szCs w:val="20"/>
          <w:color w:val="auto"/>
        </w:rPr>
      </w:pPr>
      <w:r>
        <w:rPr>
          <w:rFonts w:ascii="Times New Roman" w:cs="Times New Roman" w:eastAsia="Times New Roman" w:hAnsi="Times New Roman"/>
          <w:sz w:val="18"/>
          <w:szCs w:val="18"/>
          <w:color w:val="auto"/>
        </w:rPr>
        <w:t>We may be required to have our internal control procedures audited for the fiscal year ending December 31, 2026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w:t>
      </w:r>
    </w:p>
    <w:p>
      <w:pPr>
        <w:spacing w:after="0" w:line="221"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Redemption or Purchase Prices in Connection with Our Initial Business Combination and if We Fail to Complete Our Initial Business Combination.</w:t>
      </w:r>
    </w:p>
    <w:p>
      <w:pPr>
        <w:spacing w:after="0" w:line="158"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ectPr>
          <w:pgSz w:w="11900" w:h="16838" w:orient="portrait"/>
          <w:cols w:equalWidth="0" w:num="1">
            <w:col w:w="11100"/>
          </w:cols>
          <w:pgMar w:left="320" w:top="482" w:right="479" w:bottom="1440" w:gutter="0" w:footer="0" w:header="0"/>
        </w:sectPr>
      </w:pP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in Connection</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our Initial Business</w:t>
            </w:r>
          </w:p>
        </w:tc>
        <w:tc>
          <w:tcPr>
            <w:tcW w:w="0" w:type="dxa"/>
            <w:vAlign w:val="bottom"/>
          </w:tcPr>
          <w:p>
            <w:pPr>
              <w:spacing w:after="0"/>
              <w:rPr>
                <w:sz w:val="1"/>
                <w:szCs w:val="1"/>
                <w:color w:val="auto"/>
              </w:rPr>
            </w:pPr>
          </w:p>
        </w:tc>
      </w:tr>
      <w:tr>
        <w:trPr>
          <w:trHeight w:val="187"/>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Calculation of redemption price</w:t>
            </w:r>
          </w:p>
        </w:tc>
        <w:tc>
          <w:tcPr>
            <w:tcW w:w="220" w:type="dxa"/>
            <w:vAlign w:val="bottom"/>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0" w:type="dxa"/>
            <w:vAlign w:val="bottom"/>
          </w:tcPr>
          <w:p>
            <w:pPr>
              <w:spacing w:after="0"/>
              <w:rPr>
                <w:sz w:val="1"/>
                <w:szCs w:val="1"/>
                <w:color w:val="auto"/>
              </w:rPr>
            </w:pPr>
          </w:p>
        </w:tc>
      </w:tr>
      <w:tr>
        <w:trPr>
          <w:trHeight w:val="191"/>
        </w:trPr>
        <w:tc>
          <w:tcPr>
            <w:tcW w:w="2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Redemptions at the time of our initial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business combination may be made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pursuant to a tender offer or in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connection with a shareholder vote.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redemption price will be the same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whether we conduct redemptions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pursuant to a tender offer or in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connection with a shareholder vote. In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either case, our public shareholders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redeem their public shares for</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equal to the aggregate amount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then on deposit in the trust account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calculated as of two business days prior</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 the consummation of the initial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business combination (which is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initially anticipated to be $10.00 per</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 including interest (which</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shall be net of permitted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withdrawals), divided by the number of</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then issued and outstanding</w:t>
            </w:r>
          </w:p>
        </w:tc>
        <w:tc>
          <w:tcPr>
            <w:tcW w:w="0" w:type="dxa"/>
            <w:vAlign w:val="bottom"/>
          </w:tcPr>
          <w:p>
            <w:pPr>
              <w:spacing w:after="0"/>
              <w:rPr>
                <w:sz w:val="1"/>
                <w:szCs w:val="1"/>
                <w:color w:val="auto"/>
              </w:rPr>
            </w:pPr>
          </w:p>
        </w:tc>
      </w:tr>
      <w:tr>
        <w:trPr>
          <w:trHeight w:val="364"/>
        </w:trPr>
        <w:tc>
          <w:tcPr>
            <w:tcW w:w="2640" w:type="dxa"/>
            <w:vAlign w:val="bottom"/>
          </w:tcPr>
          <w:p>
            <w:pPr>
              <w:spacing w:after="0"/>
              <w:rPr>
                <w:sz w:val="24"/>
                <w:szCs w:val="24"/>
                <w:color w:val="auto"/>
              </w:rPr>
            </w:pPr>
          </w:p>
        </w:tc>
        <w:tc>
          <w:tcPr>
            <w:tcW w:w="30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4643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our initial shareholders or their affiliates may purchase public shares or public rights in privately negotiated transactions or on the open market either prior to or following completion of our initial business combination.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left="-19" w:right="420"/>
        <w:spacing w:after="0"/>
        <w:rPr>
          <w:sz w:val="20"/>
          <w:szCs w:val="20"/>
          <w:color w:val="auto"/>
        </w:rPr>
      </w:pPr>
      <w:r>
        <w:rPr>
          <w:rFonts w:ascii="Times New Roman" w:cs="Times New Roman" w:eastAsia="Times New Roman" w:hAnsi="Times New Roman"/>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6694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69415"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If we are unable to complete our initial business combination within the completion window, we will redeem all public shares at a per-share price, payable in cash, equal to the aggregate amount, then on deposit in the trust account (which is initially anticipated to be $10.00 per share), including interest (which interest shall be net of permitted withdrawals and up to $100,000 of interest to pay liquidation expenses) divided by the number of then issued and outstanding public shares.</w:t>
      </w:r>
    </w:p>
    <w:p>
      <w:pPr>
        <w:sectPr>
          <w:pgSz w:w="11900" w:h="16838" w:orient="portrait"/>
          <w:cols w:equalWidth="0" w:num="3">
            <w:col w:w="5840" w:space="200"/>
            <w:col w:w="2300" w:space="160"/>
            <w:col w:w="2600"/>
          </w:cols>
          <w:pgMar w:left="320" w:top="482" w:right="47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Redemptions in Connection</w:t>
      </w:r>
    </w:p>
    <w:p>
      <w:pPr>
        <w:jc w:val="center"/>
        <w:ind w:left="2980"/>
        <w:spacing w:after="0" w:line="229" w:lineRule="auto"/>
        <w:rPr>
          <w:sz w:val="20"/>
          <w:szCs w:val="20"/>
          <w:color w:val="auto"/>
        </w:rPr>
      </w:pPr>
      <w:r>
        <w:rPr>
          <w:rFonts w:ascii="Times New Roman" w:cs="Times New Roman" w:eastAsia="Times New Roman" w:hAnsi="Times New Roman"/>
          <w:sz w:val="14"/>
          <w:szCs w:val="14"/>
          <w:b w:val="1"/>
          <w:bCs w:val="1"/>
          <w:color w:val="auto"/>
        </w:rPr>
        <w:t>with our Initial Business</w:t>
      </w: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5080</wp:posOffset>
            </wp:positionV>
            <wp:extent cx="18154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ind w:left="2960"/>
        <w:spacing w:after="0"/>
        <w:rPr>
          <w:sz w:val="20"/>
          <w:szCs w:val="20"/>
          <w:color w:val="auto"/>
        </w:rPr>
      </w:pPr>
      <w:r>
        <w:rPr>
          <w:rFonts w:ascii="Times New Roman" w:cs="Times New Roman" w:eastAsia="Times New Roman" w:hAnsi="Times New Roman"/>
          <w:sz w:val="18"/>
          <w:szCs w:val="18"/>
          <w:color w:val="auto"/>
        </w:rPr>
        <w:t>public shares, subject to any limitations</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(including but not limited to cash</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requirements) agreed to in connection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with the negotiation of terms of 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proposed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Permitted Purchases of</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if we fail to</w:t>
            </w:r>
          </w:p>
        </w:tc>
      </w:tr>
      <w:tr>
        <w:trPr>
          <w:trHeight w:val="148"/>
        </w:trPr>
        <w:tc>
          <w:tcPr>
            <w:tcW w:w="2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Public Shares by our</w:t>
            </w: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Complete an Initial Business</w:t>
            </w:r>
          </w:p>
        </w:tc>
      </w:tr>
      <w:tr>
        <w:trPr>
          <w:trHeight w:val="187"/>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14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tc>
      </w:tr>
    </w:tbl>
    <w:p>
      <w:pPr>
        <w:spacing w:after="0" w:line="1164" w:lineRule="exact"/>
        <w:rPr>
          <w:sz w:val="20"/>
          <w:szCs w:val="20"/>
          <w:color w:val="auto"/>
        </w:rPr>
      </w:pPr>
    </w:p>
    <w:p>
      <w:pPr>
        <w:sectPr>
          <w:pgSz w:w="11900" w:h="16838" w:orient="portrait"/>
          <w:cols w:equalWidth="0" w:num="2">
            <w:col w:w="5820" w:space="220"/>
            <w:col w:w="5100"/>
          </w:cols>
          <w:pgMar w:left="320" w:top="481" w:right="439" w:bottom="1440" w:gutter="0" w:footer="0" w:header="0"/>
        </w:sectPr>
      </w:pPr>
    </w:p>
    <w:p>
      <w:pPr>
        <w:ind w:left="12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Impact to remaining shareholders</w:t>
      </w:r>
      <w:r>
        <w:rPr>
          <w:sz w:val="20"/>
          <w:szCs w:val="20"/>
          <w:color w:val="auto"/>
        </w:rPr>
        <w:tab/>
      </w:r>
      <w:r>
        <w:rPr>
          <w:rFonts w:ascii="Times New Roman" w:cs="Times New Roman" w:eastAsia="Times New Roman" w:hAnsi="Times New Roman"/>
          <w:sz w:val="17"/>
          <w:szCs w:val="17"/>
          <w:color w:val="auto"/>
        </w:rPr>
        <w:t>The redemptions in connection with</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our initial business combination will</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reduce the book value per share for our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remaining shareholders, who will bear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burden of interest withdrawn in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color w:val="auto"/>
        </w:rPr>
        <w:t>order to pay our taxes (to the extent not</w:t>
      </w:r>
    </w:p>
    <w:p>
      <w:pPr>
        <w:spacing w:after="0" w:line="2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paid from amounts accrued as interest</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on the funds held in the trust account).</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Times New Roman" w:cs="Times New Roman" w:eastAsia="Times New Roman" w:hAnsi="Times New Roman"/>
          <w:sz w:val="18"/>
          <w:szCs w:val="18"/>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pacing w:after="0" w:line="200" w:lineRule="exact"/>
        <w:rPr>
          <w:sz w:val="20"/>
          <w:szCs w:val="20"/>
          <w:color w:val="auto"/>
        </w:rPr>
      </w:pPr>
    </w:p>
    <w:p>
      <w:pPr>
        <w:sectPr>
          <w:pgSz w:w="11900" w:h="16838" w:orient="portrait"/>
          <w:cols w:equalWidth="0" w:num="3">
            <w:col w:w="5800" w:space="240"/>
            <w:col w:w="2300" w:space="160"/>
            <w:col w:w="2640"/>
          </w:cols>
          <w:pgMar w:left="320" w:top="481" w:right="439" w:bottom="1440" w:gutter="0" w:footer="0" w:header="0"/>
          <w:type w:val="continuous"/>
        </w:sectPr>
      </w:pPr>
    </w:p>
    <w:p>
      <w:pPr>
        <w:spacing w:after="0" w:line="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This Offering to Those of Blank Check Companies Subject to Rule 419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the terms of this offering to the terms of an offering by a blank check company subject to the provisions of Rule</w:t>
      </w:r>
    </w:p>
    <w:p>
      <w:pPr>
        <w:spacing w:after="0" w:line="27" w:lineRule="exact"/>
        <w:rPr>
          <w:sz w:val="20"/>
          <w:szCs w:val="20"/>
          <w:color w:val="auto"/>
        </w:rPr>
      </w:pPr>
    </w:p>
    <w:p>
      <w:pPr>
        <w:ind w:left="120" w:right="80" w:firstLine="2"/>
        <w:spacing w:after="0" w:line="255" w:lineRule="auto"/>
        <w:tabs>
          <w:tab w:leader="none" w:pos="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40"/>
          </w:cols>
          <w:pgMar w:left="320" w:top="481" w:right="439" w:bottom="1440" w:gutter="0" w:footer="0" w:header="0"/>
          <w:type w:val="continuous"/>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Escrow of offering proceeds</w:t>
            </w:r>
          </w:p>
        </w:tc>
        <w:tc>
          <w:tcPr>
            <w:tcW w:w="98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c>
          <w:tcPr>
            <w:tcW w:w="0" w:type="dxa"/>
            <w:vAlign w:val="bottom"/>
          </w:tcPr>
          <w:p>
            <w:pPr>
              <w:spacing w:after="0"/>
              <w:rPr>
                <w:sz w:val="1"/>
                <w:szCs w:val="1"/>
                <w:color w:val="auto"/>
              </w:rPr>
            </w:pPr>
          </w:p>
        </w:tc>
      </w:tr>
      <w:tr>
        <w:trPr>
          <w:trHeight w:val="191"/>
        </w:trPr>
        <w:tc>
          <w:tcPr>
            <w:tcW w:w="31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$220,000,000 of the net proceeds of this offering</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and the sale of the private placement units will</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be deposited into a trust account located in the</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United States with Continental Stock Transfer &amp;</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4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Trust Company acting as 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tabs>
          <w:tab w:leader="none" w:pos="4180" w:val="left"/>
        </w:tabs>
        <w:rPr>
          <w:sz w:val="20"/>
          <w:szCs w:val="20"/>
          <w:color w:val="auto"/>
        </w:rPr>
      </w:pPr>
      <w:r>
        <w:rPr>
          <w:rFonts w:ascii="Times New Roman" w:cs="Times New Roman" w:eastAsia="Times New Roman" w:hAnsi="Times New Roman"/>
          <w:sz w:val="18"/>
          <w:szCs w:val="18"/>
          <w:b w:val="1"/>
          <w:bCs w:val="1"/>
          <w:color w:val="auto"/>
        </w:rPr>
        <w:t>Investment of net proceeds</w:t>
      </w:r>
      <w:r>
        <w:rPr>
          <w:sz w:val="20"/>
          <w:szCs w:val="20"/>
          <w:color w:val="auto"/>
        </w:rPr>
        <w:tab/>
      </w:r>
      <w:r>
        <w:rPr>
          <w:rFonts w:ascii="Times New Roman" w:cs="Times New Roman" w:eastAsia="Times New Roman" w:hAnsi="Times New Roman"/>
          <w:sz w:val="17"/>
          <w:szCs w:val="17"/>
          <w:color w:val="auto"/>
        </w:rPr>
        <w:t>$220,000,000 of the net proceeds of this offering</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and the sale of the private placement units, held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 trust will be invested in United States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“government securities” within the meaning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Section 2(a)(16) of the Investment Company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Act with a maturity of 185 days or less or in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money</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Approximately $197,086,500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8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ectPr>
          <w:pgSz w:w="11900" w:h="16838" w:orient="portrait"/>
          <w:cols w:equalWidth="0" w:num="2">
            <w:col w:w="7740" w:space="200"/>
            <w:col w:w="3200"/>
          </w:cols>
          <w:pgMar w:left="320" w:top="481" w:right="4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-650875</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16510</wp:posOffset>
            </wp:positionV>
            <wp:extent cx="22345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market funds meeting certain conditions under Rule 2a-7 promulgated under the Investment Company Act which invest only in direct U.S. government treasury obligations.</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Interest on proceeds from the trust account to be paid to shareholders is reduced by permitted withdrawals and up to $100,000 payable for dissolution expenses.</w:t>
      </w:r>
    </w:p>
    <w:p>
      <w:pPr>
        <w:spacing w:after="0" w:line="200" w:lineRule="exact"/>
        <w:rPr>
          <w:sz w:val="20"/>
          <w:szCs w:val="20"/>
          <w:color w:val="auto"/>
        </w:rPr>
      </w:pPr>
    </w:p>
    <w:p>
      <w:pPr>
        <w:spacing w:after="0" w:line="3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initial business combination must be with one or more target businesses or assets having an aggregate fair market value of at least 80% of the value of the trust account (less permitted withdrawals) at the time of the agreement to enter into such initial business combination.</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public units may commence trading on or promptly after the date of this prospectus. The public shares and public rights may begin trading separately on the 52nd day after the date of this prospectus unless our underwriters inform us of their decision to allow earlier separate trading, provided we have filed with the SEC a Current Report on Form 8-K, which includes an audited balance sheet reflecting our receipt of the proceeds of this offering, such Form 8-K to be amended or supplemented with updated financial information in the event the over- allotment option is exercised or if our underwriters permit separate trading prior to the 52nd day after the date of this prospectus.</w:t>
      </w:r>
    </w:p>
    <w:p>
      <w:pPr>
        <w:spacing w:after="0" w:line="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their public shares for cash equal to their pro rata share of the aggregate amount then on</w:t>
      </w:r>
    </w:p>
    <w:p>
      <w:pPr>
        <w:spacing w:after="0" w:line="1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Interest on funds in escrow account would be held for the sole benefit of investors, unless and only after the funds held in escrow were released to us in connection with our consummation of a business combination.</w:t>
      </w:r>
    </w:p>
    <w:p>
      <w:pPr>
        <w:spacing w:after="0" w:line="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 trading of the public units or the underlying public shares and rights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 prospectus containing information pertaining to the business combination required by the SEC would be sent to each investor. Each investor would be</w:t>
      </w:r>
    </w:p>
    <w:p>
      <w:pPr>
        <w:sectPr>
          <w:pgSz w:w="11900" w:h="16838" w:orient="portrait"/>
          <w:cols w:equalWidth="0" w:num="3">
            <w:col w:w="3640" w:space="560"/>
            <w:col w:w="3520" w:space="220"/>
            <w:col w:w="3100"/>
          </w:cols>
          <w:pgMar w:left="320" w:top="481" w:right="5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16510</wp:posOffset>
            </wp:positionV>
            <wp:extent cx="22345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deposit in the trust account as of two business</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days prior to the consummation of our initial</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business combination, including interest earned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on the funds held in the trust account (which</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interest shall be net of permitted withdrawals),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upon the completion of our initial business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combination, subject to the limitations described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herein. We may not be required by law to hold a</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shareholder vote. If we are not required by law</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and do not otherwise decide to hold a</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shareholder vote, we will, pursuant to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amended and restated memorandum and articles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of association, conduct the redemptions pursuant</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to the tender offer rules of the SEC and file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tender offer documents with the SEC which will</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contain substantially the same financial and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other information about the initial business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combination and the redemption rights as is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required under the SEC’s proxy rules.</w:t>
      </w:r>
    </w:p>
    <w:p>
      <w:pPr>
        <w:spacing w:after="0" w:line="1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If, however, we hold a shareholder vote, we will,</w:t>
      </w:r>
    </w:p>
    <w:p>
      <w:pPr>
        <w:spacing w:after="0" w:line="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like many blank check companies, offer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redeem shares in conjunction with a proxy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solicitation pursuant to the tender offer rules.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Pursuant to the tender offer rules, the tender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offer period will be not less than 20 business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days and, in the case of a shareholder vote, a</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final proxy statement would be mailed to public</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shareholders at least 20 days prior to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shareholder vote. However, we expect that a</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draft proxy statement would be made available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to such shareholders well in advance of such</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time, providing additional notice of redemption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if we conduct redemptions in conjunction with a</w:t>
      </w:r>
    </w:p>
    <w:p>
      <w:pPr>
        <w:spacing w:after="0" w:line="1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theinvestors and none of the securities are issued.</w:t>
      </w:r>
    </w:p>
    <w:p>
      <w:pPr>
        <w:sectPr>
          <w:pgSz w:w="11900" w:h="16838" w:orient="portrait"/>
          <w:cols w:equalWidth="0" w:num="2">
            <w:col w:w="7720" w:space="220"/>
            <w:col w:w="3180"/>
          </w:cols>
          <w:pgMar w:left="320" w:top="481"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2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proxy solicitation. If we seek shareholder</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approval, we will complete our initial business</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9"/>
              </w:rPr>
              <w:t>combination only if we obtain the approval of an</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ordinary resolution for such business</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combination under Cayman Islands law and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pursuant to our amended and restated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memorandum and articles of association (or</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such higher approval threshold as required by</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Cayman Islands law or other applicable law and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pursuant to our amended and restated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Additionally, each public shareholder may elect</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to redeem their public shares irrespective of</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whether they vote for or against the proposed</w:t>
            </w:r>
          </w:p>
        </w:tc>
      </w:tr>
      <w:tr>
        <w:trPr>
          <w:trHeight w:val="234"/>
        </w:trPr>
        <w:tc>
          <w:tcPr>
            <w:tcW w:w="2660" w:type="dxa"/>
            <w:vAlign w:val="bottom"/>
          </w:tcPr>
          <w:p>
            <w:pPr>
              <w:spacing w:after="0"/>
              <w:rPr>
                <w:sz w:val="20"/>
                <w:szCs w:val="20"/>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transaction.</w:t>
            </w:r>
          </w:p>
        </w:tc>
      </w:tr>
      <w:tr>
        <w:trPr>
          <w:trHeight w:val="319"/>
        </w:trPr>
        <w:tc>
          <w:tcPr>
            <w:tcW w:w="2660" w:type="dxa"/>
            <w:vAlign w:val="bottom"/>
          </w:tcPr>
          <w:p>
            <w:pPr>
              <w:spacing w:after="0"/>
              <w:rPr>
                <w:sz w:val="24"/>
                <w:szCs w:val="24"/>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 quorum for such meeting will consist of the</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holders present in person or by proxy of shares</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of the company representing at least one-third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(1/3) of the voting power of all outstanding</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shares of the company entitled to vote at such</w:t>
            </w:r>
          </w:p>
        </w:tc>
      </w:tr>
      <w:tr>
        <w:trPr>
          <w:trHeight w:val="234"/>
        </w:trPr>
        <w:tc>
          <w:tcPr>
            <w:tcW w:w="2660" w:type="dxa"/>
            <w:vAlign w:val="bottom"/>
          </w:tcPr>
          <w:p>
            <w:pPr>
              <w:spacing w:after="0"/>
              <w:rPr>
                <w:sz w:val="20"/>
                <w:szCs w:val="20"/>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meeting.</w:t>
            </w:r>
          </w:p>
        </w:tc>
      </w:tr>
      <w:tr>
        <w:trPr>
          <w:trHeight w:val="319"/>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Release of funds</w:t>
            </w: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Except for interest earned on the funds in the</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trust account that may be released to us to pay</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our tax obligations, the proceeds held in the trust</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account will not be released until the earlier;</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 of the completion of our initial business</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combination within the required time period;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(2) our redemption of 100% of the outstanding</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public shares if we have not completed an initial</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business combination in the required time</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period; and, if our amended and restated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memorandum and articles of association are</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amended to require it and (3) the redemption of</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any public shares properly tendered in</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connection with a shareholder vote to amend our</w:t>
            </w:r>
          </w:p>
        </w:tc>
      </w:tr>
      <w:tr>
        <w:trPr>
          <w:trHeight w:val="234"/>
        </w:trPr>
        <w:tc>
          <w:tcPr>
            <w:tcW w:w="2660" w:type="dxa"/>
            <w:vAlign w:val="bottom"/>
          </w:tcPr>
          <w:p>
            <w:pPr>
              <w:spacing w:after="0"/>
              <w:rPr>
                <w:sz w:val="20"/>
                <w:szCs w:val="20"/>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amended and restated memorandum and articles</w:t>
            </w:r>
          </w:p>
        </w:tc>
      </w:tr>
      <w:tr>
        <w:trPr>
          <w:trHeight w:val="364"/>
        </w:trPr>
        <w:tc>
          <w:tcPr>
            <w:tcW w:w="2660" w:type="dxa"/>
            <w:vAlign w:val="bottom"/>
          </w:tcPr>
          <w:p>
            <w:pPr>
              <w:spacing w:after="0"/>
              <w:rPr>
                <w:sz w:val="24"/>
                <w:szCs w:val="24"/>
                <w:color w:val="auto"/>
              </w:rPr>
            </w:pPr>
          </w:p>
        </w:tc>
        <w:tc>
          <w:tcPr>
            <w:tcW w:w="496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164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proceeds held in the escrow account are not released until the earlier of the completion of a business combination or the failure to effect our initial business combination within the allotted time.</w:t>
      </w:r>
    </w:p>
    <w:p>
      <w:pPr>
        <w:sectPr>
          <w:pgSz w:w="11900" w:h="16838" w:orient="portrait"/>
          <w:cols w:equalWidth="0" w:num="2">
            <w:col w:w="7740" w:space="200"/>
            <w:col w:w="2920"/>
          </w:cols>
          <w:pgMar w:left="320" w:top="481" w:right="7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Delivering share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-650875</wp:posOffset>
            </wp:positionV>
            <wp:extent cx="7174865" cy="552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16510</wp:posOffset>
            </wp:positionV>
            <wp:extent cx="22345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association (A) to modify the substance or timing of our obligation to redeem 100% of our public shares if we do not complete our initial business combination within the required time period or (B) with respect to any other provision relating to shareholders’ rights or pre-business combination activity.</w:t>
      </w:r>
    </w:p>
    <w:p>
      <w:pPr>
        <w:spacing w:after="0" w:line="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which will include the</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blank check companies provide that a shareholder can vote against a proposed business combination and check a box on the proxy card indicating that such shareholder is seeking to exercise its redemption rights. After the business combination is approved, the company would contact such shareholder to arrange for delivery of its share certificates to verify ownership.</w:t>
      </w:r>
    </w:p>
    <w:p>
      <w:pPr>
        <w:sectPr>
          <w:pgSz w:w="11900" w:h="16838" w:orient="portrait"/>
          <w:cols w:equalWidth="0" w:num="3">
            <w:col w:w="3720" w:space="480"/>
            <w:col w:w="3500" w:space="240"/>
            <w:col w:w="3180"/>
          </w:cols>
          <w:pgMar w:left="320" w:top="481"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120"/>
        <w:spacing w:after="0" w:line="291" w:lineRule="auto"/>
        <w:rPr>
          <w:sz w:val="20"/>
          <w:szCs w:val="20"/>
          <w:color w:val="auto"/>
        </w:rPr>
      </w:pPr>
      <w:r>
        <w:rPr>
          <w:rFonts w:ascii="Times New Roman" w:cs="Times New Roman" w:eastAsia="Times New Roman" w:hAnsi="Times New Roman"/>
          <w:sz w:val="17"/>
          <w:szCs w:val="17"/>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-650875</wp:posOffset>
            </wp:positionV>
            <wp:extent cx="7174865" cy="552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16510</wp:posOffset>
            </wp:positionV>
            <wp:extent cx="22345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requirement that any beneficial owner on whose behalf a redemption right is being exercised must identify itself in order to validly redeem its shares. Accordingly, a public shareholder would have up to two business days prior to the vote on the initial business combination if we distribute proxy materials, or from the time we send out our tender offer materials until the close of the tender offer period, as applicable, to submit or tender its</w:t>
      </w:r>
    </w:p>
    <w:p>
      <w:pPr>
        <w:spacing w:after="0" w:line="5"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shares if it wishes to seek to exercise its redemption rights.</w:t>
      </w:r>
    </w:p>
    <w:p>
      <w:pPr>
        <w:spacing w:after="0" w:line="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(including our affiliates),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which we refer to as the “Excess Shares.” However, we would not restrict our shareholders’ ability to vote all of their shares (including Excess Shares) for or against our initial business combination.</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blank check companies provide no restrictions on the ability of shareholders to redeem shares based on the number of shares held by such shareholders in connection with an initial business combination.</w:t>
      </w:r>
    </w:p>
    <w:p>
      <w:pPr>
        <w:sectPr>
          <w:pgSz w:w="11900" w:h="16838" w:orient="portrait"/>
          <w:cols w:equalWidth="0" w:num="3">
            <w:col w:w="3820" w:space="380"/>
            <w:col w:w="3520" w:space="220"/>
            <w:col w:w="3120"/>
          </w:cols>
          <w:pgMar w:left="320" w:top="482" w:right="5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1"/>
        </w:trPr>
        <w:tc>
          <w:tcPr>
            <w:tcW w:w="380" w:type="dxa"/>
            <w:vAlign w:val="bottom"/>
          </w:tcPr>
          <w:p>
            <w:pPr>
              <w:spacing w:after="0"/>
              <w:rPr>
                <w:sz w:val="24"/>
                <w:szCs w:val="24"/>
                <w:color w:val="auto"/>
              </w:rPr>
            </w:pPr>
          </w:p>
        </w:tc>
        <w:tc>
          <w:tcPr>
            <w:tcW w:w="10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Our current directors, director nominees and executive officers are listed below.</w:t>
            </w:r>
          </w:p>
        </w:tc>
      </w:tr>
      <w:tr>
        <w:trPr>
          <w:trHeight w:val="411"/>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4"/>
        </w:trPr>
        <w:tc>
          <w:tcPr>
            <w:tcW w:w="31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Dr. Avi S. Katz</w:t>
            </w:r>
          </w:p>
        </w:tc>
        <w:tc>
          <w:tcPr>
            <w:tcW w:w="720" w:type="dxa"/>
            <w:vAlign w:val="bottom"/>
          </w:tcPr>
          <w:p>
            <w:pPr>
              <w:spacing w:after="0"/>
              <w:rPr>
                <w:sz w:val="16"/>
                <w:szCs w:val="16"/>
                <w:color w:val="auto"/>
              </w:rPr>
            </w:pPr>
          </w:p>
        </w:tc>
        <w:tc>
          <w:tcPr>
            <w:tcW w:w="24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w w:val="77"/>
              </w:rPr>
              <w:t>67</w:t>
            </w:r>
          </w:p>
        </w:tc>
        <w:tc>
          <w:tcPr>
            <w:tcW w:w="220" w:type="dxa"/>
            <w:vAlign w:val="bottom"/>
          </w:tcPr>
          <w:p>
            <w:pPr>
              <w:spacing w:after="0"/>
              <w:rPr>
                <w:sz w:val="16"/>
                <w:szCs w:val="16"/>
                <w:color w:val="auto"/>
              </w:rPr>
            </w:pPr>
          </w:p>
        </w:tc>
        <w:tc>
          <w:tcPr>
            <w:tcW w:w="670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 Machuca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Timm</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Greene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93"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Dr. Avi S. Katz </w:t>
      </w:r>
      <w:r>
        <w:rPr>
          <w:rFonts w:ascii="Times New Roman" w:cs="Times New Roman" w:eastAsia="Times New Roman" w:hAnsi="Times New Roman"/>
          <w:sz w:val="18"/>
          <w:szCs w:val="18"/>
          <w:color w:val="auto"/>
        </w:rPr>
        <w:t>serves as our Chief Executive Officer and Chairman of the Board. Dr. Katz has served as the Chairman of the Board of QT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w:t>
      </w:r>
    </w:p>
    <w:p>
      <w:pPr>
        <w:spacing w:after="0" w:line="1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81"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7"/>
          <w:szCs w:val="17"/>
          <w:color w:val="auto"/>
        </w:rPr>
        <w:t>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w:t>
      </w:r>
    </w:p>
    <w:p>
      <w:pPr>
        <w:ind w:left="120" w:right="20" w:firstLine="2"/>
        <w:spacing w:after="0" w:line="250" w:lineRule="auto"/>
        <w:tabs>
          <w:tab w:leader="none" w:pos="3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78"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Dr. Raluca Dinu </w:t>
      </w:r>
      <w:r>
        <w:rPr>
          <w:rFonts w:ascii="Times New Roman" w:cs="Times New Roman" w:eastAsia="Times New Roman" w:hAnsi="Times New Roman"/>
          <w:sz w:val="18"/>
          <w:szCs w:val="18"/>
          <w:color w:val="auto"/>
        </w:rPr>
        <w:t>is our director. Dr. Dinu is the Chief Executive Officer, President, Secretary, serving in those roles since March 2024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9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Christine M. Marshall </w:t>
      </w:r>
      <w:r>
        <w:rPr>
          <w:rFonts w:ascii="Times New Roman" w:cs="Times New Roman" w:eastAsia="Times New Roman" w:hAnsi="Times New Roman"/>
          <w:sz w:val="18"/>
          <w:szCs w:val="18"/>
          <w:color w:val="auto"/>
        </w:rPr>
        <w:t>joined our company as Chief Financial Officer on June 30, 2025. Ms. Marshall is an accomplished finance leader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81"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w:t>
      </w:r>
    </w:p>
    <w:p>
      <w:pPr>
        <w:spacing w:after="0" w:line="6"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Ms. Marshall holds a Bachelor of Science in Commerce from Santa Clara University and is a Certified Public Accountant (inactive) with the State of California.</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Admiral (Ret.) David Ben-Bashat </w:t>
      </w:r>
      <w:r>
        <w:rPr>
          <w:rFonts w:ascii="Times New Roman" w:cs="Times New Roman" w:eastAsia="Times New Roman" w:hAnsi="Times New Roman"/>
          <w:sz w:val="18"/>
          <w:szCs w:val="18"/>
          <w:color w:val="auto"/>
        </w:rPr>
        <w:t>will serve as our independent director upon the completion of this offering. V. Admiral (Ret.) Ben-Bashat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Rear Admiral (Ret.) Omri Dagul </w:t>
      </w:r>
      <w:r>
        <w:rPr>
          <w:rFonts w:ascii="Times New Roman" w:cs="Times New Roman" w:eastAsia="Times New Roman" w:hAnsi="Times New Roman"/>
          <w:sz w:val="18"/>
          <w:szCs w:val="18"/>
          <w:color w:val="auto"/>
        </w:rPr>
        <w:t>will serve as our independent director upon the completion of this offering. Over several decades, R. Admiral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81"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720"/>
        <w:spacing w:after="0" w:line="281" w:lineRule="auto"/>
        <w:rPr>
          <w:sz w:val="20"/>
          <w:szCs w:val="20"/>
          <w:color w:val="auto"/>
        </w:rPr>
      </w:pPr>
      <w:r>
        <w:rPr>
          <w:rFonts w:ascii="Times New Roman" w:cs="Times New Roman" w:eastAsia="Times New Roman" w:hAnsi="Times New Roman"/>
          <w:sz w:val="18"/>
          <w:szCs w:val="18"/>
          <w:color w:val="auto"/>
        </w:rPr>
        <w:t>of Materiel Command. R. Admiral (Ret.) Omri holds a B.Sc. in Mechanical Engineering from the Technion, Haifa, Israel and a M.Sc. in Naval Architecture and Marine Engineering from the University of Michigan.</w:t>
      </w:r>
    </w:p>
    <w:p>
      <w:pPr>
        <w:spacing w:after="0" w:line="15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Raanan I. Horowitz </w:t>
      </w:r>
      <w:r>
        <w:rPr>
          <w:rFonts w:ascii="Times New Roman" w:cs="Times New Roman" w:eastAsia="Times New Roman" w:hAnsi="Times New Roman"/>
          <w:sz w:val="18"/>
          <w:szCs w:val="18"/>
          <w:color w:val="auto"/>
        </w:rPr>
        <w:t>will serve as our independent director upon the completion of this offering. Mr. Horowitz currently serves on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9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Ambassador Adrian Zuckerman </w:t>
      </w:r>
      <w:r>
        <w:rPr>
          <w:rFonts w:ascii="Times New Roman" w:cs="Times New Roman" w:eastAsia="Times New Roman" w:hAnsi="Times New Roman"/>
          <w:sz w:val="18"/>
          <w:szCs w:val="18"/>
          <w:color w:val="auto"/>
        </w:rPr>
        <w:t>will serve as our independent director upon the completion of this offering. Ambassador Zuckerman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81"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Luis Machuca </w:t>
      </w:r>
      <w:r>
        <w:rPr>
          <w:rFonts w:ascii="Times New Roman" w:cs="Times New Roman" w:eastAsia="Times New Roman" w:hAnsi="Times New Roman"/>
          <w:sz w:val="17"/>
          <w:szCs w:val="17"/>
          <w:color w:val="auto"/>
        </w:rPr>
        <w:t>will serve as our independent director upon the completion of this offering. He also serves as a director of UpHealth, Inc. (OTC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w:t>
      </w:r>
    </w:p>
    <w:p>
      <w:pPr>
        <w:spacing w:after="0" w:line="7" w:lineRule="exact"/>
        <w:rPr>
          <w:sz w:val="20"/>
          <w:szCs w:val="20"/>
          <w:color w:val="auto"/>
        </w:rPr>
      </w:pPr>
    </w:p>
    <w:p>
      <w:pPr>
        <w:ind w:left="120" w:right="100"/>
        <w:spacing w:after="0" w:line="251" w:lineRule="auto"/>
        <w:rPr>
          <w:sz w:val="20"/>
          <w:szCs w:val="20"/>
          <w:color w:val="auto"/>
        </w:rPr>
      </w:pPr>
      <w:r>
        <w:rPr>
          <w:rFonts w:ascii="Times New Roman" w:cs="Times New Roman" w:eastAsia="Times New Roman" w:hAnsi="Times New Roman"/>
          <w:sz w:val="18"/>
          <w:szCs w:val="18"/>
          <w:color w:val="auto"/>
        </w:rPr>
        <w:t>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Bryan Timm </w:t>
      </w:r>
      <w:r>
        <w:rPr>
          <w:rFonts w:ascii="Times New Roman" w:cs="Times New Roman" w:eastAsia="Times New Roman" w:hAnsi="Times New Roman"/>
          <w:sz w:val="18"/>
          <w:szCs w:val="18"/>
          <w:color w:val="auto"/>
        </w:rPr>
        <w:t>will serve as our independent director upon the completion of this offering. Mr. Timm currently serves as a Board Advisor for Pape’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8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James Greene </w:t>
      </w:r>
      <w:r>
        <w:rPr>
          <w:rFonts w:ascii="Times New Roman" w:cs="Times New Roman" w:eastAsia="Times New Roman" w:hAnsi="Times New Roman"/>
          <w:sz w:val="17"/>
          <w:szCs w:val="17"/>
          <w:color w:val="auto"/>
        </w:rPr>
        <w:t>will serve as our independent director upon completion of this offering. Mr. Greene served as a director of Umpqua Bank (Nasdaq:</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82"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Terms of Office and Election of Executive Officers and Directors</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8"/>
          <w:szCs w:val="18"/>
          <w:color w:val="auto"/>
        </w:rPr>
        <w:t>Our board of directors will be elected each year at our annual meeting of shareholders. We may not hold an annual meeting of shareholders until after we consummate our initial business combination (unless required by Nasdaq).</w:t>
      </w:r>
    </w:p>
    <w:p>
      <w:pPr>
        <w:spacing w:after="0" w:line="163"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Our executive officers are elected by the board of directors and serve at the discretion of the board of directors, rather than for specific terms of office. Our board of directors is authorized by our amended and restated memorandum and articles of association to appoint persons to serve as officers as it deems appropriate. Our executive officers may consist of a Chairman, a Chief Executive Officer, a President, a Chief Financial Officer, Vice Presidents, a Secretary, Assistant Secretaries, a Treasurer and such other offices as may be determined by the board of directors.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Nasdaq requires that a majority of our board must be composed of “independent directors,” which is defined generally as a person other than an executive officer or employee of our company or its subsidiaries or any other individual having a relationship, which, in the opinion of our company’s board of directors would interfere with the director’s exercise of independent judgment in carrying out the responsibilities of a director.</w:t>
      </w:r>
    </w:p>
    <w:p>
      <w:pPr>
        <w:spacing w:after="0" w:line="177"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Upon the effective date of the registration statement of which this prospectus forms a part, Mr. Horowitz, Ambassador Zuckerman, V. Admiral (Ret.) Ben-Bashat. Rear Admiral (Ret.) Dagul, Mr. Machuca and Mr. Timm will be our independent directors. Our independent directors may have regularly scheduled meetings at which only independent directors are present in certain circumstances. Any initial business combination must be approved by a majority of our independent directors. Any affiliated transactions will be on terms no less favorable to us than could be obtained from independent parties. Any affiliated transactions must be approved by a majority of our independent and disinterested directors.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Commencing on the date that our securities are first listed on Nasdaq through the earlier of consummation of our initial business combination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liquidation, we will pay GigManagement, LLC, an affiliate of our sponsor, a monthly fee of $30,000 per month for office space and general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administrative services until the consummation of an initial business combination. The Chief Financial Officer shall be entitled to payment of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$15,000 per month for services in such capacity, and sponsor and the officers and directors shall also be entitled to reimbursement from our company for</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their out-of-pocket expenses incurred and advisory fees shall be paid to the directors and advisors in connection with certain activities on our company’s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behalf. This arrangement is being agreed to by GigManagement, LLC, an affiliate of our Chairman of our board of directors, for our benefit and is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intended to provide such affiliate of our Chairman of our board of directors and Chief Executive Officer compensation in lieu of a salary. We believe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such fees are at least as favorable as we could have obtained from an unaffiliated third party for such services.</w:t>
      </w:r>
    </w:p>
    <w:p>
      <w:pPr>
        <w:spacing w:after="0" w:line="20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above and in this paragraph, no compensation will be paid to our sponsor, executive officers and directors, or any of their respective affiliates, prior to or in connection with the consummation of our initial business combination. Additionally, these individuals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independent directors will review on a quarterly basis all payments that were made to our sponsor, executive officers, directors or our or their affiliates.</w:t>
      </w:r>
    </w:p>
    <w:p>
      <w:pPr>
        <w:spacing w:after="0" w:line="186" w:lineRule="exact"/>
        <w:rPr>
          <w:sz w:val="20"/>
          <w:szCs w:val="20"/>
          <w:color w:val="auto"/>
        </w:rPr>
      </w:pPr>
    </w:p>
    <w:p>
      <w:pPr>
        <w:ind w:left="120" w:right="640" w:firstLine="440"/>
        <w:spacing w:after="0" w:line="281" w:lineRule="auto"/>
        <w:rPr>
          <w:sz w:val="20"/>
          <w:szCs w:val="20"/>
          <w:color w:val="auto"/>
        </w:rPr>
      </w:pPr>
      <w:r>
        <w:rPr>
          <w:rFonts w:ascii="Times New Roman" w:cs="Times New Roman" w:eastAsia="Times New Roman" w:hAnsi="Times New Roman"/>
          <w:sz w:val="18"/>
          <w:szCs w:val="18"/>
          <w:color w:val="auto"/>
        </w:rPr>
        <w:t>After the completion of our initial business combination, members of our management team who remain with us, may be paid consulting, management or other fees from the combined company with any and all</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81"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amounts being fully disclosed to shareholders, to the extent then known, in the tender offer materials or proxy solicitation materials furnished to our shareholders in connection with a proposed business combination. It is unlikely the amount of such compensation will be known at the time, as it will be up to the directors of the post-combination business to determine executive and director compensation. Any compensation to be paid to our officers will be determined, or recommenced, to the board of directors for determination, either by a committee constituted solely of independent directors or by a majority of the independent directors on our board of directors.</w:t>
      </w:r>
    </w:p>
    <w:p>
      <w:pPr>
        <w:spacing w:after="0" w:line="18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the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effective date of the Registration Statement of which this prospectus forms a part, our board of directors will have three standing committees: an audit committee; a compensation committee; and a nominating and corporate governance committee. Each of our audit committee, our compensation committee and our nominating and corporate governance committee will be composed solely of independent directors. Each committee will operate under a charter that will be approved by our board of directors and will have the composition and responsibilities described below. The charter of each committee will be available on our website following the closing of this offering.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an audit committee of the board of directors. Mr. Horowitz and Ambassador Zuckerman will serve as members of our audit committee. Mr. Timm will serve as the chairman of the audit committee. Under Nasdaq listing standards and applicable SEC rules, we are required to have three members of the audit committee, all of whom must be independent. Each of Mr. Timm, Mr. Horowitz and Ambassador Zuckerman are independent.</w:t>
      </w:r>
    </w:p>
    <w:p>
      <w:pPr>
        <w:spacing w:after="0" w:line="182" w:lineRule="exact"/>
        <w:rPr>
          <w:sz w:val="20"/>
          <w:szCs w:val="20"/>
          <w:color w:val="auto"/>
        </w:rPr>
      </w:pPr>
    </w:p>
    <w:p>
      <w:pPr>
        <w:ind w:left="120" w:right="720" w:firstLine="440"/>
        <w:spacing w:after="0" w:line="281" w:lineRule="auto"/>
        <w:rPr>
          <w:sz w:val="20"/>
          <w:szCs w:val="20"/>
          <w:color w:val="auto"/>
        </w:rPr>
      </w:pPr>
      <w:r>
        <w:rPr>
          <w:rFonts w:ascii="Times New Roman" w:cs="Times New Roman" w:eastAsia="Times New Roman" w:hAnsi="Times New Roman"/>
          <w:sz w:val="18"/>
          <w:szCs w:val="18"/>
          <w:color w:val="auto"/>
        </w:rPr>
        <w:t>Each member of the audit committee is financially literate and our board of directors will determine that Mr. Timm qualifies as an “audit committee financial expert” as defined in applicable SEC rules.</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adopt an audit committee charter, which will detail the purpose and principal functions of the audit committee, including:</w:t>
      </w:r>
    </w:p>
    <w:p>
      <w:pPr>
        <w:spacing w:after="0" w:line="130" w:lineRule="exact"/>
        <w:rPr>
          <w:sz w:val="20"/>
          <w:szCs w:val="20"/>
          <w:color w:val="auto"/>
        </w:rPr>
      </w:pPr>
    </w:p>
    <w:p>
      <w:pPr>
        <w:ind w:left="1100" w:right="20" w:hanging="438"/>
        <w:spacing w:after="0" w:line="258"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firms, and (5) the qualifications and independence of the company’s independent registered public accounting firms;</w:t>
      </w:r>
    </w:p>
    <w:p>
      <w:pPr>
        <w:spacing w:after="0" w:line="87" w:lineRule="exact"/>
        <w:rPr>
          <w:rFonts w:ascii="Times New Roman" w:cs="Times New Roman" w:eastAsia="Times New Roman" w:hAnsi="Times New Roman"/>
          <w:sz w:val="18"/>
          <w:szCs w:val="18"/>
          <w:color w:val="auto"/>
        </w:rPr>
      </w:pPr>
    </w:p>
    <w:p>
      <w:pPr>
        <w:ind w:left="1100" w:right="280" w:hanging="438"/>
        <w:spacing w:after="0" w:line="281"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each of the internal and independent registered public accounting firms the overall scope and plans for audits, including authority and organizational reporting lines and adequacy of staffing and compensation;</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20" w:hanging="438"/>
        <w:spacing w:after="0" w:line="265"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spacing w:after="0" w:line="82" w:lineRule="exact"/>
        <w:rPr>
          <w:rFonts w:ascii="Times New Roman" w:cs="Times New Roman" w:eastAsia="Times New Roman" w:hAnsi="Times New Roman"/>
          <w:sz w:val="18"/>
          <w:szCs w:val="18"/>
          <w:color w:val="auto"/>
        </w:rPr>
      </w:pPr>
    </w:p>
    <w:p>
      <w:pPr>
        <w:ind w:left="1100" w:right="600" w:hanging="438"/>
        <w:spacing w:after="0" w:line="281"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internal auditors and the independent registered public accounting firm the company’s financial and critical accounting practices, and policies relating to risk assessment and management;</w:t>
      </w:r>
    </w:p>
    <w:p>
      <w:pPr>
        <w:spacing w:after="0" w:line="68" w:lineRule="exact"/>
        <w:rPr>
          <w:rFonts w:ascii="Times New Roman" w:cs="Times New Roman" w:eastAsia="Times New Roman" w:hAnsi="Times New Roman"/>
          <w:sz w:val="18"/>
          <w:szCs w:val="18"/>
          <w:color w:val="auto"/>
        </w:rPr>
      </w:pPr>
    </w:p>
    <w:p>
      <w:pPr>
        <w:ind w:left="1100" w:right="120" w:hanging="438"/>
        <w:spacing w:after="0" w:line="258"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and reviewing reports of the independent registered public accounting firm and discussing 1) all critical accounting policies and practices to be used in the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87" w:lineRule="exact"/>
        <w:rPr>
          <w:rFonts w:ascii="Times New Roman" w:cs="Times New Roman" w:eastAsia="Times New Roman" w:hAnsi="Times New Roman"/>
          <w:sz w:val="18"/>
          <w:szCs w:val="18"/>
          <w:color w:val="auto"/>
        </w:rPr>
      </w:pPr>
    </w:p>
    <w:p>
      <w:pPr>
        <w:ind w:left="1100" w:hanging="438"/>
        <w:spacing w:after="0" w:line="265"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annual and quarterly financial statements and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the company prior to the filing of the company’s Annual Report on Form 10-K and Quarterly Reports on Form 10-Q;</w:t>
      </w:r>
    </w:p>
    <w:p>
      <w:pPr>
        <w:spacing w:after="0" w:line="82" w:lineRule="exact"/>
        <w:rPr>
          <w:rFonts w:ascii="Times New Roman" w:cs="Times New Roman" w:eastAsia="Times New Roman" w:hAnsi="Times New Roman"/>
          <w:sz w:val="18"/>
          <w:szCs w:val="18"/>
          <w:color w:val="auto"/>
        </w:rPr>
      </w:pPr>
    </w:p>
    <w:p>
      <w:pPr>
        <w:ind w:left="1100" w:right="640" w:hanging="438"/>
        <w:spacing w:after="0" w:line="281"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or establishing, standards for the type of information and the type of presentation of such information to be included in, earnings press releases and earnings guidance provided to analysts and rating agencies;</w:t>
      </w:r>
    </w:p>
    <w:p>
      <w:pPr>
        <w:spacing w:after="0" w:line="68" w:lineRule="exact"/>
        <w:rPr>
          <w:rFonts w:ascii="Times New Roman" w:cs="Times New Roman" w:eastAsia="Times New Roman" w:hAnsi="Times New Roman"/>
          <w:sz w:val="18"/>
          <w:szCs w:val="18"/>
          <w:color w:val="auto"/>
        </w:rPr>
      </w:pPr>
    </w:p>
    <w:p>
      <w:pPr>
        <w:ind w:left="1100" w:right="440" w:hanging="438"/>
        <w:spacing w:after="0" w:line="312" w:lineRule="auto"/>
        <w:tabs>
          <w:tab w:leader="none" w:pos="11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management and the independent registered public accounting firm any changes in the company’s critical accounting principles and the effects of alternative GAAP methods, off-balance sheet structures and regulatory and accounting initiatives;</w:t>
      </w:r>
    </w:p>
    <w:p>
      <w:pPr>
        <w:spacing w:after="0" w:line="44" w:lineRule="exact"/>
        <w:rPr>
          <w:rFonts w:ascii="Times New Roman" w:cs="Times New Roman" w:eastAsia="Times New Roman" w:hAnsi="Times New Roman"/>
          <w:sz w:val="17"/>
          <w:szCs w:val="17"/>
          <w:color w:val="auto"/>
        </w:rPr>
      </w:pPr>
    </w:p>
    <w:p>
      <w:pPr>
        <w:ind w:left="1100" w:hanging="438"/>
        <w:spacing w:after="0"/>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pending legal proceedings involving the company and other contingent liabilities;</w:t>
      </w:r>
    </w:p>
    <w:p>
      <w:pPr>
        <w:spacing w:after="0" w:line="130" w:lineRule="exact"/>
        <w:rPr>
          <w:rFonts w:ascii="Times New Roman" w:cs="Times New Roman" w:eastAsia="Times New Roman" w:hAnsi="Times New Roman"/>
          <w:sz w:val="18"/>
          <w:szCs w:val="18"/>
          <w:color w:val="auto"/>
        </w:rPr>
      </w:pPr>
    </w:p>
    <w:p>
      <w:pPr>
        <w:ind w:left="1100" w:right="160" w:hanging="438"/>
        <w:spacing w:after="0" w:line="281"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periodically with the Chief Executive Officer, Chief Financial Officer, the senior internal auditing executive and the independent registered public accounting firm in separate executive sessions to discuss results of examinations;</w:t>
      </w:r>
    </w:p>
    <w:p>
      <w:pPr>
        <w:spacing w:after="0" w:line="68" w:lineRule="exact"/>
        <w:rPr>
          <w:rFonts w:ascii="Times New Roman" w:cs="Times New Roman" w:eastAsia="Times New Roman" w:hAnsi="Times New Roman"/>
          <w:sz w:val="18"/>
          <w:szCs w:val="18"/>
          <w:color w:val="auto"/>
        </w:rPr>
      </w:pPr>
    </w:p>
    <w:p>
      <w:pPr>
        <w:ind w:left="1100" w:right="340" w:hanging="438"/>
        <w:spacing w:after="0" w:line="281"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transactions between the company and related parties or affiliates of the officers of the company requiring disclosure under Item 404 of Regulation S-K prior to the company entering into such transactions;</w:t>
      </w:r>
    </w:p>
    <w:p>
      <w:pPr>
        <w:spacing w:after="0" w:line="68" w:lineRule="exact"/>
        <w:rPr>
          <w:rFonts w:ascii="Times New Roman" w:cs="Times New Roman" w:eastAsia="Times New Roman" w:hAnsi="Times New Roman"/>
          <w:sz w:val="18"/>
          <w:szCs w:val="18"/>
          <w:color w:val="auto"/>
        </w:rPr>
      </w:pPr>
    </w:p>
    <w:p>
      <w:pPr>
        <w:ind w:left="1100" w:right="160" w:hanging="438"/>
        <w:spacing w:after="0" w:line="265"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spacing w:after="0" w:line="82" w:lineRule="exact"/>
        <w:rPr>
          <w:rFonts w:ascii="Times New Roman" w:cs="Times New Roman" w:eastAsia="Times New Roman" w:hAnsi="Times New Roman"/>
          <w:sz w:val="18"/>
          <w:szCs w:val="18"/>
          <w:color w:val="auto"/>
        </w:rPr>
      </w:pPr>
    </w:p>
    <w:p>
      <w:pPr>
        <w:ind w:left="1100" w:right="120" w:hanging="438"/>
        <w:spacing w:after="0" w:line="258" w:lineRule="auto"/>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w:t>
      </w:r>
    </w:p>
    <w:p>
      <w:pPr>
        <w:spacing w:after="0" w:line="87"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for the hiring of employees and former employees of the independent registered public accounting firm.</w:t>
      </w: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compensation committee of the board of directors. The members of our compensation committee will be [  ]</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8"/>
          <w:szCs w:val="18"/>
          <w:color w:val="auto"/>
        </w:rPr>
        <w:t>and Ambassador Zuckerman, and Mr. Horowitz will serve as the chairman of the compensation committee. We will adopt a compensation committee charter, which will detail the purpose and responsibility of the compensation committee, including:</w:t>
      </w:r>
    </w:p>
    <w:p>
      <w:pPr>
        <w:spacing w:after="0" w:line="68" w:lineRule="exact"/>
        <w:rPr>
          <w:sz w:val="20"/>
          <w:szCs w:val="20"/>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Chief Executive Officer and executive management;</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developing and evaluating potential candidates for executive positions (including Chief Executive Officer);</w:t>
      </w:r>
    </w:p>
    <w:p>
      <w:pPr>
        <w:spacing w:after="0" w:line="130" w:lineRule="exact"/>
        <w:rPr>
          <w:rFonts w:ascii="Times New Roman" w:cs="Times New Roman" w:eastAsia="Times New Roman" w:hAnsi="Times New Roman"/>
          <w:sz w:val="18"/>
          <w:szCs w:val="18"/>
          <w:color w:val="auto"/>
        </w:rPr>
      </w:pPr>
    </w:p>
    <w:p>
      <w:pPr>
        <w:ind w:left="1100" w:right="20" w:hanging="438"/>
        <w:spacing w:after="0" w:line="288" w:lineRule="auto"/>
        <w:tabs>
          <w:tab w:leader="none" w:pos="11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goals and objectives relevant to the Chief Executive Officer and other executive officer compensation, evaluating the Chief Executive Officer’s and other executive officers’ performance in light of these corporate goals and objectives, and setting the Chief Executive Officer and other executive officer compensation levels consistent with its evaluation and the company philosophy;</w:t>
      </w:r>
    </w:p>
    <w:p>
      <w:pPr>
        <w:spacing w:after="0" w:line="64" w:lineRule="exact"/>
        <w:rPr>
          <w:rFonts w:ascii="Times New Roman" w:cs="Times New Roman" w:eastAsia="Times New Roman" w:hAnsi="Times New Roman"/>
          <w:sz w:val="17"/>
          <w:szCs w:val="17"/>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salaries, bonus and other compensation for all executive officers;</w:t>
      </w:r>
    </w:p>
    <w:p>
      <w:pPr>
        <w:spacing w:after="0" w:line="130"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packages for new corporate officers and termination packages for corporate officers as requested by management;</w:t>
      </w:r>
    </w:p>
    <w:p>
      <w:pPr>
        <w:spacing w:after="0" w:line="68" w:lineRule="exact"/>
        <w:rPr>
          <w:rFonts w:ascii="Times New Roman" w:cs="Times New Roman" w:eastAsia="Times New Roman" w:hAnsi="Times New Roman"/>
          <w:sz w:val="18"/>
          <w:szCs w:val="18"/>
          <w:color w:val="auto"/>
        </w:rPr>
      </w:pPr>
    </w:p>
    <w:p>
      <w:pPr>
        <w:ind w:left="1100" w:right="160" w:hanging="438"/>
        <w:spacing w:after="0" w:line="281" w:lineRule="auto"/>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and senior officers plans for officer development and corporate succession plans for the Chief Executive Officer and other senior officers;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concerning executive compensation policies and plans;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adoption of or changes to the compensation of the Company’s directors;</w:t>
      </w:r>
    </w:p>
    <w:p>
      <w:pPr>
        <w:spacing w:after="0" w:line="130" w:lineRule="exact"/>
        <w:rPr>
          <w:rFonts w:ascii="Times New Roman" w:cs="Times New Roman" w:eastAsia="Times New Roman" w:hAnsi="Times New Roman"/>
          <w:sz w:val="18"/>
          <w:szCs w:val="18"/>
          <w:color w:val="auto"/>
        </w:rPr>
      </w:pPr>
    </w:p>
    <w:p>
      <w:pPr>
        <w:ind w:left="1100" w:right="380" w:hanging="438"/>
        <w:spacing w:after="0" w:line="281" w:lineRule="auto"/>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awards made under any executive officer bonus plan, and providing an appropriate report to the board of directors;</w:t>
      </w:r>
    </w:p>
    <w:p>
      <w:pPr>
        <w:spacing w:after="0" w:line="68" w:lineRule="exact"/>
        <w:rPr>
          <w:rFonts w:ascii="Times New Roman" w:cs="Times New Roman" w:eastAsia="Times New Roman" w:hAnsi="Times New Roman"/>
          <w:sz w:val="18"/>
          <w:szCs w:val="18"/>
          <w:color w:val="auto"/>
        </w:rPr>
      </w:pPr>
    </w:p>
    <w:p>
      <w:pPr>
        <w:ind w:left="1100" w:right="80" w:hanging="438"/>
        <w:spacing w:after="0" w:line="265" w:lineRule="auto"/>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concerning long-term incentive compensation plans, including the use of share options and other equity-based plans, and, except as otherwise delegated by the board of directors, acting as the “Plan Administrator” for equity-based and employee benefit plans;</w:t>
      </w:r>
    </w:p>
    <w:p>
      <w:pPr>
        <w:spacing w:after="0" w:line="82" w:lineRule="exact"/>
        <w:rPr>
          <w:rFonts w:ascii="Times New Roman" w:cs="Times New Roman" w:eastAsia="Times New Roman" w:hAnsi="Times New Roman"/>
          <w:sz w:val="18"/>
          <w:szCs w:val="18"/>
          <w:color w:val="auto"/>
        </w:rPr>
      </w:pPr>
    </w:p>
    <w:p>
      <w:pPr>
        <w:ind w:left="1100" w:right="440" w:hanging="438"/>
        <w:spacing w:after="0" w:line="281" w:lineRule="auto"/>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the Company’s executive officers and employees;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 reports from management on matters relating to the Company’s personnel appointments and practices;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the Company’s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100" w:right="480" w:hanging="438"/>
        <w:spacing w:after="0" w:line="281" w:lineRule="auto"/>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an annual Report of the Compensation Committee on Executive Compensation for the Company’s annual proxy statement in compliance with applicable SEC rules and regulations;</w:t>
      </w:r>
    </w:p>
    <w:p>
      <w:pPr>
        <w:spacing w:after="0" w:line="68" w:lineRule="exact"/>
        <w:rPr>
          <w:rFonts w:ascii="Times New Roman" w:cs="Times New Roman" w:eastAsia="Times New Roman" w:hAnsi="Times New Roman"/>
          <w:sz w:val="18"/>
          <w:szCs w:val="18"/>
          <w:color w:val="auto"/>
        </w:rPr>
      </w:pPr>
    </w:p>
    <w:p>
      <w:pPr>
        <w:ind w:left="1100" w:right="220" w:hanging="438"/>
        <w:spacing w:after="0" w:line="281" w:lineRule="auto"/>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committee’s performance and the committee’s charter and recommending to the board of directors any proposed changes to the charter or the committee; and</w:t>
      </w:r>
    </w:p>
    <w:p>
      <w:pPr>
        <w:spacing w:after="0" w:line="68" w:lineRule="exact"/>
        <w:rPr>
          <w:rFonts w:ascii="Times New Roman" w:cs="Times New Roman" w:eastAsia="Times New Roman" w:hAnsi="Times New Roman"/>
          <w:sz w:val="18"/>
          <w:szCs w:val="18"/>
          <w:color w:val="auto"/>
        </w:rPr>
      </w:pPr>
    </w:p>
    <w:p>
      <w:pPr>
        <w:ind w:left="1100" w:right="300" w:hanging="438"/>
        <w:spacing w:after="0" w:line="281" w:lineRule="auto"/>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all further actions and discharge all further responsibilities imposed upon the Committee from time to time by the board of directors, the federal securities laws or the rules and regulations of the SEC.</w:t>
      </w:r>
    </w:p>
    <w:p>
      <w:pPr>
        <w:spacing w:after="0" w:line="163"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81"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120" w:right="160" w:firstLine="440"/>
        <w:spacing w:after="0" w:line="280" w:lineRule="auto"/>
        <w:rPr>
          <w:sz w:val="20"/>
          <w:szCs w:val="20"/>
          <w:color w:val="auto"/>
        </w:rPr>
      </w:pPr>
      <w:r>
        <w:rPr>
          <w:rFonts w:ascii="Times New Roman" w:cs="Times New Roman" w:eastAsia="Times New Roman" w:hAnsi="Times New Roman"/>
          <w:sz w:val="17"/>
          <w:szCs w:val="17"/>
          <w:color w:val="auto"/>
        </w:rPr>
        <w:t>Upon the effectiveness of the registration statement of which this prospectus forms a part, we will establish a nominating and corporate governance committee of the board of directors. The members of our nominating and corporate governance will be [  ] and Mr. Horowitz, and Ambassador Zuckerman will serve as the chairman of the nominating and corporate governance committee. We will adopt a nominating and corporate governance committee charter, which will detail the purpose and responsibilities of the nominating and corporate governance committee, including:</w:t>
      </w:r>
    </w:p>
    <w:p>
      <w:pPr>
        <w:spacing w:after="0" w:line="72" w:lineRule="exact"/>
        <w:rPr>
          <w:sz w:val="20"/>
          <w:szCs w:val="20"/>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the criteria for appointment as a director;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recruiting and recommending candidates to fill new positions on the board of directors;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candidates recommended by shareholders;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appropriate and necessary inquiries into the backgrounds and qualifications of possible candidates;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 nominees for approval by the board of directors and election by the shareholders at the next annual meeting.</w:t>
      </w:r>
    </w:p>
    <w:p>
      <w:pPr>
        <w:spacing w:after="0" w:line="225" w:lineRule="exact"/>
        <w:rPr>
          <w:sz w:val="20"/>
          <w:szCs w:val="20"/>
          <w:color w:val="auto"/>
        </w:rPr>
      </w:pPr>
    </w:p>
    <w:p>
      <w:pPr>
        <w:jc w:val="both"/>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the effectiveness of the registration statement of which this prospectus forms a part, we will adopt a code of conduct and ethics applicable to our directors, officers and employees in accordance with applicable federal securities laws. We will file a copy of our form of Code of Business Conduct and our board committee charters as exhibits to the registration statement. You will be able to review these documents by accessing our public filings at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the Code of Business Conduct will be provided without charge upon request from us. We intend to disclose any amendments to or waivers of certain provisions of our Code of Business Conduct in a Current Report on Form 8-K.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Additional Information</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w:t>
      </w:r>
      <w:r>
        <w:rPr>
          <w:rFonts w:ascii="Times New Roman" w:cs="Times New Roman" w:eastAsia="Times New Roman" w:hAnsi="Times New Roman"/>
          <w:sz w:val="18"/>
          <w:szCs w:val="18"/>
          <w:i w:val="1"/>
          <w:iCs w:val="1"/>
          <w:color w:val="auto"/>
        </w:rPr>
        <w:t>Proposed Business—Initial Business Combination</w:t>
      </w:r>
      <w:r>
        <w:rPr>
          <w:rFonts w:ascii="Times New Roman" w:cs="Times New Roman" w:eastAsia="Times New Roman" w:hAnsi="Times New Roman"/>
          <w:sz w:val="18"/>
          <w:szCs w:val="18"/>
          <w:color w:val="auto"/>
        </w:rPr>
        <w:t>”). These conflicts may not be resolved in our favor and a potential target business may be presented to another entity prior to its presentation to us.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81"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do not believe, however, that the fiduciary, contractual or other obligations or duties of our officers or directors will materially affect our ability to complete our initial business combination. Our amended and restated memorandum and articles of association provide that, to the fullest extent permitted by law: (i) no individual serving as a director or an officer, among other persons,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We do not believe, however, that the fiduciary duties or contractual obligations of our officers or directors will materially affect our ability to complete our initial business combination.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sponsor, officers or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Any such companies, businesses or investments may present additional conflicts of interest in pursuing an initial business combination target. As the number of special purpose acquisition companies increases, the competition for available targets with attractive business models and strong financial presence intensifies, which could cause targets companies to demand improved acquisition terms. This could affect our ability to find and consummate an initial business combination or negotiate favorable to us provisions.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b w:val="1"/>
          <w:bCs w:val="1"/>
          <w:color w:val="auto"/>
        </w:rPr>
        <w:t>See “</w:t>
      </w:r>
      <w:r>
        <w:rPr>
          <w:rFonts w:ascii="Times New Roman" w:cs="Times New Roman" w:eastAsia="Times New Roman" w:hAnsi="Times New Roman"/>
          <w:sz w:val="17"/>
          <w:szCs w:val="17"/>
          <w:b w:val="1"/>
          <w:bCs w:val="1"/>
          <w:i w:val="1"/>
          <w:iCs w:val="1"/>
          <w:color w:val="auto"/>
        </w:rPr>
        <w:t>Risk Factors — We may engage in our initial business combination with one or more target businesses that have relationships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entities that may be affiliated with our sponsor, executive officers or directors, which may raise potential conflicts of interest.”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70" w:lineRule="exact"/>
        <w:rPr>
          <w:sz w:val="20"/>
          <w:szCs w:val="20"/>
          <w:color w:val="auto"/>
        </w:rPr>
      </w:pPr>
    </w:p>
    <w:p>
      <w:pPr>
        <w:ind w:left="120" w:right="100" w:firstLine="440"/>
        <w:spacing w:after="0" w:line="260" w:lineRule="auto"/>
        <w:rPr>
          <w:sz w:val="20"/>
          <w:szCs w:val="20"/>
          <w:color w:val="auto"/>
        </w:rPr>
      </w:pPr>
      <w:r>
        <w:rPr>
          <w:rFonts w:ascii="Times New Roman" w:cs="Times New Roman" w:eastAsia="Times New Roman" w:hAnsi="Times New Roman"/>
          <w:sz w:val="18"/>
          <w:szCs w:val="18"/>
          <w:color w:val="auto"/>
        </w:rPr>
        <w:t>Our executive officers and our directors may have interests that differ from you in connection with the business combination, including the fact that they may lose their entire investment in us if our initial 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 consummate a business combination has been extended, the founder shares, private investor shares and the private placement units will expire worthless, which could create an incentive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186"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In addition to the above, our officers and directors are not required to commit any specified amount of time to our affairs, and, accordingly, may have conflicts of interest in allocating management time among various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82"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784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60"/>
        <w:spacing w:after="0" w:line="291" w:lineRule="auto"/>
        <w:rPr>
          <w:sz w:val="20"/>
          <w:szCs w:val="20"/>
          <w:color w:val="auto"/>
        </w:rPr>
      </w:pPr>
      <w:r>
        <w:rPr>
          <w:rFonts w:ascii="Times New Roman" w:cs="Times New Roman" w:eastAsia="Times New Roman" w:hAnsi="Times New Roman"/>
          <w:sz w:val="17"/>
          <w:szCs w:val="17"/>
          <w:color w:val="auto"/>
        </w:rPr>
        <w:t xml:space="preserve">business activities, including selecting a business combination target and monitoring the related due diligence. </w:t>
      </w:r>
      <w:r>
        <w:rPr>
          <w:rFonts w:ascii="Times New Roman" w:cs="Times New Roman" w:eastAsia="Times New Roman" w:hAnsi="Times New Roman"/>
          <w:sz w:val="17"/>
          <w:szCs w:val="17"/>
          <w:b w:val="1"/>
          <w:bCs w:val="1"/>
          <w:color w:val="auto"/>
        </w:rPr>
        <w:t>See “</w:t>
      </w:r>
      <w:r>
        <w:rPr>
          <w:rFonts w:ascii="Times New Roman" w:cs="Times New Roman" w:eastAsia="Times New Roman" w:hAnsi="Times New Roman"/>
          <w:sz w:val="17"/>
          <w:szCs w:val="17"/>
          <w:b w:val="1"/>
          <w:bCs w:val="1"/>
          <w:i w:val="1"/>
          <w:iCs w:val="1"/>
          <w:color w:val="auto"/>
        </w:rPr>
        <w:t>Risk Factors — Our officers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56" w:lineRule="exact"/>
        <w:rPr>
          <w:sz w:val="20"/>
          <w:szCs w:val="20"/>
          <w:color w:val="auto"/>
        </w:rPr>
      </w:pPr>
    </w:p>
    <w:p>
      <w:pPr>
        <w:ind w:left="300" w:right="40" w:firstLine="425"/>
        <w:spacing w:after="0" w:line="255" w:lineRule="auto"/>
        <w:rPr>
          <w:sz w:val="20"/>
          <w:szCs w:val="20"/>
          <w:color w:val="auto"/>
        </w:rPr>
      </w:pPr>
      <w:r>
        <w:rPr>
          <w:rFonts w:ascii="Times New Roman" w:cs="Times New Roman" w:eastAsia="Times New Roman" w:hAnsi="Times New Roman"/>
          <w:sz w:val="18"/>
          <w:szCs w:val="18"/>
          <w:color w:val="auto"/>
        </w:rPr>
        <w:t>Additionally, our sponsor and executive officers and directors have agreed to waive their redemption rights with respect to any founder shares, private placement units and any public shares held by them in connection with the consummation of our initial business combination. Further, our sponsor and executive officers and directors have agreed to waive their redemption rights with respect to any founder shares and private placement units held by them if we are unable to complete our initial business combination within 24 months from the closing of this offering or by such earlier liquidation date as our board of directors may approve. If we do not complete our initial business combination within the completion window, the proceeds of the sale of the private placement units held in the trust account will be used to fund the redemption of our public shares, and the rights may expire worthless.</w:t>
      </w:r>
    </w:p>
    <w:p>
      <w:pPr>
        <w:spacing w:after="0" w:line="187" w:lineRule="exact"/>
        <w:rPr>
          <w:sz w:val="20"/>
          <w:szCs w:val="20"/>
          <w:color w:val="auto"/>
        </w:rPr>
      </w:pPr>
    </w:p>
    <w:p>
      <w:pPr>
        <w:ind w:left="300" w:firstLine="425"/>
        <w:spacing w:after="0" w:line="253" w:lineRule="auto"/>
        <w:rPr>
          <w:sz w:val="20"/>
          <w:szCs w:val="20"/>
          <w:color w:val="auto"/>
        </w:rPr>
      </w:pPr>
      <w:r>
        <w:rPr>
          <w:rFonts w:ascii="Times New Roman" w:cs="Times New Roman" w:eastAsia="Times New Roman" w:hAnsi="Times New Roman"/>
          <w:sz w:val="18"/>
          <w:szCs w:val="18"/>
          <w:color w:val="auto"/>
        </w:rPr>
        <w:t>With certain limited exceptions, the founder shares will not be transferable, assignable or salable by our insiders or its permitted transferees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With certain limited exceptions, the private placement units (including the securities comprising such units) will not be transferable, assignable or salable by our sponsor or its permitted transferees until 30 days after the completion of our initial business combination. Since our sponsor and executive officers and directors may directly or indirectly own ordinary shares and rights following this offering, our executive officers and directors may have a conflict of interest in determining whether a particular target business is an appropriate business with which to effectuate our initial business combination because of their financial interest in completing an initial business combination within the completion window or by such earlier liquidation date as our board of directors may approve.</w:t>
      </w:r>
    </w:p>
    <w:p>
      <w:pPr>
        <w:spacing w:after="0" w:line="186" w:lineRule="exact"/>
        <w:rPr>
          <w:sz w:val="20"/>
          <w:szCs w:val="20"/>
          <w:color w:val="auto"/>
        </w:rPr>
      </w:pPr>
    </w:p>
    <w:p>
      <w:pPr>
        <w:ind w:left="300" w:right="120" w:firstLine="425"/>
        <w:spacing w:after="0" w:line="258" w:lineRule="auto"/>
        <w:rPr>
          <w:sz w:val="20"/>
          <w:szCs w:val="20"/>
          <w:color w:val="auto"/>
        </w:rPr>
      </w:pPr>
      <w:r>
        <w:rPr>
          <w:rFonts w:ascii="Times New Roman" w:cs="Times New Roman" w:eastAsia="Times New Roman" w:hAnsi="Times New Roman"/>
          <w:sz w:val="18"/>
          <w:szCs w:val="18"/>
          <w:color w:val="auto"/>
        </w:rPr>
        <w:t>Our insiders, officers, advisors and directors, or any of their respective affiliates, will be reimbursed for any out-of-pocket expenses incurred in connection with activities on our behalf such as identifying and investigation potential target businesses, performing business due diligence on suitable target businesses and business combinations. There is no limit on the amount of out-of-pocket expenses reimbursable by us provided, however, to the extent such expenses exceed the available proceeds not deposited in the trust account, such expenses would not be reimbursed by us unless we consummate an initial business combination.</w:t>
      </w:r>
    </w:p>
    <w:p>
      <w:pPr>
        <w:spacing w:after="0" w:line="182" w:lineRule="exact"/>
        <w:rPr>
          <w:sz w:val="20"/>
          <w:szCs w:val="20"/>
          <w:color w:val="auto"/>
        </w:rPr>
      </w:pPr>
    </w:p>
    <w:p>
      <w:pPr>
        <w:jc w:val="both"/>
        <w:ind w:left="300" w:right="260" w:firstLine="425"/>
        <w:spacing w:after="0" w:line="288" w:lineRule="auto"/>
        <w:rPr>
          <w:sz w:val="20"/>
          <w:szCs w:val="20"/>
          <w:color w:val="auto"/>
        </w:rPr>
      </w:pPr>
      <w:r>
        <w:rPr>
          <w:rFonts w:ascii="Times New Roman" w:cs="Times New Roman" w:eastAsia="Times New Roman" w:hAnsi="Times New Roman"/>
          <w:sz w:val="17"/>
          <w:szCs w:val="17"/>
          <w:color w:val="auto"/>
        </w:rPr>
        <w:t>In the event our sponsor or members of our management team provide loans to us to finance transaction costs in connection with an initial business combination, such persons may have a conflict of interest in determining whether a particular target business is an appropriate business with which to effectuate our initial business combination as such loans may not be repaid unless we consummate such business combination.</w:t>
      </w:r>
    </w:p>
    <w:p>
      <w:pPr>
        <w:spacing w:after="0" w:line="159" w:lineRule="exact"/>
        <w:rPr>
          <w:sz w:val="20"/>
          <w:szCs w:val="20"/>
          <w:color w:val="auto"/>
        </w:rPr>
      </w:pPr>
    </w:p>
    <w:p>
      <w:pPr>
        <w:ind w:left="300" w:right="200" w:firstLine="425"/>
        <w:spacing w:after="0" w:line="260" w:lineRule="auto"/>
        <w:rPr>
          <w:sz w:val="20"/>
          <w:szCs w:val="20"/>
          <w:color w:val="auto"/>
        </w:rPr>
      </w:pPr>
      <w:r>
        <w:rPr>
          <w:rFonts w:ascii="Times New Roman" w:cs="Times New Roman" w:eastAsia="Times New Roman" w:hAnsi="Times New Roman"/>
          <w:sz w:val="18"/>
          <w:szCs w:val="18"/>
          <w:color w:val="auto"/>
        </w:rPr>
        <w:t>Similarly, if we agree to pay our sponsor or a member of our management team a finder’s fee, advisory fee, consulting fee or success fee in order to effectuate the completion of our initial business combination, such persons may have a conflict of interest in determining whether a particular target business is an appropriate business with which to effectuate our initial business combination as any such fee may not be paid unless we consummate such business combination.</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940"/>
          </w:cols>
          <w:pgMar w:left="320" w:top="481" w:right="6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117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1350" cy="6117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firstLine="425"/>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accordingly, such affiliated person(s) may have a conflict of interest in determining whether a particular target business is an appropriate business with which to effectuate our initial business combination as such affiliated person(s) would have interests different from our public shareholders and would likely not receive any financial benefit unless we consummated such business combination. In the event we seek to complete our initial business combination with a target business that is affiliated (as defined in our amended and restated memorandum and articles of association) with our sponsor (including its members), officers or directors, we, or a committee of independent directors, will obtain an opinion from an independent investment banking firm or another independent entity that commonly renders valuation opinions, stating that the consideration to be paid by us in such an initial business combination is fair to our company from a financial point of view. We are not required to obtain such an opinion in any other context.</w:t>
      </w:r>
    </w:p>
    <w:p>
      <w:pPr>
        <w:spacing w:after="0" w:line="191" w:lineRule="exact"/>
        <w:rPr>
          <w:sz w:val="20"/>
          <w:szCs w:val="20"/>
          <w:color w:val="auto"/>
        </w:rPr>
      </w:pPr>
    </w:p>
    <w:p>
      <w:pPr>
        <w:ind w:left="300" w:right="900" w:firstLine="425"/>
        <w:spacing w:after="0" w:line="281"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5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24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91"/>
        </w:trPr>
        <w:tc>
          <w:tcPr>
            <w:tcW w:w="180" w:type="dxa"/>
            <w:vAlign w:val="bottom"/>
          </w:tcPr>
          <w:p>
            <w:pPr>
              <w:spacing w:after="0"/>
              <w:rPr>
                <w:sz w:val="16"/>
                <w:szCs w:val="16"/>
                <w:color w:val="auto"/>
              </w:rPr>
            </w:pPr>
          </w:p>
        </w:tc>
        <w:tc>
          <w:tcPr>
            <w:tcW w:w="29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Dr. Avi S. Katz</w:t>
            </w:r>
          </w:p>
        </w:tc>
        <w:tc>
          <w:tcPr>
            <w:tcW w:w="200" w:type="dxa"/>
            <w:vAlign w:val="bottom"/>
          </w:tcPr>
          <w:p>
            <w:pPr>
              <w:spacing w:after="0"/>
              <w:rPr>
                <w:sz w:val="16"/>
                <w:szCs w:val="16"/>
                <w:color w:val="auto"/>
              </w:rPr>
            </w:pPr>
          </w:p>
        </w:tc>
        <w:tc>
          <w:tcPr>
            <w:tcW w:w="2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Gig4L, LLC</w:t>
            </w:r>
          </w:p>
        </w:tc>
        <w:tc>
          <w:tcPr>
            <w:tcW w:w="200" w:type="dxa"/>
            <w:vAlign w:val="bottom"/>
          </w:tcPr>
          <w:p>
            <w:pPr>
              <w:spacing w:after="0"/>
              <w:rPr>
                <w:sz w:val="16"/>
                <w:szCs w:val="16"/>
                <w:color w:val="auto"/>
              </w:rPr>
            </w:pPr>
          </w:p>
        </w:tc>
        <w:tc>
          <w:tcPr>
            <w:tcW w:w="2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Consulting and Investment</w:t>
            </w:r>
          </w:p>
        </w:tc>
        <w:tc>
          <w:tcPr>
            <w:tcW w:w="140" w:type="dxa"/>
            <w:vAlign w:val="bottom"/>
          </w:tcPr>
          <w:p>
            <w:pPr>
              <w:spacing w:after="0"/>
              <w:rPr>
                <w:sz w:val="16"/>
                <w:szCs w:val="16"/>
                <w:color w:val="auto"/>
              </w:rPr>
            </w:pPr>
          </w:p>
        </w:tc>
        <w:tc>
          <w:tcPr>
            <w:tcW w:w="22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Founder and managing</w:t>
            </w:r>
          </w:p>
        </w:tc>
        <w:tc>
          <w:tcPr>
            <w:tcW w:w="22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GigManagement, LLC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Company</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Co-founder and managing</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GigAcquisitions2, LLC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PPE (SPAC) sponsorship</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and manager</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GigAcquisitions7 Corp.</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PPE (SPAC) sponsorship</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and manager</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UpHealth, Inc.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board of</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QT Imaging Holdings, Inc.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Medical Device</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board of</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w:t>
            </w:r>
          </w:p>
        </w:tc>
      </w:tr>
      <w:tr>
        <w:trPr>
          <w:trHeight w:val="234"/>
        </w:trPr>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GigCapital7 Corp.</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24"/>
        </w:trPr>
        <w:tc>
          <w:tcPr>
            <w:tcW w:w="180" w:type="dxa"/>
            <w:vAlign w:val="bottom"/>
          </w:tcPr>
          <w:p>
            <w:pPr>
              <w:spacing w:after="0"/>
              <w:rPr>
                <w:sz w:val="24"/>
                <w:szCs w:val="24"/>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Christine M. Marshall</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GigCapital7 Corp.</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05"/>
        </w:trPr>
        <w:tc>
          <w:tcPr>
            <w:tcW w:w="180" w:type="dxa"/>
            <w:vAlign w:val="bottom"/>
          </w:tcPr>
          <w:p>
            <w:pPr>
              <w:spacing w:after="0"/>
              <w:rPr>
                <w:sz w:val="24"/>
                <w:szCs w:val="24"/>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Raluca Dinu</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GigManagement, LLC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Company</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Co-founder and managing</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Gig4L, LLC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and Investment</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and managing</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UpHealth, Inc.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QT Imaging Holdings, Inc.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Medical Device</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Secretary and</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GigCapital7 Corp.</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180" w:type="dxa"/>
            <w:vAlign w:val="bottom"/>
          </w:tcPr>
          <w:p>
            <w:pPr>
              <w:spacing w:after="0"/>
              <w:rPr>
                <w:sz w:val="24"/>
                <w:szCs w:val="24"/>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DLA Piper LLP (US)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 Firm</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Counsel</w:t>
            </w:r>
          </w:p>
        </w:tc>
      </w:tr>
      <w:tr>
        <w:trPr>
          <w:trHeight w:val="234"/>
        </w:trPr>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GigCapital7 Corp.</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180" w:type="dxa"/>
            <w:vAlign w:val="bottom"/>
          </w:tcPr>
          <w:p>
            <w:pPr>
              <w:spacing w:after="0"/>
              <w:rPr>
                <w:sz w:val="24"/>
                <w:szCs w:val="24"/>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Raanan Horowitz</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Institute for Defense Analysis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and Scientific Analysis</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 of board of trustees</w:t>
            </w:r>
          </w:p>
        </w:tc>
      </w:tr>
      <w:tr>
        <w:trPr>
          <w:trHeight w:val="216"/>
        </w:trPr>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Parry Labs LLC</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Services</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GigCapital7 Corp.</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172"/>
        </w:trPr>
        <w:tc>
          <w:tcPr>
            <w:tcW w:w="1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361"/>
        </w:trPr>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6"/>
                <w:szCs w:val="16"/>
                <w:color w:val="auto"/>
              </w:rPr>
            </w:pP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20" w:type="dxa"/>
            <w:vAlign w:val="bottom"/>
          </w:tcPr>
          <w:p>
            <w:pPr>
              <w:spacing w:after="0"/>
              <w:rPr>
                <w:sz w:val="16"/>
                <w:szCs w:val="16"/>
                <w:color w:val="auto"/>
              </w:rPr>
            </w:pPr>
          </w:p>
        </w:tc>
        <w:tc>
          <w:tcPr>
            <w:tcW w:w="25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140" w:type="dxa"/>
            <w:vAlign w:val="bottom"/>
          </w:tcPr>
          <w:p>
            <w:pPr>
              <w:spacing w:after="0"/>
              <w:rPr>
                <w:sz w:val="16"/>
                <w:szCs w:val="16"/>
                <w:color w:val="auto"/>
              </w:rPr>
            </w:pPr>
          </w:p>
        </w:tc>
        <w:tc>
          <w:tcPr>
            <w:tcW w:w="23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30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GaitMetrics</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Company</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Luis Machuca</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UpHealth,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08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Columbia Banking System</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Financial Institution</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Dockport</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Consultancy and Project</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Owner and Chief Executive</w:t>
            </w:r>
          </w:p>
        </w:tc>
      </w:tr>
      <w:tr>
        <w:trPr>
          <w:trHeight w:val="216"/>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Management company</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08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Ray Shipping</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Maritime Business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Bryan Timm</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w:t>
            </w:r>
          </w:p>
        </w:tc>
      </w:tr>
      <w:tr>
        <w:trPr>
          <w:trHeight w:val="30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James Greene</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QT Imaging Holdings,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Medical Device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UpHealth,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Umpqua Bank</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Financial Institution</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Sky D Ventures</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Venture Fund and Advisory</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Founder and Managing Partner</w:t>
            </w:r>
          </w:p>
        </w:tc>
      </w:tr>
      <w:tr>
        <w:trPr>
          <w:trHeight w:val="234"/>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Service Firm</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197"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If any of the above executive officers, directors or director nominees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potential conflicts of interest:</w:t>
      </w:r>
    </w:p>
    <w:p>
      <w:pPr>
        <w:spacing w:after="0" w:line="130" w:lineRule="exact"/>
        <w:rPr>
          <w:sz w:val="20"/>
          <w:szCs w:val="20"/>
          <w:color w:val="auto"/>
        </w:rPr>
      </w:pPr>
    </w:p>
    <w:p>
      <w:pPr>
        <w:ind w:left="1100" w:right="20" w:hanging="438"/>
        <w:spacing w:after="0" w:line="260"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87" w:lineRule="exact"/>
        <w:rPr>
          <w:rFonts w:ascii="Times New Roman" w:cs="Times New Roman" w:eastAsia="Times New Roman" w:hAnsi="Times New Roman"/>
          <w:sz w:val="18"/>
          <w:szCs w:val="18"/>
          <w:color w:val="auto"/>
        </w:rPr>
      </w:pPr>
    </w:p>
    <w:p>
      <w:pPr>
        <w:ind w:left="1100" w:right="40" w:hanging="438"/>
        <w:spacing w:after="0" w:line="253"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which is owned by two of our directors, Dr. Raluca Dinu and Dr. Avi S. Katz, and four of our other directors, James Greene, Luis Machuca, Bryan Timm, and Raanan Horowitz, will directly or indirectly own our securities following this offering, and accordingly, they may have a conflict of interest in determining whether a particular target business is an appropriate business with which to effectuate our initial business combination, including the fact that they may lose their entire investment in us if our initial business combination is not completed, except to the extent they receive liquidating distributions from assets outside the trust account or are entitled to receive liquidating distributions from the trust account in the event they choose to purchase public shares. Upon the closing of this offering, assuming the underwriters’ over-allotment option is not exercised, our sponsor and the four other directors will have invested in us an aggregate of $952,000, comprised of $15,756 paid by the sponsor for 7,474,832 founder shares (after giving effect to the sales of shares to the four directors) (or $0.002108 per share), $9,244 paid by the four directors for the aggregate of 375,397 founder shares (or $0.02462 per share) and the $927,000 purchase price for the private placement units (or $9.7374 per unit). Accordingly, our management team may be more willing to pursue a business combination with a riskier or less-established target business than would be the case if our insiders had paid the same per share price for the founder shares as our public shareholders paid for their public shares in this offering,</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40"/>
          </w:cols>
          <w:pgMar w:left="320" w:top="482"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spacing w:after="0" w:line="265" w:lineRule="auto"/>
        <w:rPr>
          <w:sz w:val="20"/>
          <w:szCs w:val="20"/>
          <w:color w:val="auto"/>
        </w:rPr>
      </w:pPr>
      <w:r>
        <w:rPr>
          <w:rFonts w:ascii="Times New Roman" w:cs="Times New Roman" w:eastAsia="Times New Roman" w:hAnsi="Times New Roman"/>
          <w:sz w:val="18"/>
          <w:szCs w:val="18"/>
          <w:color w:val="auto"/>
        </w:rPr>
        <w:t>as our sponsor and members of our management team would likely not receive any financial benefit unless we consummated such business combination. These interests of our sponsor, executive officers and directors may affect the consideration paid, terms, conditions and timing relating to a business combination in a way that conflicts with the interests of our public shareholders.</w:t>
      </w:r>
    </w:p>
    <w:p>
      <w:pPr>
        <w:spacing w:after="0" w:line="83" w:lineRule="exact"/>
        <w:rPr>
          <w:sz w:val="20"/>
          <w:szCs w:val="20"/>
          <w:color w:val="auto"/>
        </w:rPr>
      </w:pPr>
    </w:p>
    <w:p>
      <w:pPr>
        <w:ind w:left="1100" w:hanging="438"/>
        <w:spacing w:after="0" w:line="251" w:lineRule="auto"/>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purchased or will purchase founder shares prior to the completion of this offering and will purchase private placement units in a transaction that will close simultaneously with the closing of this offering. Our sponsor, officers and directors have entered into a letter agreement with us, pursuant to which they have agreed to waive their redemption rights with respect to their founder shares, private placement shares and public shares in connection with the completion of our initial business combination. Additionally, our sponsor, officers and directors have agreed to waive their rights to liquidating distributions from the trust account with respect to their founder shares and private placement shares if we fail to complete our initial business combination within the prescribed time frame, although they will be entitled to liquidating distributions from assets outside the trust account. If we do not complete our initial business combination within the prescribed time frame, the private placement units (and the securities comprising such units) will expire worthless. Furthermore, our sponsor, officers and directors have agreed not to transfer, assign or sell any of their founder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The private placement units (including the private placement shares and the Class A ordinary shares issuable upon exercise of the private placement rights) will not be transferable until 30 days following the completion of our initial business combination. Because certain of our officers and director nominees will own ordinary shares or rights directly or indirectly, they may have a conflict of interest in determining whether a particular target business is an appropriate business with which to effectuate our initial business combination.</w:t>
      </w:r>
    </w:p>
    <w:p>
      <w:pPr>
        <w:spacing w:after="0" w:line="107" w:lineRule="exact"/>
        <w:rPr>
          <w:rFonts w:ascii="Times New Roman" w:cs="Times New Roman" w:eastAsia="Times New Roman" w:hAnsi="Times New Roman"/>
          <w:sz w:val="18"/>
          <w:szCs w:val="18"/>
          <w:color w:val="auto"/>
        </w:rPr>
      </w:pPr>
    </w:p>
    <w:p>
      <w:pPr>
        <w:ind w:left="1100" w:right="160" w:hanging="438"/>
        <w:spacing w:after="0" w:line="265" w:lineRule="auto"/>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2" w:lineRule="exact"/>
        <w:rPr>
          <w:rFonts w:ascii="Times New Roman" w:cs="Times New Roman" w:eastAsia="Times New Roman" w:hAnsi="Times New Roman"/>
          <w:sz w:val="18"/>
          <w:szCs w:val="18"/>
          <w:color w:val="auto"/>
        </w:rPr>
      </w:pPr>
    </w:p>
    <w:p>
      <w:pPr>
        <w:ind w:left="1100" w:right="40" w:hanging="438"/>
        <w:spacing w:after="0" w:line="255" w:lineRule="auto"/>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our sponsor or members of our management team provide loans to us to finance transaction costs and/or incur expenses on our behalf in connection with an initial business combination, such persons may have a conflict of interest in determining whether a particular target business is an appropriate business with which to effectuate our initial business combination as such loans may not be repaid and/or such expenses may not be reimbursed unless we consummate such business combination. Up to $1,500,000 of working capital loans may be convertible into private placement units at a price of $10.00 per unit at the option of the lender. Such units would be identical to the private placement units. Except for the foregoing, the terms of such working capital loans, if any, have not been determined and no written agreements exist with respect to such loans.</w:t>
      </w:r>
    </w:p>
    <w:p>
      <w:pPr>
        <w:spacing w:after="0" w:line="92"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reimburse an affiliate of our sponsor for office space, utilities and secretarial and administrative support made available to us by an affiliate of our sponsor, in an amount equal to $30,000 per month.</w:t>
      </w:r>
    </w:p>
    <w:p>
      <w:pPr>
        <w:spacing w:after="0" w:line="68" w:lineRule="exact"/>
        <w:rPr>
          <w:rFonts w:ascii="Times New Roman" w:cs="Times New Roman" w:eastAsia="Times New Roman" w:hAnsi="Times New Roman"/>
          <w:sz w:val="18"/>
          <w:szCs w:val="18"/>
          <w:color w:val="auto"/>
        </w:rPr>
      </w:pPr>
    </w:p>
    <w:p>
      <w:pPr>
        <w:ind w:left="1100" w:right="260" w:hanging="438"/>
        <w:spacing w:after="0" w:line="281" w:lineRule="auto"/>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reimburse the sponsor for any out-of-pocket expenses related to identifying, investigating, negotiating and completing an initial business combination.</w:t>
      </w:r>
    </w:p>
    <w:p>
      <w:pPr>
        <w:spacing w:after="0" w:line="16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Prior to or in connection with the completion of our initial business combination, there may be payment by the company to our sponsor, officers or directors, or our or their affiliates, of a finder’s fee, advisory fee, consulting fee or</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82"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8"/>
          <w:szCs w:val="18"/>
          <w:color w:val="auto"/>
        </w:rPr>
        <w:t>success fee for any services they render in order to effectuate the completion of our initial business, which, if made prior to the completion of our initial business combination, will be paid from funds held outside the trust account.</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any of the above-mentioned conflicts will be resolved in our favor.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submit our initial business combination to our public shareholders for a vote, our initial shareholders have agreed to vote their founder shares, private investor shares and private placement shares in favor of our initial business combination, but not any public shares that non-managing investors may buy in this offering or after this offering on the open market. In addition, they have agreed to waive their respective rights to participate in any liquidation distribution with respect to their founder shares, private investor shares and private placement shares. If they purchase public shares as part of this offering or on the open market, however, they would be entitled to participate in any liquidation distribution in respect of such shares but have agreed not to convert or sell such shares to us in connection with the consummation of an initial business combination.</w:t>
      </w:r>
    </w:p>
    <w:p>
      <w:pPr>
        <w:spacing w:after="0" w:line="18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sponsor, executive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82"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left="120" w:right="340" w:firstLine="440"/>
        <w:spacing w:after="0" w:line="265"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as of the date of this prospectus, and as adjusted to reflect the sale of our public shares included in the public units offered by this prospectus and private placement units, and assuming no purchase of units in this offering, by:</w:t>
      </w:r>
    </w:p>
    <w:p>
      <w:pPr>
        <w:spacing w:after="0" w:line="83" w:lineRule="exact"/>
        <w:rPr>
          <w:sz w:val="20"/>
          <w:szCs w:val="20"/>
          <w:color w:val="auto"/>
        </w:rPr>
      </w:pPr>
    </w:p>
    <w:p>
      <w:pPr>
        <w:ind w:left="1100" w:hanging="438"/>
        <w:spacing w:after="0"/>
        <w:tabs>
          <w:tab w:leader="none" w:pos="11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outstanding ordinary shares;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that beneficially owns ordinary shares;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have sole voting and investment power with respect to all shares beneficially owned by them. The following table does not reflect record or beneficial ownership of any shares issuable upon the consummation of our initial business combination as a result of the rights as such issuance is not expected to occur within 60 days of the date of this prospectus. The post-offering numbers and percentages presented assume the forfeiture of 1,410,624 shares that are subject to forfeiture depending on the extent to which the underwriters’ option to purchase additional shares is exercised, and that there are 31,741,483 ordinary shares issued and outstanding after this offering.</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2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620" w:type="dxa"/>
            <w:vAlign w:val="bottom"/>
          </w:tcPr>
          <w:p>
            <w:pPr>
              <w:spacing w:after="0"/>
              <w:rPr>
                <w:sz w:val="16"/>
                <w:szCs w:val="16"/>
                <w:color w:val="auto"/>
              </w:rPr>
            </w:pPr>
          </w:p>
        </w:tc>
        <w:tc>
          <w:tcPr>
            <w:tcW w:w="220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tcPr>
          <w:p>
            <w:pPr>
              <w:spacing w:after="0"/>
              <w:rPr>
                <w:sz w:val="10"/>
                <w:szCs w:val="10"/>
                <w:color w:val="auto"/>
              </w:rPr>
            </w:pPr>
          </w:p>
        </w:tc>
        <w:tc>
          <w:tcPr>
            <w:tcW w:w="14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78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5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5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20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620" w:type="dxa"/>
            <w:vAlign w:val="bottom"/>
            <w:gridSpan w:val="3"/>
          </w:tcPr>
          <w:p>
            <w:pPr>
              <w:jc w:val="center"/>
              <w:ind w:left="292"/>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8"/>
                <w:szCs w:val="8"/>
                <w:b w:val="1"/>
                <w:bCs w:val="1"/>
                <w:color w:val="auto"/>
              </w:rPr>
              <w:t>(1)</w:t>
            </w:r>
          </w:p>
        </w:tc>
        <w:tc>
          <w:tcPr>
            <w:tcW w:w="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58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5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490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580" w:type="dxa"/>
            <w:vAlign w:val="bottom"/>
          </w:tcPr>
          <w:p>
            <w:pPr>
              <w:spacing w:after="0"/>
              <w:rPr>
                <w:sz w:val="15"/>
                <w:szCs w:val="15"/>
                <w:color w:val="auto"/>
              </w:rPr>
            </w:pPr>
          </w:p>
        </w:tc>
        <w:tc>
          <w:tcPr>
            <w:tcW w:w="14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8"/>
                <w:szCs w:val="8"/>
                <w:b w:val="1"/>
                <w:bCs w:val="1"/>
                <w:color w:val="auto"/>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5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GigAcquisitions8 Corp</w:t>
            </w:r>
            <w:r>
              <w:rPr>
                <w:rFonts w:ascii="Times New Roman" w:cs="Times New Roman" w:eastAsia="Times New Roman" w:hAnsi="Times New Roman"/>
                <w:sz w:val="22"/>
                <w:szCs w:val="22"/>
                <w:color w:val="auto"/>
                <w:vertAlign w:val="superscript"/>
              </w:rPr>
              <w:t>.(5)</w:t>
            </w:r>
          </w:p>
        </w:tc>
        <w:tc>
          <w:tcPr>
            <w:tcW w:w="8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7,850,229</w:t>
            </w:r>
          </w:p>
        </w:tc>
        <w:tc>
          <w:tcPr>
            <w:tcW w:w="5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6,564,286</w:t>
            </w:r>
          </w:p>
        </w:tc>
        <w:tc>
          <w:tcPr>
            <w:tcW w:w="5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Avi S. Katz</w:t>
            </w:r>
            <w:r>
              <w:rPr>
                <w:rFonts w:ascii="Times New Roman" w:cs="Times New Roman" w:eastAsia="Times New Roman" w:hAnsi="Times New Roman"/>
                <w:sz w:val="22"/>
                <w:szCs w:val="22"/>
                <w:color w:val="auto"/>
                <w:vertAlign w:val="superscript"/>
              </w:rPr>
              <w:t>.(5)</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7,850,229</w:t>
            </w:r>
          </w:p>
        </w:tc>
        <w:tc>
          <w:tcPr>
            <w:tcW w:w="2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6,564,286</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Dr. Raluca Dinu</w:t>
            </w:r>
            <w:r>
              <w:rPr>
                <w:rFonts w:ascii="Times New Roman" w:cs="Times New Roman" w:eastAsia="Times New Roman" w:hAnsi="Times New Roman"/>
                <w:sz w:val="22"/>
                <w:szCs w:val="22"/>
                <w:color w:val="auto"/>
                <w:vertAlign w:val="superscript"/>
              </w:rPr>
              <w:t>.(5)</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7,850,229</w:t>
            </w:r>
          </w:p>
        </w:tc>
        <w:tc>
          <w:tcPr>
            <w:tcW w:w="2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6,564,286</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52,781</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 Machuca</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101,503</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Timm</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101,503</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Greene</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101,503</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4"/>
        </w:trPr>
        <w:tc>
          <w:tcPr>
            <w:tcW w:w="4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All directors and officers as a group</w:t>
            </w: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 individuals)</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7,850,229</w:t>
            </w:r>
          </w:p>
        </w:tc>
        <w:tc>
          <w:tcPr>
            <w:tcW w:w="2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6,921,486</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60" w:hanging="438"/>
        <w:spacing w:after="0"/>
        <w:tabs>
          <w:tab w:leader="none" w:pos="5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Unless otherwise indicated, the business address of each of the individuals is 1731 Embarcadero Rd., Suite 200, Palo Alto, CA 94303.</w:t>
      </w:r>
    </w:p>
    <w:p>
      <w:pPr>
        <w:spacing w:after="0" w:line="1" w:lineRule="exact"/>
        <w:rPr>
          <w:rFonts w:ascii="Times New Roman" w:cs="Times New Roman" w:eastAsia="Times New Roman" w:hAnsi="Times New Roman"/>
          <w:sz w:val="22"/>
          <w:szCs w:val="22"/>
          <w:color w:val="auto"/>
          <w:vertAlign w:val="superscript"/>
        </w:rPr>
      </w:pPr>
    </w:p>
    <w:p>
      <w:pPr>
        <w:ind w:left="560" w:hanging="438"/>
        <w:spacing w:after="0" w:line="224" w:lineRule="auto"/>
        <w:tabs>
          <w:tab w:leader="none" w:pos="5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Assumes (i) no exercise of the over-allotment option and (ii) an aggregate of 1,023,943 Class B ordinary shares have been forfeited by our insiders and 386,681 Class B ordinary shares have been forfeited by the non-managing investors.</w:t>
      </w:r>
    </w:p>
    <w:p>
      <w:pPr>
        <w:ind w:left="560" w:hanging="438"/>
        <w:spacing w:after="0" w:line="204" w:lineRule="auto"/>
        <w:tabs>
          <w:tab w:leader="none" w:pos="5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Based on 7,850,229 ordinary shares outstanding immediately prior to this offering.</w:t>
      </w:r>
    </w:p>
    <w:p>
      <w:pPr>
        <w:spacing w:after="0" w:line="2" w:lineRule="exact"/>
        <w:rPr>
          <w:rFonts w:ascii="Times New Roman" w:cs="Times New Roman" w:eastAsia="Times New Roman" w:hAnsi="Times New Roman"/>
          <w:sz w:val="22"/>
          <w:szCs w:val="22"/>
          <w:color w:val="auto"/>
          <w:vertAlign w:val="superscript"/>
        </w:rPr>
      </w:pPr>
    </w:p>
    <w:p>
      <w:pPr>
        <w:ind w:left="560" w:hanging="438"/>
        <w:spacing w:after="0" w:line="203" w:lineRule="auto"/>
        <w:tabs>
          <w:tab w:leader="none" w:pos="5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Based on 31,741,483 ordinary shares outstanding immediately after this offering.</w:t>
      </w:r>
    </w:p>
    <w:p>
      <w:pPr>
        <w:spacing w:after="0" w:line="1" w:lineRule="exact"/>
        <w:rPr>
          <w:rFonts w:ascii="Times New Roman" w:cs="Times New Roman" w:eastAsia="Times New Roman" w:hAnsi="Times New Roman"/>
          <w:sz w:val="22"/>
          <w:szCs w:val="22"/>
          <w:color w:val="auto"/>
          <w:vertAlign w:val="superscript"/>
        </w:rPr>
      </w:pPr>
    </w:p>
    <w:p>
      <w:pPr>
        <w:ind w:left="560" w:right="60" w:hanging="438"/>
        <w:spacing w:after="0" w:line="232" w:lineRule="auto"/>
        <w:tabs>
          <w:tab w:leader="none" w:pos="5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shares held by our sponsor. The shares held by our sponsor are beneficially owned equally (50% each) by Dr. Katz, our Chief Executive Officer and Chairman of the board of directors, and Dr. Raluca Dinu, our director, who both have the voting and dispositive power over the shares held by our sponsor. The sponsor’s business address is 1731 Embarcadero Rd., Suite 200, Palo Alto, CA 94303.</w:t>
      </w:r>
    </w:p>
    <w:p>
      <w:pPr>
        <w:spacing w:after="0" w:line="198"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8"/>
          <w:szCs w:val="18"/>
          <w:color w:val="auto"/>
        </w:rPr>
        <w:t>Immediately after this offering (without the exercise of the underwriters’ over-allotment option), our insiders and non-managing investors and any of their permitted transferees will beneficially own approximately</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81"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30.7% of our issued and outstanding shares (assuming none of our initial shareholders purchases any public units), with our sponsor beneficially owning approximately 20.7% of such issued and outstanding shares. Because of this ownership block, our sponsor, acting along with the non-managing investors, may be able to effectively influence the outcome of all matters requiring approval by our shareholders, including the election of directors, amendments to our amended and restated memorandum and articles of association and approval of significant corporate transactions.</w:t>
      </w:r>
    </w:p>
    <w:p>
      <w:pPr>
        <w:spacing w:after="0" w:line="18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To the extent the underwriters do not exercise their over-allotment option, up to an aggregate of 1,023,943 founder shares and 386,681 private investor shares will be subject to forfeiture. Our insiders and non-managing investors will be required to forfeit only that number of founder shares and private investor shares, respectively, necessary to maintain the representation that the founder shares, together with the private investor shares held by the non-managing investors, of a 30% ownership interest in our issued and outstanding ordinary shares (without giving effect to the sale of the private placement shares and assuming none of the initial shareholders purchases public units or public shares in this offering) after consummation of this offering.</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have agreed (A) to vote their founder shares, private investor shares and private placement shares (and in case of the sponsor, executive officers and directors, any public shares) in favor of any proposed business combination, (B) not to propose an amendment to our amended and restated memorandum and articles of association with respect to our pre-business combination activities prior to the consummation of such a business combination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(C) not to redeem any founder shares, private investor shares and private placement shares in connection with a shareholder vote to approve our proposed initial business combination and (D) that such founder shares,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w:t>
      </w:r>
    </w:p>
    <w:p>
      <w:pPr>
        <w:spacing w:after="0" w:line="19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non-managing investors have agreed (A) to vote their private investor shares and private placement shares in favor of any proposed business combination, (B) not to redeem any private investor shares and private placement shares in connection with a shareholder vote to approve our proposed initial business combination and (C) that such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have agreed not to transfer, assign or sell any of their respective founder shares, private investor shares, and any Class A ordinary shares issuable upon conversion thereof that is in the case of the founder shares, private investor shares, and any Class A ordinary shares issuable upon conversion thereof,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We refer to such transfer restrictions throughout this prospectus as the lock-up. 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81"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0"/>
        <w:spacing w:after="0" w:line="258" w:lineRule="auto"/>
        <w:rPr>
          <w:sz w:val="20"/>
          <w:szCs w:val="20"/>
          <w:color w:val="auto"/>
        </w:rPr>
      </w:pPr>
      <w:r>
        <w:rPr>
          <w:rFonts w:ascii="Times New Roman" w:cs="Times New Roman" w:eastAsia="Times New Roman" w:hAnsi="Times New Roman"/>
          <w:sz w:val="18"/>
          <w:szCs w:val="18"/>
          <w:color w:val="auto"/>
        </w:rPr>
        <w:t>subject to a lock-up agreement or is subject to a lock-up agreement for a shorter period of time than non-managing investors, the non-managing investors’ lock-up period shall be reduced to the shortest lock-up period or terminated, as the case may be, unless such exclusion from the lock-up obligations is required in compliance with the listing rules of Nasdaq or any other national stock exchange. Further, if any such securityholder is released from the lock-up period subsequent to the consummation of an initial business combination, our company shall release the private investor shares and private placement shares held by non-managing investors from the lock-up provisions.</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during their respective lock-up periods, the initial shareholders may transfer, assign or sell any of the aforenamed securities (1) amongst the sponsor and its affiliates, to our executive officers or directors, or to any affiliate or family member of any of our executive officers or directors, (2) 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 securities,</w:t>
      </w:r>
    </w:p>
    <w:p>
      <w:pPr>
        <w:spacing w:after="0" w:line="4" w:lineRule="exact"/>
        <w:rPr>
          <w:sz w:val="20"/>
          <w:szCs w:val="20"/>
          <w:color w:val="auto"/>
        </w:rPr>
      </w:pPr>
    </w:p>
    <w:p>
      <w:pPr>
        <w:ind w:left="120" w:right="40" w:firstLine="2"/>
        <w:spacing w:after="0" w:line="251" w:lineRule="auto"/>
        <w:tabs>
          <w:tab w:leader="none" w:pos="3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permitted transferees shall enter into a written agreement with us agreeing to be bound by the transfer restrictions agreed to by the original holder in connection with the purchase of the securities being transferred. In addition, the sponsor, executive officers and directors may transfer, assign or sell any of the aforenamed securities (i) in the event of our liquidation prior to the consummation of our initial business combination; (ii)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 securities, upon liquidation or dissolution of such subsidiary; or (iii) in the event of our completion of a liquidation, merger, share exchange, reorganization or other similar transaction which results in all of our shareholders having the right to exchange their ordinary shares for cash, securities or other property subsequent to the completion of our initial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initial shareholders and their permitted transferees can demand that we register the founder shares, private investor shares, private placement shares and shares that are issued upon conversion of the private placement rights upon consummation of our initial business combination.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on registration statements filed after our company’s consummation of a business combination.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82"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founder shares remain subject to forfeiture depending on the extent to which the underwriters’ over-allotment option is exercised during this offering. The purchase price per founder share was determined by dividing the amount of cash contributed to our company by the number of founder shares issued. Prior to the investment of $25,000 by our sponsor (before giving effect to the sales of shares to four of our directors), our company had no assets, tangible or intangible.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sponsor intends at the time of this offering to sell 375,397 founder shares in the aggregate to Messrs. Greene, Machuca, Timm and Horowitz</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an aggregate price of $9,244, thus reducing the price paid by our sponsor for the 7,474,832 founder shares which it is retaining to $15,756,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$0.002108 per share. Up to 1,023,943 founder shares held by our insiders will remain subject to forfeiture on a pro rata basis depending on the extent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the underwriters’ over-allotment option is exercised during this offering.</w:t>
      </w:r>
    </w:p>
    <w:p>
      <w:pPr>
        <w:spacing w:after="0" w:line="20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number of founder shares, and the forfeiture mechanism underlying the founder shares, has been determined in order to ensure that the founder shares, together with the private investor shares owned by the non-managing investors will collectively represent 30% of the issued and outstanding shares (assuming none of the initial shareholders purchases public units or public shares in this offering) upon completion of this offering and the exercise of the underwriters’ over-allotment option, if any. In connection with this offering, our sponsor and four of our directors hold 7,850,229 founder shares, of which up to 1,023,943 founder shares are subject to forfeiture depending on the extent to which the underwriters’ over-allotment option is exercised during this offering.</w:t>
      </w:r>
    </w:p>
    <w:p>
      <w:pPr>
        <w:spacing w:after="0" w:line="1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with respect to permitted transferees as described herein under “</w:t>
      </w:r>
      <w:r>
        <w:rPr>
          <w:rFonts w:ascii="Times New Roman" w:cs="Times New Roman" w:eastAsia="Times New Roman" w:hAnsi="Times New Roman"/>
          <w:sz w:val="18"/>
          <w:szCs w:val="18"/>
          <w:i w:val="1"/>
          <w:iCs w:val="1"/>
          <w:color w:val="auto"/>
        </w:rPr>
        <w:t>Principal Shareholders</w:t>
      </w:r>
      <w:r>
        <w:rPr>
          <w:rFonts w:ascii="Times New Roman" w:cs="Times New Roman" w:eastAsia="Times New Roman" w:hAnsi="Times New Roman"/>
          <w:sz w:val="18"/>
          <w:szCs w:val="18"/>
          <w:color w:val="auto"/>
        </w:rPr>
        <w:t>,” our initial shareholders have agreed not to transfer, assign or sell any of their respective founder shares and private investor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Permitted transferees would be subject to the same restrictions and other agreements of our initial shareholders with respect to any such securities.</w:t>
      </w:r>
    </w:p>
    <w:p>
      <w:pPr>
        <w:spacing w:after="0" w:line="193" w:lineRule="exact"/>
        <w:rPr>
          <w:sz w:val="20"/>
          <w:szCs w:val="20"/>
          <w:color w:val="auto"/>
        </w:rPr>
      </w:pPr>
    </w:p>
    <w:p>
      <w:pPr>
        <w:ind w:left="120" w:right="480" w:firstLine="440"/>
        <w:spacing w:after="0" w:line="281" w:lineRule="auto"/>
        <w:rPr>
          <w:sz w:val="20"/>
          <w:szCs w:val="20"/>
          <w:color w:val="auto"/>
        </w:rPr>
      </w:pPr>
      <w:r>
        <w:rPr>
          <w:rFonts w:ascii="Times New Roman" w:cs="Times New Roman" w:eastAsia="Times New Roman" w:hAnsi="Times New Roman"/>
          <w:sz w:val="18"/>
          <w:szCs w:val="18"/>
          <w:color w:val="auto"/>
        </w:rPr>
        <w:t>On July 18, 2025, we issued a promissory note to our Sponsor with a principal amount of $100,000, all of which remained outstanding as of July 21, 2025.</w:t>
      </w:r>
    </w:p>
    <w:p>
      <w:pPr>
        <w:spacing w:after="0" w:line="163"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sponsor, executive officers, directors or their affiliates may, but are not obligated to, loan us funds, from time to time or at any time, in whatever amount they deem reasonable in their sole discretion. Each loan would be evidenced by a promissory note.</w:t>
      </w:r>
    </w:p>
    <w:p>
      <w:pPr>
        <w:spacing w:after="0" w:line="177"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The holders of our founder shares, private investor shares and private placement shares issued and outstanding on the date of this prospectus, and the shares to be issued upon conversion of the private placement</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82"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rights upon consummation of our initial business combination, as well as,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87" w:lineRule="exact"/>
        <w:rPr>
          <w:sz w:val="20"/>
          <w:szCs w:val="20"/>
          <w:color w:val="auto"/>
        </w:rPr>
      </w:pPr>
    </w:p>
    <w:p>
      <w:pPr>
        <w:jc w:val="both"/>
        <w:ind w:left="120" w:right="80" w:firstLine="440"/>
        <w:spacing w:after="0" w:line="288" w:lineRule="auto"/>
        <w:rPr>
          <w:sz w:val="20"/>
          <w:szCs w:val="20"/>
          <w:color w:val="auto"/>
        </w:rPr>
      </w:pPr>
      <w:r>
        <w:rPr>
          <w:rFonts w:ascii="Times New Roman" w:cs="Times New Roman" w:eastAsia="Times New Roman" w:hAnsi="Times New Roman"/>
          <w:sz w:val="17"/>
          <w:szCs w:val="17"/>
          <w:color w:val="auto"/>
        </w:rPr>
        <w:t>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a rights that permit us to use “Private-to-Public Equity (PPE).”</w:t>
      </w:r>
    </w:p>
    <w:p>
      <w:pPr>
        <w:spacing w:after="0" w:line="182" w:lineRule="exact"/>
        <w:rPr>
          <w:sz w:val="20"/>
          <w:szCs w:val="20"/>
          <w:color w:val="auto"/>
        </w:rPr>
      </w:pPr>
    </w:p>
    <w:p>
      <w:pPr>
        <w:ind w:left="120" w:right="100" w:firstLine="440"/>
        <w:spacing w:after="0" w:line="270" w:lineRule="auto"/>
        <w:rPr>
          <w:sz w:val="20"/>
          <w:szCs w:val="20"/>
          <w:color w:val="auto"/>
        </w:rPr>
      </w:pPr>
      <w:r>
        <w:rPr>
          <w:rFonts w:ascii="Times New Roman" w:cs="Times New Roman" w:eastAsia="Times New Roman" w:hAnsi="Times New Roman"/>
          <w:sz w:val="17"/>
          <w:szCs w:val="17"/>
          <w:color w:val="auto"/>
        </w:rPr>
        <w:t>Other than the foregoing and as described in this paragraph,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Our board of directors may also approve the payment of advisory fees for such activities, including board committee service, and extraordinary administrative and analytical services. There is no limit on the amount of out-of-pocket expenses reimbursable by us. Our independent directors will review on a quarterly basis all payments that were made to our sponsor, executive officers or our or their affiliates.</w:t>
      </w:r>
    </w:p>
    <w:p>
      <w:pPr>
        <w:spacing w:after="0" w:line="178"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After our initial business combination, members of our management team who remain with us may be paid consulting, management or other fees from the combined company with any and all amounts being fully disclosed to shareholders, to the extent then known, in the proxy solicitation materials furnished to our shareholders. It is unlikely the amount of such compensation will be known at the time of a shareholder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7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81"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Dr. Katz, our Chief Executive Officer and Chairman of the board of directors, and Dr. Dinu, one of our directors, are husband and wife.</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Code of Business Conduct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 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 party under the same or similar circumstances and the extent of the related party’s interest in the transaction. No director may participate in the approval of any transaction in which he is a related party, and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87" w:lineRule="exact"/>
        <w:rPr>
          <w:sz w:val="20"/>
          <w:szCs w:val="20"/>
          <w:color w:val="auto"/>
        </w:rPr>
      </w:pPr>
    </w:p>
    <w:p>
      <w:pPr>
        <w:ind w:left="120" w:right="580" w:firstLine="440"/>
        <w:spacing w:after="0" w:line="281"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6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shareholders from a financial point of view.</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are authorized to issue 200,000,000 Class A ordinary shares, par value $0.0001 per share, 20,000,000 Class B ordinary shares, par value $0.0001 per share, and 1,000,000 preferred shares, par value $0.0001 per share. As of the date of this prospectus, 7,850,229 Class B ordinary shares are outstanding, and we expect to issue 2,964,203 Class B ordinary shares to non-managing investors prior to the public offering. We also expect to issue 92,500 private placement units to our sponsor and 242,475 private placement units to non-managing investors. No preferred shares are currently outstanding. The following description summarizes the material terms of our securities. Because it is only a summary, it may not contain all the information that is important to you. For a complete description, you should refer to our amended and restated memorandum and articles of association, which is filed as exhibits to the registration statement of which this prospectus is a part, and to the applicable provisions of the Cayman Islands law.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public unit consists of one Class A ordinary share and one right entitle the holder thereof to receive one-tenth of one ordinary share.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public shares and public rights will begin to trade separately on the 52nd day after the date of this prospectus unless the underwriters inform us of their decision to allow earlier separate trading, provided that in no event may the public shares and public rights be traded separately until we have filed with the SEC a Current Report on Form 8-K which includes an audited balance sheet reflecting our receipt of the gross proceeds of this offering. Once the public shares and public rights commence separate trading, holders will have the option to continue to hold units or separate their units into the component pieces.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the underwriters have allowed separate trading of the public shares and public rights prior to the 52nd day after the date of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the date of this prospectus, there were 7,850,229 ordinary shares outstanding, all of which were held of record by our insiders, so that our insiders will own approximately 21.8% of our issued and outstanding shares after this offering (assuming our sponsor does not purchase any units in this offering and the over-allotment option is not exercised by the underwriters). Up to 1,023,943 of the founder shares will be forfeited by our insiders depending on the extent to which the underwriters’ over-allotment option is exercised. Upon the closing of this offering, 31,741,483 of our ordinary shares will be outstanding (assuming no exercise of the underwriters’ over-allotment option and the corresponding forfeiture of 1,410,624 Class B ordinary shares by our initial shareholders) including:</w:t>
      </w:r>
    </w:p>
    <w:p>
      <w:pPr>
        <w:spacing w:after="0" w:line="91" w:lineRule="exact"/>
        <w:rPr>
          <w:sz w:val="20"/>
          <w:szCs w:val="20"/>
          <w:color w:val="auto"/>
        </w:rPr>
      </w:pPr>
    </w:p>
    <w:p>
      <w:pPr>
        <w:ind w:left="1100" w:hanging="438"/>
        <w:spacing w:after="0"/>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22,000,000 Class A ordinary shares underlying public units issued as part of this offering;</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6,826,286 Class B ordinary shares held by the sponsor and the four directors;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2,577,522 Class B ordinary shares held by the non-managing investors;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337,675 Class A ordinary shares underlying private placement units.</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81"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increase or decrease the size of the offering pursuant to Rule 462(b) under the Securities Act, we will effect a share dividend or share contribution back to capital, as applicable, immediately prior to the consummation of the offering in such amount so that the founder shares and private investor shares will collectively represent 30% of the issued and outstanding ordinary shares upon completion of this offering upon the consummation of this offering, as described above. Ordinary shareholders of record are entitled to one vote for each share held on all matters to be voted on by shareholders. Unless specified in our amended and restated memorandum and articles of association, or as required by applicable provisions of Cayman Island laws or stock exchange rules, the affirmative vote of a majority of our shares that are voted is required to approve any such matter voted on by our shareholders. Our shareholders are entitled to receive ratable dividends when, as and if declared by the board of directors out of funds legally available therefor.</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otherwise specified in our amended and restated memorandum and articles of association, or as required by applicable provisions of the Companies Act or applicable stock exchange rules, the affirmative vote of a majority of our ordinary shares that are represented in person or by proxy and are voted is required to approve any such matter voted on by our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our amended and restated memorandum and articles of association; such actions include amending our amended and restated memorandum and articles of association and approving a statutory merger or consolidation with another company. There is no cumulative voting with respect to the election of directors, with the result that the holders of more than 50% of the shares entitled to vote and voted for the election of directors can elect all of the directors. Our shareholders are entitled to receive ratable dividends when, as and if declared by the board of directors out of funds legally available therefor. Prior to our initial business combination, only holders of our Class B ordinary shares will have the right to vote on the appointment of directors. Holders of our public shares will not be entitled to vote on the election of directors during such time. Further, prior to the closing of our initial business combination, transferring the company by way of continuation in a jurisdiction outside the Cayman Islands only would require the approval of the board of directors.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w:t>
      </w:r>
    </w:p>
    <w:p>
      <w:pPr>
        <w:spacing w:after="0" w:line="187"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Our board of directors is elected each year at our annual meeting of shareholders; however, we do not currently intend to hold an annual meeting of shareholders until after we consummate a business combination (unless required by Nasdaq).</w:t>
      </w:r>
    </w:p>
    <w:p>
      <w:pPr>
        <w:spacing w:after="0" w:line="163"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8"/>
          <w:szCs w:val="18"/>
          <w:color w:val="auto"/>
        </w:rPr>
        <w:t>In accordance with the Nasdaq corporate governance requirements, we are not required to hold an annual meeting until one year after our first fiscal year end following our listing on Nasdaq. Our fiscal year end will be on December 31.</w:t>
      </w:r>
    </w:p>
    <w:p>
      <w:pPr>
        <w:spacing w:after="0" w:line="16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public shares upon the completion of our initial business combination at a per-share price which is payable in cash and equal to the aggregate amount then on deposit in the trust account as of two business days prior to the consummation of our initial business combination, including interest (which interest shall be net of permitted withdrawals by us) divided by the number of then outstanding public shares, subject to the limitations described in this prospectus. The amount in the trust account is initially anticipated to be approximately $10.00 per public share. Our initial shareholders will enter into agreements with us, pursuant to which they will agree to waive their redemption rights with respect to their founder shares, private investor shares and private placement shares in connection with the completion of our business combination.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81"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requires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9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initial shareholders and each member of our management team have agreed to vote their founder shares, private investor shares and private placement shares and public shares purchased during or after this offering in favor of our initial business combination. As a result, in addition to our initial shareholders’ founder shares, private investor shares and private placement shares, we would need 6,466,934 public shares, or approximately 29.4% of the 22,000,000 public shares sold in this offering to be voted in favor of an initial business combination in order to have our initial business combination approved (assuming all issued and outstanding shares are voted and the over-allotment option is not exercised). Assuming that only the holders of one-third of our issued and outstanding ordinary shares, representing a quorum under our amended and restated memorandum and articles of association, vote their shares, we will not need any public shares in addition to our founder shares, private investor shares and private placement shares held by our initial shareholders to be voted in favor of an initial business combination in order to approve an initial business combination. Additionally, each public shareholder may elect to redeem their public shares irrespective of whether they vote for or against the proposed transaction or vote at all.</w:t>
      </w:r>
    </w:p>
    <w:p>
      <w:pPr>
        <w:spacing w:after="0" w:line="189"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If we seek shareholder approval of our initial business combination and we do not conduct redemptions in connection with our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However, we would not be restricting our shareholders’ ability to vote all of their shares for or against our business combination.</w:t>
      </w:r>
    </w:p>
    <w:p>
      <w:pPr>
        <w:spacing w:after="0" w:line="170"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Pursuant to our amended and restated memorandum and articles of association, if we are unable to complete our business combination within 24 months from the closing of this offering, we will (i) cease all operations</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81"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except for the purpose of winding up, (ii) as promptly as reasonably possible but no more than 10 business days thereafter, subject to lawfully available funds therefor, redeem the public shares, at a per-share price which is payable in cash and equal to the aggregate amount then on deposit in the trust account, including interest (which interest shall be net of permitted withdrawals by us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or subscription agreements with us, pursuant to which they have agreed to waive their rights to liquidating distributions from the trust account with respect to their founder shares, private investor shares and private placement shares if we fail to complete our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business combination within the prescribed time period.</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equal to their pro rata share of the aggregate amount then on deposit in the trust account, including interest (which interest shall be net of permitted withdrawals by us) upon the completion of our initial business combination, subject to the limitations described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7"/>
          <w:szCs w:val="17"/>
          <w:color w:val="auto"/>
        </w:rPr>
        <w:t>Except in cases where we are not the surviving company in a business combination, each holder of a right will automatically receive one tenth (1/10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of one ordinary share upon consummation of our initial business combination, even if the holder of a public right redeemed all ordinary shares held by him, her or it in connection with the initial business combination or an amendment to our amended and restated memorandum and articles of association with respect to our pre-initial business combination activities. In the event we will not be the surviving company upon completion of our initial business combination, each holder of a right will be required to affirmatively convert his, her or its rights in order to receive the one tenth (1/10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of one ordinary share underlying each right upon consummation of the business combination. No additional consideration will be required to be paid by a holder of rights in order to receive his, her or its additional ordinary shares upon consummation of an initial business combination. The ordinary shares issuable upon conversion of the rights will be freely tradable (except to the extent held by affiliates of ours). If we enter into a definitive agreement for a business combination in which we will not be the surviving entity, the definitive agreement will provide for the holders of rights to receive the same consideration per ordinary share the holders of the ordinary shares will receive in the transaction on an as-converted into ordinary shares basis.</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not issue fractional ordinary shares in connection with an exchange of rights. Fractional shares will either be rounded down to the nearest whole share or otherwise addressed in accordance with Cayman Islands law. As a result, you must hold rights in multiples of ten in order to receive ordinary shares for all of your rights upon closing of a business combination. 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Further,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81" w:right="4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w:t>
      </w:r>
    </w:p>
    <w:p>
      <w:pPr>
        <w:spacing w:after="0" w:line="18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private placement rights have terms and provisions that are identical to those of the rights being sold as part of the units in this offering.</w:t>
      </w:r>
    </w:p>
    <w:p>
      <w:pPr>
        <w:spacing w:after="0" w:line="225"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The private placement rights (including the ordinary shares issuable upon conversion of the rights) will not be transferable, assignable, or salable until the completion of our initial business combination (except as described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are no preferred shares outstanding. Our amended and restated memorandum and articles of association will authorize the issuance of 1,000,000 preferred shares with such designation, rights and preferences as may be determined from time to time by our board of directors. No preferred shares are being issued or registered in this offering. Accordingly, our board of directors is empowered, without shareholder approval, to issue preferred shares with dividend, liquidation, conversion, voting or other rights which could adversely affect the voting power or other rights of the holders of ordinary shares. However, the underwriting agreement prohibits us, prior to a business combination, from issuing preferred shares which participates in any manner in the proceeds of the trust account, or which votes as a class with the ordinary shares on a business combination. We may issue some or all of the preferred shares to effect a business combination. In addition, the preferred shares could be utilized as a method of discouraging, delaying or preventing a change in control of us.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00"/>
          </w:cols>
          <w:pgMar w:left="320" w:top="481"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Although we do not currently intend to issue any preferred shares, we cannot assure you that we will not do so in the future.</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30" w:lineRule="exact"/>
        <w:rPr>
          <w:sz w:val="20"/>
          <w:szCs w:val="20"/>
          <w:color w:val="auto"/>
        </w:rPr>
      </w:pPr>
    </w:p>
    <w:p>
      <w:pPr>
        <w:ind w:left="1100" w:hanging="438"/>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of the company, a statement of the shares held by each member, which:</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distinguishes each share by its number (so long as the share has a number);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the amount paid, or agreed to be considered as paid, on the shares of each member;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the number and category of shares held by each member; and</w:t>
      </w:r>
    </w:p>
    <w:p>
      <w:pPr>
        <w:spacing w:after="0" w:line="251"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whether each relevant category of shares held by a member carries voting rights under the Articles, and if so, whether such voting rights are conditional;</w:t>
      </w:r>
    </w:p>
    <w:p>
      <w:pPr>
        <w:spacing w:after="0" w:line="189"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51"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right="280" w:firstLine="440"/>
        <w:spacing w:after="0" w:line="265" w:lineRule="auto"/>
        <w:rPr>
          <w:sz w:val="20"/>
          <w:szCs w:val="20"/>
          <w:color w:val="auto"/>
        </w:rPr>
      </w:pPr>
      <w:r>
        <w:rPr>
          <w:rFonts w:ascii="Times New Roman" w:cs="Times New Roman" w:eastAsia="Times New Roman" w:hAnsi="Times New Roman"/>
          <w:sz w:val="18"/>
          <w:szCs w:val="18"/>
          <w:color w:val="auto"/>
        </w:rPr>
        <w:t>For these purposes, “voting rights” means rights conferred on shareholders, including the right to appoint directors, in respect of their shares to vote at general meetings of the company on all or substantially all matters. A voting right is conditional where the voting right arises only in certain circumstances.</w:t>
      </w:r>
    </w:p>
    <w:p>
      <w:pPr>
        <w:spacing w:after="0" w:line="17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for our shares will be Continental Stock Transfer &amp; Trust Company.</w:t>
      </w:r>
    </w:p>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82"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We anticipate that the public units, as well as the public shares and public rights underlying the public units (once they begin separate trading), will be listed on Nasdaq under the symbols “GIWWU,” “GIW,” and “GIWWR,”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121"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8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In certain circumstances, the Companies Act allows for mergers or consolidations between two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or between a Cayman Islands exempted company and a company incorporated in another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 facilitated by the laws of that other jurisdiction) so as to form a single surviving company.</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 and (v) there is no other reason why it would be against the public interest to permit the merger or consolidation.</w:t>
      </w:r>
    </w:p>
    <w:p>
      <w:pPr>
        <w:spacing w:after="0" w:line="191" w:lineRule="exact"/>
        <w:rPr>
          <w:sz w:val="20"/>
          <w:szCs w:val="20"/>
          <w:color w:val="auto"/>
        </w:rPr>
      </w:pPr>
    </w:p>
    <w:p>
      <w:pPr>
        <w:ind w:left="120" w:right="220" w:firstLine="440"/>
        <w:spacing w:after="0" w:line="276" w:lineRule="auto"/>
        <w:rPr>
          <w:sz w:val="20"/>
          <w:szCs w:val="20"/>
          <w:color w:val="auto"/>
        </w:rPr>
      </w:pPr>
      <w:r>
        <w:rPr>
          <w:rFonts w:ascii="Times New Roman" w:cs="Times New Roman" w:eastAsia="Times New Roman" w:hAnsi="Times New Roman"/>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ind w:left="120" w:firstLine="2"/>
        <w:spacing w:after="0" w:line="253" w:lineRule="auto"/>
        <w:tabs>
          <w:tab w:leader="none" w:pos="33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60"/>
          </w:cols>
          <w:pgMar w:left="320" w:top="481" w:right="5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Where the above procedures are adopted, the Companies Act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9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and in relation to a compromise or arrangement between a company and its shareholders or any class of them, shareholders who represent 75% in value of the company’s shareholders or class of shareholders, as the case may be, that are present and voting either in person or by proxy at a meeting summoned for that purpose.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81"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380" w:firstLine="440"/>
        <w:spacing w:after="0" w:line="265" w:lineRule="auto"/>
        <w:rPr>
          <w:sz w:val="20"/>
          <w:szCs w:val="20"/>
          <w:color w:val="auto"/>
        </w:rPr>
      </w:pPr>
      <w:r>
        <w:rPr>
          <w:rFonts w:ascii="Times New Roman" w:cs="Times New Roman" w:eastAsia="Times New Roman" w:hAnsi="Times New Roman"/>
          <w:sz w:val="18"/>
          <w:szCs w:val="18"/>
          <w:color w:val="auto"/>
        </w:rPr>
        <w:t>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3" w:lineRule="exact"/>
        <w:rPr>
          <w:sz w:val="20"/>
          <w:szCs w:val="20"/>
          <w:color w:val="auto"/>
        </w:rPr>
      </w:pPr>
    </w:p>
    <w:p>
      <w:pPr>
        <w:ind w:left="1100" w:right="240" w:hanging="438"/>
        <w:spacing w:after="0" w:line="281" w:lineRule="auto"/>
        <w:tabs>
          <w:tab w:leader="none" w:pos="11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3" w:lineRule="exact"/>
        <w:rPr>
          <w:sz w:val="20"/>
          <w:szCs w:val="20"/>
          <w:color w:val="auto"/>
        </w:rPr>
      </w:pPr>
    </w:p>
    <w:p>
      <w:pPr>
        <w:ind w:left="120" w:right="300" w:firstLine="440"/>
        <w:spacing w:after="0" w:line="265"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dissenters’ rights or appraisal rights (providing rights to receive payment in cash for the judicially determined value of the shares), which would otherwise ordinarily be available to dissenting shareholders of United States corporations.</w:t>
      </w:r>
    </w:p>
    <w:p>
      <w:pPr>
        <w:spacing w:after="0" w:line="17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Squeeze-out Provisions</w:t>
      </w:r>
      <w:r>
        <w:rPr>
          <w:rFonts w:ascii="Times New Roman" w:cs="Times New Roman" w:eastAsia="Times New Roman" w:hAnsi="Times New Roman"/>
          <w:sz w:val="18"/>
          <w:szCs w:val="18"/>
          <w:color w:val="auto"/>
        </w:rPr>
        <w:t>. When a tender offer is made and accepted by holders of 90% of the shares to whom the offer relates within four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 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8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Our Cayman Islands counsel is not aware of any reported class action having been brought in a Cayman Islands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3" w:lineRule="exact"/>
        <w:rPr>
          <w:sz w:val="20"/>
          <w:szCs w:val="20"/>
          <w:color w:val="auto"/>
        </w:rPr>
      </w:pPr>
    </w:p>
    <w:p>
      <w:pPr>
        <w:ind w:left="1100" w:hanging="438"/>
        <w:spacing w:after="0"/>
        <w:tabs>
          <w:tab w:leader="none" w:pos="11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ultra vires (beyond the scope of its authority);</w:t>
      </w:r>
    </w:p>
    <w:p>
      <w:pPr>
        <w:spacing w:after="0" w:line="130" w:lineRule="exact"/>
        <w:rPr>
          <w:rFonts w:ascii="Times New Roman" w:cs="Times New Roman" w:eastAsia="Times New Roman" w:hAnsi="Times New Roman"/>
          <w:sz w:val="18"/>
          <w:szCs w:val="18"/>
          <w:color w:val="auto"/>
        </w:rPr>
      </w:pPr>
    </w:p>
    <w:p>
      <w:pPr>
        <w:ind w:left="1100" w:right="360" w:hanging="438"/>
        <w:spacing w:after="0" w:line="281" w:lineRule="auto"/>
        <w:tabs>
          <w:tab w:leader="none" w:pos="11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17"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61" w:lineRule="exact"/>
        <w:rPr>
          <w:sz w:val="20"/>
          <w:szCs w:val="20"/>
          <w:color w:val="auto"/>
        </w:rPr>
      </w:pPr>
    </w:p>
    <w:p>
      <w:pPr>
        <w:ind w:left="120" w:right="280" w:firstLine="440"/>
        <w:spacing w:after="0" w:line="283" w:lineRule="auto"/>
        <w:rPr>
          <w:sz w:val="20"/>
          <w:szCs w:val="20"/>
          <w:color w:val="auto"/>
        </w:rPr>
      </w:pP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 The Cayman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Cayman Islands companies may not have standing to sue before the Federal courts of the United States.</w:t>
      </w:r>
    </w:p>
    <w:p>
      <w:pPr>
        <w:spacing w:after="0" w:line="161" w:lineRule="exact"/>
        <w:rPr>
          <w:sz w:val="20"/>
          <w:szCs w:val="20"/>
          <w:color w:val="auto"/>
        </w:rPr>
      </w:pPr>
    </w:p>
    <w:p>
      <w:pPr>
        <w:ind w:left="120" w:right="180" w:firstLine="440"/>
        <w:spacing w:after="0" w:line="260" w:lineRule="auto"/>
        <w:rPr>
          <w:sz w:val="20"/>
          <w:szCs w:val="20"/>
          <w:color w:val="auto"/>
        </w:rPr>
      </w:pPr>
      <w:r>
        <w:rPr>
          <w:rFonts w:ascii="Times New Roman" w:cs="Times New Roman" w:eastAsia="Times New Roman" w:hAnsi="Times New Roman"/>
          <w:sz w:val="18"/>
          <w:szCs w:val="18"/>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81"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Special Considerations for Exempted Companies</w:t>
      </w:r>
      <w:r>
        <w:rPr>
          <w:rFonts w:ascii="Times New Roman" w:cs="Times New Roman" w:eastAsia="Times New Roman" w:hAnsi="Times New Roman"/>
          <w:sz w:val="18"/>
          <w:szCs w:val="18"/>
          <w:color w:val="auto"/>
        </w:rPr>
        <w:t>. We are an exempted company with limited liability (meaning our public shareholders have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0" w:lineRule="exact"/>
        <w:rPr>
          <w:sz w:val="20"/>
          <w:szCs w:val="20"/>
          <w:color w:val="auto"/>
        </w:rPr>
      </w:pPr>
    </w:p>
    <w:p>
      <w:pPr>
        <w:ind w:left="1100" w:right="40" w:hanging="438"/>
        <w:spacing w:after="0" w:line="281" w:lineRule="auto"/>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shareholder meeting;</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100" w:right="60" w:hanging="438"/>
        <w:spacing w:after="0" w:line="281" w:lineRule="auto"/>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Memorandum and Articles of Association</w:t>
      </w:r>
    </w:p>
    <w:p>
      <w:pPr>
        <w:spacing w:after="0" w:line="121"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w:t>
      </w:r>
    </w:p>
    <w:p>
      <w:pPr>
        <w:spacing w:after="0" w:line="2" w:lineRule="exact"/>
        <w:rPr>
          <w:sz w:val="20"/>
          <w:szCs w:val="20"/>
          <w:color w:val="auto"/>
        </w:rPr>
      </w:pPr>
    </w:p>
    <w:p>
      <w:pPr>
        <w:ind w:left="120" w:right="120" w:firstLine="2"/>
        <w:spacing w:after="0" w:line="252" w:lineRule="auto"/>
        <w:tabs>
          <w:tab w:leader="none" w:pos="3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authorized by a company’s articles of association, by a unanimous written resolution of all of the company’s shareholders. Our amended and restated memorandum and articles of association will provide that special resolutions must be approved either by at least two-thirds of the votes cast by such shareholders as, being entitled to do so, vote in person or, where proxies are allowed, by proxy at a shareholder meeting of the company (i.e., the lowest threshold permissible under Cayman Islands law), or by a unanimous written resolution of all of our shareholders. Further, our amended and restated memorandum and articles of association will provide that a quorum at our shareholder meetings will consist of one or more shareholders who together hold not less than one-third of the ordinary shares entitled to vote at such meeting being individuals present in person or by proxy.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81"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Specifically, our amended and restated memorandum and articles of association will provide, among other things, that:</w:t>
      </w:r>
    </w:p>
    <w:p>
      <w:pPr>
        <w:spacing w:after="0" w:line="94" w:lineRule="exact"/>
        <w:rPr>
          <w:sz w:val="20"/>
          <w:szCs w:val="20"/>
          <w:color w:val="auto"/>
        </w:rPr>
      </w:pPr>
    </w:p>
    <w:p>
      <w:pPr>
        <w:ind w:left="1100" w:hanging="438"/>
        <w:spacing w:after="0" w:line="254" w:lineRule="auto"/>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for permitted withdrawals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91" w:lineRule="exact"/>
        <w:rPr>
          <w:rFonts w:ascii="Times New Roman" w:cs="Times New Roman" w:eastAsia="Times New Roman" w:hAnsi="Times New Roman"/>
          <w:sz w:val="18"/>
          <w:szCs w:val="18"/>
          <w:color w:val="auto"/>
        </w:rPr>
      </w:pPr>
    </w:p>
    <w:p>
      <w:pPr>
        <w:ind w:left="1100" w:right="140" w:hanging="438"/>
        <w:spacing w:after="0" w:line="253" w:lineRule="auto"/>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our initial business combination, we may not, except in connection with the conversion of Class B ordinary shares into Class A ordinary shares where the holders of such shares have waived any rights to receive funds from the trust account,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w:t>
      </w:r>
    </w:p>
    <w:p>
      <w:pPr>
        <w:spacing w:after="0" w:line="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amend the foregoing provisions;</w:t>
      </w:r>
    </w:p>
    <w:p>
      <w:pPr>
        <w:spacing w:after="0" w:line="111" w:lineRule="exact"/>
        <w:rPr>
          <w:rFonts w:ascii="Times New Roman" w:cs="Times New Roman" w:eastAsia="Times New Roman" w:hAnsi="Times New Roman"/>
          <w:sz w:val="18"/>
          <w:szCs w:val="18"/>
          <w:color w:val="auto"/>
        </w:rPr>
      </w:pPr>
    </w:p>
    <w:p>
      <w:pPr>
        <w:ind w:left="1100" w:right="180" w:hanging="438"/>
        <w:spacing w:after="0" w:line="260" w:lineRule="auto"/>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enter into a business combination with a target business that is affiliated with our sponsor, our directors or our executive officers, we, or a committee of independent directors, will obtain an opinion from an independent investment banking firm or an independent valuation or accounting firm that such a business combination or transaction is fair to our company from a financial point of view;</w:t>
      </w:r>
    </w:p>
    <w:p>
      <w:pPr>
        <w:spacing w:after="0" w:line="87" w:lineRule="exact"/>
        <w:rPr>
          <w:rFonts w:ascii="Times New Roman" w:cs="Times New Roman" w:eastAsia="Times New Roman" w:hAnsi="Times New Roman"/>
          <w:sz w:val="18"/>
          <w:szCs w:val="18"/>
          <w:color w:val="auto"/>
        </w:rPr>
      </w:pPr>
    </w:p>
    <w:p>
      <w:pPr>
        <w:ind w:left="1100" w:right="20" w:hanging="438"/>
        <w:spacing w:after="0" w:line="258" w:lineRule="auto"/>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87" w:lineRule="exact"/>
        <w:rPr>
          <w:rFonts w:ascii="Times New Roman" w:cs="Times New Roman" w:eastAsia="Times New Roman" w:hAnsi="Times New Roman"/>
          <w:sz w:val="18"/>
          <w:szCs w:val="18"/>
          <w:color w:val="auto"/>
        </w:rPr>
      </w:pPr>
    </w:p>
    <w:p>
      <w:pPr>
        <w:ind w:left="1100" w:right="280" w:hanging="438"/>
        <w:spacing w:after="0" w:line="265" w:lineRule="auto"/>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complete one or more business combinations that together have an aggregate fair market value of at least 80% of the net assets held in the trust account (excluding permitted withdrawals) at the time of signing the agreement to enter into the initial business combination;</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81"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business combination must be approved by a majority of our independent directors;</w:t>
      </w:r>
    </w:p>
    <w:p>
      <w:pPr>
        <w:spacing w:after="0" w:line="130" w:lineRule="exact"/>
        <w:rPr>
          <w:rFonts w:ascii="Times New Roman" w:cs="Times New Roman" w:eastAsia="Times New Roman" w:hAnsi="Times New Roman"/>
          <w:sz w:val="18"/>
          <w:szCs w:val="18"/>
          <w:color w:val="auto"/>
        </w:rPr>
      </w:pPr>
    </w:p>
    <w:p>
      <w:pPr>
        <w:ind w:left="1100" w:right="100" w:hanging="438"/>
        <w:spacing w:after="0" w:line="254" w:lineRule="auto"/>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directors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we will provide our public shareholders with the opportunity to redeem all or a portion of their public shares upon such approval at a per-share price, payable in cash, equal to the aggregate amount then on deposit in the trust account, including interest earned on the funds held in the trust account and not previously released to us for permitted withdrawals, divided by the number of the then-outstanding public shares, subject to the limitations described herein;</w:t>
      </w:r>
    </w:p>
    <w:p>
      <w:pPr>
        <w:spacing w:after="0" w:line="94" w:lineRule="exact"/>
        <w:rPr>
          <w:rFonts w:ascii="Times New Roman" w:cs="Times New Roman" w:eastAsia="Times New Roman" w:hAnsi="Times New Roman"/>
          <w:sz w:val="18"/>
          <w:szCs w:val="18"/>
          <w:color w:val="auto"/>
        </w:rPr>
      </w:pPr>
    </w:p>
    <w:p>
      <w:pPr>
        <w:ind w:left="1100" w:right="460" w:hanging="438"/>
        <w:spacing w:after="0" w:line="281" w:lineRule="auto"/>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effectuate our initial business combination solely with another blank check company or a similar company with nominal operations; and</w:t>
      </w:r>
    </w:p>
    <w:p>
      <w:pPr>
        <w:spacing w:after="0" w:line="68" w:lineRule="exact"/>
        <w:rPr>
          <w:rFonts w:ascii="Times New Roman" w:cs="Times New Roman" w:eastAsia="Times New Roman" w:hAnsi="Times New Roman"/>
          <w:sz w:val="18"/>
          <w:szCs w:val="18"/>
          <w:color w:val="auto"/>
        </w:rPr>
      </w:pPr>
    </w:p>
    <w:p>
      <w:pPr>
        <w:ind w:left="1100" w:hanging="438"/>
        <w:spacing w:after="0" w:line="251" w:lineRule="auto"/>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198" w:lineRule="exact"/>
        <w:rPr>
          <w:sz w:val="20"/>
          <w:szCs w:val="20"/>
          <w:color w:val="auto"/>
        </w:rPr>
      </w:pPr>
    </w:p>
    <w:p>
      <w:pPr>
        <w:ind w:left="120" w:right="320" w:firstLine="440"/>
        <w:spacing w:after="0" w:line="265" w:lineRule="auto"/>
        <w:rPr>
          <w:sz w:val="20"/>
          <w:szCs w:val="20"/>
          <w:color w:val="auto"/>
        </w:rPr>
      </w:pPr>
      <w:r>
        <w:rPr>
          <w:rFonts w:ascii="Times New Roman" w:cs="Times New Roman" w:eastAsia="Times New Roman" w:hAnsi="Times New Roman"/>
          <w:sz w:val="18"/>
          <w:szCs w:val="18"/>
          <w:color w:val="auto"/>
        </w:rPr>
        <w:t xml:space="preserve">The Companies Act permits a company incorporated in the Cayman Islands to amend its memorandum and articles of association with the approval of a special resolution. A company’s articles of association may specify that the approval of a higher majority is required but,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approval of the required majority is obtained,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60"/>
          </w:cols>
          <w:pgMar w:left="320" w:top="482" w:right="5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Anti-Money Laundering — Cayman Islands</w:t>
      </w:r>
    </w:p>
    <w:p>
      <w:pPr>
        <w:spacing w:after="0" w:line="121"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82"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(As revised) of the Cayman Islands, as amended and revised from time to time (the “Regulations”). Depending on the circumstances of each application, a detailed verification of identity might not be required where:</w:t>
      </w:r>
    </w:p>
    <w:p>
      <w:pPr>
        <w:spacing w:after="0" w:line="87" w:lineRule="exact"/>
        <w:rPr>
          <w:sz w:val="20"/>
          <w:szCs w:val="20"/>
          <w:color w:val="auto"/>
        </w:rPr>
      </w:pPr>
    </w:p>
    <w:p>
      <w:pPr>
        <w:ind w:left="1100" w:hanging="546"/>
        <w:spacing w:after="0"/>
        <w:tabs>
          <w:tab w:leader="none" w:pos="11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makes the payment for their investment from an account held in the subscriber’s name at a recognized financial institution;</w:t>
      </w:r>
    </w:p>
    <w:p>
      <w:pPr>
        <w:spacing w:after="0" w:line="130" w:lineRule="exact"/>
        <w:rPr>
          <w:rFonts w:ascii="Times New Roman" w:cs="Times New Roman" w:eastAsia="Times New Roman" w:hAnsi="Times New Roman"/>
          <w:sz w:val="18"/>
          <w:szCs w:val="18"/>
          <w:color w:val="auto"/>
        </w:rPr>
      </w:pPr>
    </w:p>
    <w:p>
      <w:pPr>
        <w:ind w:left="1100" w:right="180" w:hanging="546"/>
        <w:spacing w:after="0" w:line="281" w:lineRule="auto"/>
        <w:tabs>
          <w:tab w:leader="none" w:pos="11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regulated by a recognized regulatory authority and is based or incorporated in, or formed under the law of, a recognized jurisdiction; or</w:t>
      </w:r>
    </w:p>
    <w:p>
      <w:pPr>
        <w:spacing w:after="0" w:line="68" w:lineRule="exact"/>
        <w:rPr>
          <w:rFonts w:ascii="Times New Roman" w:cs="Times New Roman" w:eastAsia="Times New Roman" w:hAnsi="Times New Roman"/>
          <w:sz w:val="18"/>
          <w:szCs w:val="18"/>
          <w:color w:val="auto"/>
        </w:rPr>
      </w:pPr>
    </w:p>
    <w:p>
      <w:pPr>
        <w:ind w:left="1100" w:right="60" w:hanging="546"/>
        <w:spacing w:after="0" w:line="265" w:lineRule="auto"/>
        <w:tabs>
          <w:tab w:leader="none" w:pos="11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77" w:lineRule="exact"/>
        <w:rPr>
          <w:sz w:val="20"/>
          <w:szCs w:val="20"/>
          <w:color w:val="auto"/>
        </w:rPr>
      </w:pPr>
    </w:p>
    <w:p>
      <w:pPr>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77"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3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We also reserve the right to refuse to make any distribution payment to a shareholder if our directors or officers suspect or are advised that the payment of such distribution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8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(“FRA”) or a nominated officer (appointed in accordance with the Proceeds of Crime Act (As Revised) of the Cayman Islands) if the disclosure relates to criminal conduct or money laundering, or (ii) the FRA or a police constable or a nominated officer, pursuant to the Terrorism Act (As Revised) of the Cayman Islands, if the disclosure relates to</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81"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involvement with terrorism or terrorist financing and terrorist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8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Protection in the Cayman Islands — Privacy Notice</w:t>
      </w:r>
    </w:p>
    <w:p>
      <w:pPr>
        <w:spacing w:after="0" w:line="121" w:lineRule="exact"/>
        <w:rPr>
          <w:sz w:val="20"/>
          <w:szCs w:val="20"/>
          <w:color w:val="auto"/>
        </w:rPr>
      </w:pPr>
    </w:p>
    <w:p>
      <w:pPr>
        <w:jc w:val="both"/>
        <w:ind w:left="120" w:right="320" w:firstLine="440"/>
        <w:spacing w:after="0" w:line="265" w:lineRule="auto"/>
        <w:rPr>
          <w:sz w:val="20"/>
          <w:szCs w:val="20"/>
          <w:color w:val="auto"/>
        </w:rPr>
      </w:pPr>
      <w:r>
        <w:rPr>
          <w:rFonts w:ascii="Times New Roman" w:cs="Times New Roman" w:eastAsia="Times New Roman" w:hAnsi="Times New Roman"/>
          <w:sz w:val="18"/>
          <w:szCs w:val="18"/>
          <w:color w:val="auto"/>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(“DPL”).</w:t>
      </w:r>
    </w:p>
    <w:p>
      <w:pPr>
        <w:spacing w:after="0" w:line="177" w:lineRule="exact"/>
        <w:rPr>
          <w:sz w:val="20"/>
          <w:szCs w:val="20"/>
          <w:color w:val="auto"/>
        </w:rPr>
      </w:pPr>
    </w:p>
    <w:p>
      <w:pPr>
        <w:ind w:left="120" w:right="60" w:firstLine="440"/>
        <w:spacing w:after="0" w:line="288" w:lineRule="auto"/>
        <w:rPr>
          <w:sz w:val="20"/>
          <w:szCs w:val="20"/>
          <w:color w:val="auto"/>
        </w:rPr>
      </w:pPr>
      <w:r>
        <w:rPr>
          <w:rFonts w:ascii="Times New Roman" w:cs="Times New Roman" w:eastAsia="Times New Roman" w:hAnsi="Times New Roman"/>
          <w:sz w:val="17"/>
          <w:szCs w:val="17"/>
          <w:color w:val="auto"/>
        </w:rPr>
        <w:t>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w:t>
      </w:r>
    </w:p>
    <w:p>
      <w:pPr>
        <w:spacing w:after="0" w:line="15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63"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82"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500"/>
        <w:spacing w:after="0" w:line="281" w:lineRule="auto"/>
        <w:rPr>
          <w:sz w:val="20"/>
          <w:szCs w:val="20"/>
          <w:color w:val="auto"/>
        </w:rPr>
      </w:pPr>
      <w:r>
        <w:rPr>
          <w:rFonts w:ascii="Times New Roman" w:cs="Times New Roman" w:eastAsia="Times New Roman" w:hAnsi="Times New Roman"/>
          <w:sz w:val="18"/>
          <w:szCs w:val="18"/>
          <w:color w:val="auto"/>
        </w:rPr>
        <w:t>processing of personal data for any other specific purpose. As a data controller, we will only use your personal data for the purposes for which we collected it. If we need to use your personal data for an unrelated purpose, we will contact you.</w:t>
      </w:r>
    </w:p>
    <w:p>
      <w:pPr>
        <w:spacing w:after="0" w:line="16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 Your personal data shall not be held by the company for longer than necessary with regard to the purposes of the data processing.</w:t>
      </w:r>
    </w:p>
    <w:p>
      <w:pPr>
        <w:spacing w:after="0" w:line="18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Cayman Islands shall be in accordance with the requirements of the DPL. Where necessary, we will ensure that separate and appropriate legal agreements are put in place with the recipient of that data.</w:t>
      </w:r>
    </w:p>
    <w:p>
      <w:pPr>
        <w:spacing w:after="0" w:line="163" w:lineRule="exact"/>
        <w:rPr>
          <w:sz w:val="20"/>
          <w:szCs w:val="20"/>
          <w:color w:val="auto"/>
        </w:rPr>
      </w:pPr>
    </w:p>
    <w:p>
      <w:pPr>
        <w:ind w:left="120" w:right="540" w:firstLine="440"/>
        <w:spacing w:after="0" w:line="265" w:lineRule="auto"/>
        <w:rPr>
          <w:sz w:val="20"/>
          <w:szCs w:val="20"/>
          <w:color w:val="auto"/>
        </w:rPr>
      </w:pPr>
      <w:r>
        <w:rPr>
          <w:rFonts w:ascii="Times New Roman" w:cs="Times New Roman" w:eastAsia="Times New Roman" w:hAnsi="Times New Roman"/>
          <w:sz w:val="18"/>
          <w:szCs w:val="18"/>
          <w:color w:val="auto"/>
        </w:rPr>
        <w:t>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6"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77" w:lineRule="exact"/>
        <w:rPr>
          <w:sz w:val="20"/>
          <w:szCs w:val="20"/>
          <w:color w:val="auto"/>
        </w:rPr>
      </w:pPr>
    </w:p>
    <w:p>
      <w:pPr>
        <w:ind w:left="120" w:right="280" w:firstLine="440"/>
        <w:spacing w:after="0" w:line="260" w:lineRule="auto"/>
        <w:rPr>
          <w:sz w:val="20"/>
          <w:szCs w:val="20"/>
          <w:color w:val="auto"/>
        </w:rPr>
      </w:pPr>
      <w:r>
        <w:rPr>
          <w:rFonts w:ascii="Times New Roman" w:cs="Times New Roman" w:eastAsia="Times New Roman" w:hAnsi="Times New Roman"/>
          <w:sz w:val="18"/>
          <w:szCs w:val="18"/>
          <w:color w:val="auto"/>
        </w:rPr>
        <w:t>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82"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0" w:lineRule="exact"/>
        <w:rPr>
          <w:sz w:val="20"/>
          <w:szCs w:val="20"/>
          <w:color w:val="auto"/>
        </w:rPr>
      </w:pPr>
    </w:p>
    <w:p>
      <w:pPr>
        <w:ind w:left="5480" w:right="2460" w:hanging="4818"/>
        <w:spacing w:after="0" w:line="453" w:lineRule="auto"/>
        <w:tabs>
          <w:tab w:leader="none" w:pos="108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 204</w:t>
      </w:r>
    </w:p>
    <w:p>
      <w:pPr>
        <w:sectPr>
          <w:pgSz w:w="11900" w:h="16838" w:orient="portrait"/>
          <w:cols w:equalWidth="0" w:num="1">
            <w:col w:w="11120"/>
          </w:cols>
          <w:pgMar w:left="320" w:top="481"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20" w:hanging="438"/>
        <w:spacing w:after="0" w:line="312" w:lineRule="auto"/>
        <w:tabs>
          <w:tab w:leader="none" w:pos="11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compliance with a legal and regulatory obligation to which we are subject (such as compliance with anti-money laundering, counter terrorist financing, prevention of proliferation financing, financial sanctions and FATCA/CRS requirements); and/or</w:t>
      </w:r>
    </w:p>
    <w:p>
      <w:pPr>
        <w:spacing w:after="0" w:line="44" w:lineRule="exact"/>
        <w:rPr>
          <w:rFonts w:ascii="Times New Roman" w:cs="Times New Roman" w:eastAsia="Times New Roman" w:hAnsi="Times New Roman"/>
          <w:sz w:val="17"/>
          <w:szCs w:val="17"/>
          <w:color w:val="auto"/>
        </w:rPr>
      </w:pPr>
    </w:p>
    <w:p>
      <w:pPr>
        <w:ind w:left="1100" w:right="340" w:hanging="438"/>
        <w:spacing w:after="0" w:line="281" w:lineRule="auto"/>
        <w:tabs>
          <w:tab w:leader="none" w:pos="11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55"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8"/>
          <w:szCs w:val="18"/>
          <w:color w:val="auto"/>
        </w:rPr>
        <w:t>Should the company wish to use personal data for other specific purposes (including, if applicable, any purpose that requires your consent), we will contact you.</w:t>
      </w:r>
    </w:p>
    <w:p>
      <w:pPr>
        <w:spacing w:after="0" w:line="16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have certain rights under the DPL,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89"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Our authorized but unissued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preferred shares could render more difficult or discourage an attempt to obtain control of us by means of a proxy contest, tender offer, merger or otherwise.</w:t>
      </w:r>
    </w:p>
    <w:p>
      <w:pPr>
        <w:spacing w:after="0" w:line="182"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In addition, prior to the closing of our initial business combination, only holders of our Class B ordinary shares will have the right to appoint and remove directors prior to or in connection with the completion of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Extraordinary General Meetings</w:t>
      </w:r>
    </w:p>
    <w:p>
      <w:pPr>
        <w:spacing w:after="0" w:line="121"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extraordinary general meetings may be called only by a majority vote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adopt a compensation recovery policy that is compliant with Nasdaq listing rules as required by the Dodd-Frank Act.</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 Notice Requirements for Shareholder Proposals and Director Nominations</w:t>
      </w:r>
    </w:p>
    <w:p>
      <w:pPr>
        <w:spacing w:after="0" w:line="121" w:lineRule="exact"/>
        <w:rPr>
          <w:sz w:val="20"/>
          <w:szCs w:val="20"/>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shareholders seeking to bring business before our annual general meeting, or to nominate candidates for appointment as directors at our</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00"/>
          </w:cols>
          <w:pgMar w:left="320" w:top="481"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annual general meeting must provide timely notice of their intent in writing. To be timely, a shareholder’s notice will need to be received by the company secretary at our principal executive offices not later than the close of business on the 90th day nor earlier than the close of business on the 120th day prior to the anniversary date of the immediately preceding annual general meeting. Pursuant to Rule 14a-8 under the Exchange Act, proposals seeking inclusion in our annual proxy statement must comply with the notice periods contained therein. Our amended and restated memorandum and articles of association will also specify certain requirements as to the form and content of a shareholders’ meeting. These provisions may preclude our shareholders from bringing matters before our annual general meeting or from making nominations for directors at our annual general meeting. Our amended and restated memorandum and articles of association will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7"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82"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2"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81"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Immediately after this offering we will have 31,741,483 ordinary shares (or 36,472,089 ordinary shares if the over-allotment option is exercised in full) outstanding. Of these shares, the 22,000,000 public shares (or 25,300,000 public shares if the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6,826,286 founder shares (or 7,850,229 founder shares if the over-allotment is exercised in full), 2,577,522 private investor shares (or 2,964,203 private investor shares if the over-allotment is exercised in full) purchased by non-managing investors, and 337,675 private placement units (or 357,657 private placement units if the over-allotment is exercised in full) are restricted securities under Rule 144, in that they were issued in private transactions not involving a public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transfer restrictions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 xml:space="preserve">Our sponsor, the non-managing investors and our management team have agreed not to transfer, assign or sell any of their founder shares and private investor shares (and underlying securities)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They have also agreed to lock-up the private placement units (and underlying securities) until thirty days after the date of the consummation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investor shares or private placement units, as applicable, were originally purchased; (f) by virtue of our sponsor’s organizational documents upon liquidation or dissolution of our sponsor; (g) to the Company for no value for cancellation in connection with the consummation of our initial business combination;</w:t>
      </w:r>
    </w:p>
    <w:p>
      <w:pPr>
        <w:spacing w:after="0" w:line="4" w:lineRule="exact"/>
        <w:rPr>
          <w:sz w:val="20"/>
          <w:szCs w:val="20"/>
          <w:color w:val="auto"/>
        </w:rPr>
      </w:pPr>
    </w:p>
    <w:p>
      <w:pPr>
        <w:ind w:left="120" w:right="280" w:firstLine="2"/>
        <w:spacing w:after="0" w:line="250" w:lineRule="auto"/>
        <w:tabs>
          <w:tab w:leader="none" w:pos="3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our liquidation prior to the completion of our initial business combination; or (i) in the event of our completion of a liquidation, merger, share exchange or other similar transaction which results in all of our public shareholders having the right to exchange their public shares for cash, securities or other property subsequent to our completion of our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clauses</w:t>
      </w:r>
    </w:p>
    <w:p>
      <w:pPr>
        <w:ind w:left="120" w:right="780" w:firstLine="2"/>
        <w:spacing w:after="0" w:line="260" w:lineRule="auto"/>
        <w:tabs>
          <w:tab w:leader="none" w:pos="3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these permitted transferees must enter into a written agreement agreeing to be bound by these transfer restrictions and the other restrictions contained in the letter agreement.</w:t>
      </w:r>
    </w:p>
    <w:p>
      <w:pPr>
        <w:spacing w:after="0" w:line="180"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The letter agreement with our sponsor, executive officers and directors that includes the transfer restrictions described in the foregoing may be amended without shareholder approval with our written consent as well as the written consent of the sponsor and our directors and officers to the extent they are the subject of any change, amendment, modification or waiver to the letter agreement. The written consent of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82"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dispose of, directly or indirectly, Class A ordinary shares or any other securities convertible into, or exercisable, or exchangeable for, Class A ordinary shares (for more information on the transfer restrictions included in the underwriting agreement, also see “</w:t>
      </w:r>
      <w:r>
        <w:rPr>
          <w:rFonts w:ascii="Times New Roman" w:cs="Times New Roman" w:eastAsia="Times New Roman" w:hAnsi="Times New Roman"/>
          <w:sz w:val="18"/>
          <w:szCs w:val="18"/>
          <w:i w:val="1"/>
          <w:iCs w:val="1"/>
          <w:color w:val="auto"/>
        </w:rPr>
        <w:t>Securities Eligible for Future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Transfer Restrictions</w:t>
      </w:r>
      <w:r>
        <w:rPr>
          <w:rFonts w:ascii="Times New Roman" w:cs="Times New Roman" w:eastAsia="Times New Roman" w:hAnsi="Times New Roman"/>
          <w:sz w:val="18"/>
          <w:szCs w:val="18"/>
          <w:color w:val="auto"/>
        </w:rPr>
        <w:t>”). While we do not expect our board to approve any amendment to the letter agreement prior to our initial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securities for at least six months would be entitled to sell their securities provided that (i) such person is not deemed to have been one of our affiliates at the time of, or at any time during the three months preceding, a sale and</w:t>
      </w:r>
    </w:p>
    <w:p>
      <w:pPr>
        <w:ind w:left="120" w:right="80" w:firstLine="2"/>
        <w:spacing w:after="0" w:line="260" w:lineRule="auto"/>
        <w:tabs>
          <w:tab w:leader="none" w:pos="3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0" w:lineRule="exact"/>
        <w:rPr>
          <w:sz w:val="20"/>
          <w:szCs w:val="20"/>
          <w:color w:val="auto"/>
        </w:rPr>
      </w:pPr>
    </w:p>
    <w:p>
      <w:pPr>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3" w:lineRule="exact"/>
        <w:rPr>
          <w:sz w:val="20"/>
          <w:szCs w:val="20"/>
          <w:color w:val="auto"/>
        </w:rPr>
      </w:pPr>
    </w:p>
    <w:p>
      <w:pPr>
        <w:ind w:left="1100" w:right="160" w:hanging="438"/>
        <w:spacing w:after="0" w:line="281" w:lineRule="auto"/>
        <w:tabs>
          <w:tab w:leader="none" w:pos="11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our ordinary shares then outstanding, which will equal 317,414 shares immediately after this offering (or 364,720 if the underwriters exercise their over-allotment option in full); or</w:t>
      </w:r>
    </w:p>
    <w:p>
      <w:pPr>
        <w:spacing w:after="0" w:line="68"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shares of our public shares during the four calendar weeks preceding the filing of a notice on Form 144 with respect to the sale.</w:t>
      </w:r>
    </w:p>
    <w:p>
      <w:pPr>
        <w:spacing w:after="0" w:line="163"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spacing w:after="0" w:line="83" w:lineRule="exact"/>
        <w:rPr>
          <w:sz w:val="20"/>
          <w:szCs w:val="20"/>
          <w:color w:val="auto"/>
        </w:rPr>
      </w:pPr>
    </w:p>
    <w:p>
      <w:pPr>
        <w:ind w:left="1100" w:hanging="438"/>
        <w:spacing w:after="0"/>
        <w:tabs>
          <w:tab w:leader="none" w:pos="1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100" w:hanging="438"/>
        <w:spacing w:after="0" w:line="312" w:lineRule="auto"/>
        <w:tabs>
          <w:tab w:leader="none" w:pos="11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44" w:lineRule="exact"/>
        <w:rPr>
          <w:rFonts w:ascii="Times New Roman" w:cs="Times New Roman" w:eastAsia="Times New Roman" w:hAnsi="Times New Roman"/>
          <w:sz w:val="17"/>
          <w:szCs w:val="17"/>
          <w:color w:val="auto"/>
        </w:rPr>
      </w:pPr>
    </w:p>
    <w:p>
      <w:pPr>
        <w:ind w:left="1100" w:right="260" w:hanging="438"/>
        <w:spacing w:after="0" w:line="281" w:lineRule="auto"/>
        <w:tabs>
          <w:tab w:leader="none" w:pos="1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10-type information with the SEC reflecting its status as an entity that is not a shell company.</w:t>
      </w:r>
    </w:p>
    <w:p>
      <w:pPr>
        <w:spacing w:after="0" w:line="163"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As a result, our initial shareholders will be able to sell their founder shares, private investor shares, private placement shares and shares issued upon conversion of the private placement rights upon the consummation of our initial business combination, as applicable, pursuant to Rule 144 without registration one year after we have completed our initial business combination.</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81"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920" w:firstLine="440"/>
        <w:spacing w:after="0" w:line="281" w:lineRule="auto"/>
        <w:rPr>
          <w:sz w:val="20"/>
          <w:szCs w:val="20"/>
          <w:color w:val="auto"/>
        </w:rPr>
      </w:pPr>
      <w:r>
        <w:rPr>
          <w:rFonts w:ascii="Times New Roman" w:cs="Times New Roman" w:eastAsia="Times New Roman" w:hAnsi="Times New Roman"/>
          <w:sz w:val="18"/>
          <w:szCs w:val="18"/>
          <w:color w:val="auto"/>
        </w:rPr>
        <w:t>The below table summarizes the material terms of the restrictions described in the subsections above and whether and when our initial shareholders may sell securities purchased in connection with this offering:</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1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Standoff</w:t>
            </w:r>
          </w:p>
        </w:tc>
        <w:tc>
          <w:tcPr>
            <w:tcW w:w="2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Standoff</w:t>
            </w:r>
          </w:p>
        </w:tc>
        <w:tc>
          <w:tcPr>
            <w:tcW w:w="1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Stakeholder</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2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6"/>
                <w:szCs w:val="16"/>
                <w:color w:val="auto"/>
              </w:rPr>
            </w:pPr>
          </w:p>
        </w:tc>
        <w:tc>
          <w:tcPr>
            <w:tcW w:w="58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Market Standoff Period</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91"/>
        </w:trPr>
        <w:tc>
          <w:tcPr>
            <w:tcW w:w="1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Sponsor</w:t>
            </w:r>
          </w:p>
        </w:tc>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Letter Agreement</w:t>
            </w:r>
          </w:p>
        </w:tc>
        <w:tc>
          <w:tcPr>
            <w:tcW w:w="220" w:type="dxa"/>
            <w:vAlign w:val="bottom"/>
          </w:tcPr>
          <w:p>
            <w:pPr>
              <w:spacing w:after="0"/>
              <w:rPr>
                <w:sz w:val="16"/>
                <w:szCs w:val="16"/>
                <w:color w:val="auto"/>
              </w:rPr>
            </w:pPr>
          </w:p>
        </w:tc>
        <w:tc>
          <w:tcPr>
            <w:tcW w:w="1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Founder shares</w:t>
            </w:r>
          </w:p>
        </w:tc>
        <w:tc>
          <w:tcPr>
            <w:tcW w:w="12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Subject to the exceptions described above, the earlier of (A) six months after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 of the consummation of our initial business combination or (B) subsequent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our initial business combination, (x) the date on which the last sale price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our ordinary shares equals or exceeds $11.50 per share (as adjusted for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hare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divisions, share dividends, reorganizations, recapitalizations and the like) for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20 trading days within any 30-trading day period commencing at least 90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days after our initial business combination, or (y) the date on which we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consummate a liquidation, merger, stock exchange or other similar transaction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after our initial business combination which results in all of our shareholders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having the right to exchange their ordinary shares for cash, securities or other</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w:t>
            </w:r>
          </w:p>
        </w:tc>
        <w:tc>
          <w:tcPr>
            <w:tcW w:w="0" w:type="dxa"/>
            <w:vAlign w:val="bottom"/>
          </w:tcPr>
          <w:p>
            <w:pPr>
              <w:spacing w:after="0"/>
              <w:rPr>
                <w:sz w:val="1"/>
                <w:szCs w:val="1"/>
                <w:color w:val="auto"/>
              </w:rPr>
            </w:pPr>
          </w:p>
        </w:tc>
      </w:tr>
      <w:tr>
        <w:trPr>
          <w:trHeight w:val="305"/>
        </w:trPr>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Private placement units</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exceptions described above, thirty days after the date of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underlying</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140"/>
          </w:cols>
          <w:pgMar w:left="320" w:top="482" w:right="439" w:bottom="1440" w:gutter="0" w:footer="0" w:header="0"/>
        </w:sectPr>
      </w:pPr>
    </w:p>
    <w:p>
      <w:pPr>
        <w:ind w:left="3420"/>
        <w:spacing w:after="0"/>
        <w:rPr>
          <w:sz w:val="20"/>
          <w:szCs w:val="20"/>
          <w:color w:val="auto"/>
        </w:rPr>
      </w:pPr>
      <w:r>
        <w:rPr>
          <w:rFonts w:ascii="Times New Roman" w:cs="Times New Roman" w:eastAsia="Times New Roman" w:hAnsi="Times New Roman"/>
          <w:sz w:val="18"/>
          <w:szCs w:val="18"/>
          <w:color w:val="auto"/>
        </w:rPr>
        <w:t>Public shares (if any</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purchased in connection</w:t>
      </w:r>
    </w:p>
    <w:p>
      <w:pPr>
        <w:spacing w:after="0" w:line="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with this offering)</w:t>
      </w:r>
    </w:p>
    <w:p>
      <w:pPr>
        <w:spacing w:after="0" w:line="98" w:lineRule="exact"/>
        <w:rPr>
          <w:sz w:val="20"/>
          <w:szCs w:val="20"/>
          <w:color w:val="auto"/>
        </w:rPr>
      </w:pPr>
    </w:p>
    <w:p>
      <w:pPr>
        <w:ind w:left="120"/>
        <w:spacing w:after="0"/>
        <w:tabs>
          <w:tab w:leader="none" w:pos="1740" w:val="left"/>
          <w:tab w:leader="none" w:pos="3400" w:val="left"/>
        </w:tabs>
        <w:rPr>
          <w:sz w:val="20"/>
          <w:szCs w:val="20"/>
          <w:color w:val="auto"/>
        </w:rPr>
      </w:pPr>
      <w:r>
        <w:rPr>
          <w:rFonts w:ascii="Times New Roman" w:cs="Times New Roman" w:eastAsia="Times New Roman" w:hAnsi="Times New Roman"/>
          <w:sz w:val="18"/>
          <w:szCs w:val="18"/>
          <w:color w:val="auto"/>
        </w:rPr>
        <w:t>Directors and</w:t>
      </w:r>
      <w:r>
        <w:rPr>
          <w:sz w:val="20"/>
          <w:szCs w:val="20"/>
          <w:color w:val="auto"/>
        </w:rPr>
        <w:tab/>
      </w:r>
      <w:r>
        <w:rPr>
          <w:rFonts w:ascii="Times New Roman" w:cs="Times New Roman" w:eastAsia="Times New Roman" w:hAnsi="Times New Roman"/>
          <w:sz w:val="18"/>
          <w:szCs w:val="18"/>
          <w:color w:val="auto"/>
        </w:rPr>
        <w:t>Letter Agreement</w:t>
      </w:r>
      <w:r>
        <w:rPr>
          <w:sz w:val="20"/>
          <w:szCs w:val="20"/>
          <w:color w:val="auto"/>
        </w:rPr>
        <w:tab/>
      </w:r>
      <w:r>
        <w:rPr>
          <w:rFonts w:ascii="Times New Roman" w:cs="Times New Roman" w:eastAsia="Times New Roman" w:hAnsi="Times New Roman"/>
          <w:sz w:val="17"/>
          <w:szCs w:val="17"/>
          <w:color w:val="auto"/>
        </w:rPr>
        <w:t>Founder shares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180 days from the date of this prospectus</w:t>
      </w:r>
    </w:p>
    <w:p>
      <w:pPr>
        <w:spacing w:after="0" w:line="200" w:lineRule="exact"/>
        <w:rPr>
          <w:sz w:val="20"/>
          <w:szCs w:val="20"/>
          <w:color w:val="auto"/>
        </w:rPr>
      </w:pPr>
    </w:p>
    <w:p>
      <w:pPr>
        <w:spacing w:after="0" w:line="3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Subject to the exceptions described above,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p>
      <w:pPr>
        <w:spacing w:after="0" w:line="81" w:lineRule="exact"/>
        <w:rPr>
          <w:sz w:val="20"/>
          <w:szCs w:val="20"/>
          <w:color w:val="auto"/>
        </w:rPr>
      </w:pPr>
    </w:p>
    <w:p>
      <w:pPr>
        <w:sectPr>
          <w:pgSz w:w="11900" w:h="16838" w:orient="portrait"/>
          <w:cols w:equalWidth="0" w:num="2">
            <w:col w:w="5160" w:space="140"/>
            <w:col w:w="5840"/>
          </w:cols>
          <w:pgMar w:left="320" w:top="482" w:right="439" w:bottom="1440" w:gutter="0" w:footer="0" w:header="0"/>
          <w:type w:val="continuous"/>
        </w:sectPr>
      </w:pPr>
    </w:p>
    <w:p>
      <w:pPr>
        <w:ind w:left="3420"/>
        <w:spacing w:after="0"/>
        <w:tabs>
          <w:tab w:leader="none" w:pos="5280" w:val="left"/>
        </w:tabs>
        <w:rPr>
          <w:sz w:val="20"/>
          <w:szCs w:val="20"/>
          <w:color w:val="auto"/>
        </w:rPr>
      </w:pPr>
      <w:r>
        <w:rPr>
          <w:rFonts w:ascii="Times New Roman" w:cs="Times New Roman" w:eastAsia="Times New Roman" w:hAnsi="Times New Roman"/>
          <w:sz w:val="18"/>
          <w:szCs w:val="18"/>
          <w:color w:val="auto"/>
        </w:rPr>
        <w:t>Private placement units</w:t>
      </w:r>
      <w:r>
        <w:rPr>
          <w:sz w:val="20"/>
          <w:szCs w:val="20"/>
          <w:color w:val="auto"/>
        </w:rPr>
        <w:tab/>
      </w:r>
      <w:r>
        <w:rPr>
          <w:rFonts w:ascii="Times New Roman" w:cs="Times New Roman" w:eastAsia="Times New Roman" w:hAnsi="Times New Roman"/>
          <w:sz w:val="17"/>
          <w:szCs w:val="17"/>
          <w:color w:val="auto"/>
        </w:rPr>
        <w:t>Subject to the exceptions described above, thirty days after the date of the</w:t>
      </w:r>
    </w:p>
    <w:p>
      <w:pPr>
        <w:spacing w:after="0" w:line="27" w:lineRule="exact"/>
        <w:rPr>
          <w:sz w:val="20"/>
          <w:szCs w:val="20"/>
          <w:color w:val="auto"/>
        </w:rPr>
      </w:pPr>
    </w:p>
    <w:p>
      <w:pPr>
        <w:ind w:left="3420"/>
        <w:spacing w:after="0"/>
        <w:tabs>
          <w:tab w:leader="none" w:pos="5280" w:val="left"/>
        </w:tabs>
        <w:rPr>
          <w:sz w:val="20"/>
          <w:szCs w:val="20"/>
          <w:color w:val="auto"/>
        </w:rPr>
      </w:pPr>
      <w:r>
        <w:rPr>
          <w:rFonts w:ascii="Times New Roman" w:cs="Times New Roman" w:eastAsia="Times New Roman" w:hAnsi="Times New Roman"/>
          <w:sz w:val="18"/>
          <w:szCs w:val="18"/>
          <w:color w:val="auto"/>
        </w:rPr>
        <w:t>(and underlying</w:t>
      </w:r>
      <w:r>
        <w:rPr>
          <w:sz w:val="20"/>
          <w:szCs w:val="20"/>
          <w:color w:val="auto"/>
        </w:rPr>
        <w:tab/>
      </w:r>
      <w:r>
        <w:rPr>
          <w:rFonts w:ascii="Times New Roman" w:cs="Times New Roman" w:eastAsia="Times New Roman" w:hAnsi="Times New Roman"/>
          <w:sz w:val="17"/>
          <w:szCs w:val="17"/>
          <w:color w:val="auto"/>
        </w:rPr>
        <w:t>consummation of our initial business combination.</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securities)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40"/>
          </w:cols>
          <w:pgMar w:left="320" w:top="482" w:right="43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w:t>
            </w:r>
          </w:p>
        </w:tc>
        <w:tc>
          <w:tcPr>
            <w:tcW w:w="1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Standoff</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Market</w:t>
            </w:r>
          </w:p>
        </w:tc>
        <w:tc>
          <w:tcPr>
            <w:tcW w:w="1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Standoff</w:t>
            </w:r>
          </w:p>
        </w:tc>
        <w:tc>
          <w:tcPr>
            <w:tcW w:w="1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Stakeholder</w:t>
            </w:r>
          </w:p>
        </w:tc>
        <w:tc>
          <w:tcPr>
            <w:tcW w:w="3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6"/>
                <w:szCs w:val="16"/>
                <w:color w:val="auto"/>
              </w:rPr>
            </w:pPr>
          </w:p>
        </w:tc>
        <w:tc>
          <w:tcPr>
            <w:tcW w:w="63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Market Standoff Period</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85"/>
        </w:trPr>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Public shares (if</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180 days from the date of this prospectus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purchased</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connection</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 this</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offering)</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Non-managing</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Subscription</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Private</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exceptions described above, thirty days after the date of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Agreements</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placement units</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underlying</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Private investor</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exceptions described above, the earlier of (A) six months after the date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consummation of our initial business combination or (B) subsequent to our initial</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business combination, (x) the date on which the last sale price of our ordinary shares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equals or exceeds $11.50 per share (as adjusted for share divisions, share dividends,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reorganizations, recapitalizations and the like) for any 20 trading days within any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30-trading day period commencing at least 90 days after our initial business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combination, or (y) the date on which we consummate a liquidation, merger, stock</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or other similar transaction after our initial business combination which</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results in all of our shareholders having the right to exchange their ordinary shares for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securities or other property</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60" w:right="100" w:hanging="438"/>
        <w:spacing w:after="0" w:line="261" w:lineRule="auto"/>
        <w:tabs>
          <w:tab w:leader="none" w:pos="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on the number securities beneficial held by our initial shareholders, please see the section entitled “</w:t>
      </w:r>
      <w:r>
        <w:rPr>
          <w:rFonts w:ascii="Times New Roman" w:cs="Times New Roman" w:eastAsia="Times New Roman" w:hAnsi="Times New Roman"/>
          <w:sz w:val="18"/>
          <w:szCs w:val="18"/>
          <w:i w:val="1"/>
          <w:iCs w:val="1"/>
          <w:color w:val="auto"/>
        </w:rPr>
        <w:t>Principal Shareholders</w:t>
      </w:r>
      <w:r>
        <w:rPr>
          <w:rFonts w:ascii="Times New Roman" w:cs="Times New Roman" w:eastAsia="Times New Roman" w:hAnsi="Times New Roman"/>
          <w:sz w:val="18"/>
          <w:szCs w:val="18"/>
          <w:color w:val="auto"/>
        </w:rPr>
        <w:t>” in this prospectus.</w:t>
      </w:r>
    </w:p>
    <w:p>
      <w:pPr>
        <w:spacing w:after="0" w:line="1" w:lineRule="exact"/>
        <w:rPr>
          <w:rFonts w:ascii="Times New Roman" w:cs="Times New Roman" w:eastAsia="Times New Roman" w:hAnsi="Times New Roman"/>
          <w:sz w:val="18"/>
          <w:szCs w:val="18"/>
          <w:color w:val="auto"/>
        </w:rPr>
      </w:pPr>
    </w:p>
    <w:p>
      <w:pPr>
        <w:ind w:left="560" w:right="20" w:hanging="438"/>
        <w:spacing w:after="0" w:line="252" w:lineRule="auto"/>
        <w:tabs>
          <w:tab w:leader="none" w:pos="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private investor shares and private placement shares issued in connection with this offering are restricted securities and subject to the limitations on transfer described above under “</w:t>
      </w:r>
      <w:r>
        <w:rPr>
          <w:rFonts w:ascii="Times New Roman" w:cs="Times New Roman" w:eastAsia="Times New Roman" w:hAnsi="Times New Roman"/>
          <w:sz w:val="18"/>
          <w:szCs w:val="18"/>
          <w:i w:val="1"/>
          <w:iCs w:val="1"/>
          <w:color w:val="auto"/>
        </w:rPr>
        <w:t>Securities Eligible for Future Sale — Rule 144.</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Securities Eligible for Future Sale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Restrictions on the Use of Rule 144 by Shell Companies or Former Shell Companies</w:t>
      </w:r>
      <w:r>
        <w:rPr>
          <w:rFonts w:ascii="Times New Roman" w:cs="Times New Roman" w:eastAsia="Times New Roman" w:hAnsi="Times New Roman"/>
          <w:sz w:val="18"/>
          <w:szCs w:val="18"/>
          <w:color w:val="auto"/>
        </w:rPr>
        <w:t>.” Further, our initial shareholders that become affiliates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post-business combination company for purposes of Rule 144 under the Securities Act may be subject to additional resale restrictions, as described above.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agreements to be entered into on the date of this prospectus, our initial shareholders and their permitted transferees, may demand that we register for resale the founder shares, private investor shares, private placement shares and shares issued upon conversion of the private placement rights upon the consummation of our initial business combination. The holders of a majority of these securities are entitled to make up to three demands, excluding short form demands, that we register such securities.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40"/>
          </w:cols>
          <w:pgMar w:left="320" w:top="482"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of certain Cayman Islands and United States federal income tax consequences of an investment in our public units, each consisting of one Class A ordinary share and one right entitling the holder thereof to receive one-tenth of one ordinary share upon the completion of an initial business combination,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public shares and public rights, such as the tax consequences under state, local and other tax laws.</w:t>
      </w:r>
    </w:p>
    <w:p>
      <w:pPr>
        <w:spacing w:after="0" w:line="182"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8"/>
          <w:szCs w:val="18"/>
          <w:color w:val="auto"/>
        </w:rPr>
        <w:t>Prospective investors should consult their advisors on the possible tax consequences of investing in our securities under the laws of their country of citizenship, residence or domicile.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21"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121"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spacing w:after="0" w:line="170"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Class A ordinary shares or on an instrument of transfer in respect of such shares.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Our company has been incorporated under the laws of the Cayman Islands as an exempted company with limited liability and, as such, has applied for and has obtained an undertaking from the Financial Secretary of the Cayman Islands in substantively the following form on July 28,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Tax Concessions Act (Revised)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Undertaking as to Tax Concessions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accordance with the Tax Concessions Act (Revised), the following undertaking is hereby given to the company:</w:t>
      </w:r>
    </w:p>
    <w:p>
      <w:pPr>
        <w:spacing w:after="0" w:line="130" w:lineRule="exact"/>
        <w:rPr>
          <w:sz w:val="20"/>
          <w:szCs w:val="20"/>
          <w:color w:val="auto"/>
        </w:rPr>
      </w:pPr>
    </w:p>
    <w:p>
      <w:pPr>
        <w:ind w:left="1100" w:right="340" w:hanging="546"/>
        <w:spacing w:after="0" w:line="281" w:lineRule="auto"/>
        <w:tabs>
          <w:tab w:leader="none" w:pos="11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Cayman Islands imposing any tax to be levied on profits, income, gains or appreciations shall apply to the company or its operations; and</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82"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hanging="546"/>
        <w:spacing w:after="0" w:line="281" w:lineRule="auto"/>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68"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On or in respect of the shares, debentures or other obligations of the company; or</w:t>
      </w:r>
    </w:p>
    <w:p>
      <w:pPr>
        <w:spacing w:after="0" w:line="130"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by way of the withholding in whole or part, of any relevant payment as defined in the Tax Concessions Act (Revised).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concessions shall be for a period of twenty years from the 28th day of July, 2025.</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material United States federal income tax considerations generally applicable to the acquisition, ownership and disposition of our public units (each consisting of one Class A ordinary share one and one right entitling the holder thereof to receive one-tenth of one ordinary share upon the completion of an initial business combination) that are purchased in this offering, which we refer to collectively as our securities, by U.S. Holders (as defined below) and Non-U.S. Holders (as defined below). Because the components of a public unit are generally separable at the option of the holder, the holder of a public unit generally should be treated, for United States federal income tax purposes, as the owner of the underlying Class A ordinary share and one-tenth right components of the public unit. As a result, the discussion below with respect to actual holders of Class A ordinary shares and public rights also should apply to holders of public units (as the deemed owners of the underlying Class A ordinary shares and public rights that constitute the public units).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United States federal income tax consequences to our founders, sponsors, officers or directors. This discussion is limited to material United States federal income tax considerations to beneficial owners of our securities who are initial purchasers of a public unit pursuant to this offering and hold the public unit and each component of the public unit as a capital asset within the meaning of Section 1221 of the U.S. Internal Revenue Code of 1986, as amended (the “Code”). This discussion assumes that the Class A ordinary shares and public rights will trade separately and that any distributions made (or deemed made) by us on our Class A ordinary shares and any consideration received (or deemed received) by a holder in consideration for the sale or other disposition of our securities will be in U.S. dollars.</w:t>
      </w:r>
    </w:p>
    <w:p>
      <w:pPr>
        <w:spacing w:after="0" w:line="186"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the acquisition, ownership and disposition of a public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w:t>
      </w:r>
    </w:p>
    <w:p>
      <w:pPr>
        <w:spacing w:after="0" w:line="87" w:lineRule="exact"/>
        <w:rPr>
          <w:sz w:val="20"/>
          <w:szCs w:val="20"/>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tax accounting rules;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81"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130" w:lineRule="exact"/>
        <w:rPr>
          <w:rFonts w:ascii="Times New Roman" w:cs="Times New Roman" w:eastAsia="Times New Roman" w:hAnsi="Times New Roman"/>
          <w:sz w:val="18"/>
          <w:szCs w:val="18"/>
          <w:color w:val="auto"/>
        </w:rPr>
      </w:pPr>
    </w:p>
    <w:p>
      <w:pPr>
        <w:ind w:left="1100" w:right="140" w:hanging="438"/>
        <w:spacing w:after="0" w:line="281" w:lineRule="auto"/>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68" w:lineRule="exact"/>
        <w:rPr>
          <w:rFonts w:ascii="Times New Roman" w:cs="Times New Roman" w:eastAsia="Times New Roman" w:hAnsi="Times New Roman"/>
          <w:sz w:val="18"/>
          <w:szCs w:val="18"/>
          <w:color w:val="auto"/>
        </w:rPr>
      </w:pPr>
    </w:p>
    <w:p>
      <w:pPr>
        <w:ind w:left="1100" w:right="760" w:hanging="438"/>
        <w:spacing w:after="0" w:line="281" w:lineRule="auto"/>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hedge, wash sale, conversion or other integrated or similar transaction;</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subject to the “applicable financial statement” accounting rules under Section 451 of the Code;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130" w:lineRule="exact"/>
        <w:rPr>
          <w:rFonts w:ascii="Times New Roman" w:cs="Times New Roman" w:eastAsia="Times New Roman" w:hAnsi="Times New Roman"/>
          <w:sz w:val="18"/>
          <w:szCs w:val="18"/>
          <w:color w:val="auto"/>
        </w:rPr>
      </w:pPr>
    </w:p>
    <w:p>
      <w:pPr>
        <w:ind w:left="1100" w:right="80" w:hanging="438"/>
        <w:spacing w:after="0" w:line="281" w:lineRule="auto"/>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w:t>
      </w:r>
    </w:p>
    <w:p>
      <w:pPr>
        <w:spacing w:after="0" w:line="182" w:lineRule="exact"/>
        <w:rPr>
          <w:sz w:val="20"/>
          <w:szCs w:val="20"/>
          <w:color w:val="auto"/>
        </w:rPr>
      </w:pPr>
    </w:p>
    <w:p>
      <w:pPr>
        <w:ind w:left="120" w:right="300" w:firstLine="440"/>
        <w:spacing w:after="0" w:line="26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77"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If a partnership (or other entity or arrangement classified as a partnership or other pass-through entity for United States federal income tax purposes) is the beneficial owner of our securities, the United States federal income tax treatment of a partner, member or other beneficial owner in such partnership or other pass-through entity generally will depend on the status of the partner, member or other beneficial owner and the activities of the partnership or other pass-through entity. If you are a partner, member or other beneficial owner of a partnership or other pass-through entity holding our securities, you are urged to consult your own tax advisor regarding the tax consequences of the acquisition, ownership and disposition of our securities.</w:t>
      </w:r>
    </w:p>
    <w:p>
      <w:pPr>
        <w:spacing w:after="0" w:line="17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Allocation of Purchase Price and Characterization of a public Unit</w:t>
      </w:r>
    </w:p>
    <w:p>
      <w:pPr>
        <w:spacing w:after="0" w:line="119"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public unit or any instrument similar to a public unit for United States federal income tax purposes, and therefore, that treatment is not entirely clear. The acquisition of a public unit should be treated for United States federal income tax purposes as the acquisition of one Class A ordinary share and one-tenth, and the company intends to treat the acquisition of a public unit in such manner. By purchasing a public unit, you agree to adopt such treatment for United States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82"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federal income tax purposes. For United States federal income tax purposes, each holder of a public unit must allocate the purchase price paid by such holder for such public unit between one Class A ordinary share and one-tenth right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one-tenth right should be the shareholder’s initial tax basis in such share and the fraction of a right. Any disposition of a public unit should be treated for United States federal income tax purposes as a disposition of the Class A ordinary share and one-tenth right comprising the public unit, and the amount realized on the disposition should be allocated between the Class A ordinary share and one-tenth right based on their respective fair market values (as determined by each such public unit holder based on all the relevant facts and circumstances) at the time of disposition. The separation of the Class A ordinary share and one-tenth right constituting a public unit should not be a taxable event for United States federal income tax purposes.</w:t>
      </w:r>
    </w:p>
    <w:p>
      <w:pPr>
        <w:spacing w:after="0" w:line="19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foregoing treatment of the public units, Class A ordinary shares and public rights and a holder’s purchase price allocation are not binding on the IRS or the courts. Because there are no authorities that directly address instruments that are similar to the public units, no assurance can be given that the IRS or the courts will agree with the characterization described above or the discussion below. Accordingly, each prospective investor is urged to consult its tax advisors regarding the tax consequences of an investment in a public unit (including alternative characterizations of a public unit). The balance of this discussion assumes that the characterization of the public units described above will be respected for United States federal income tax purposes.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public units, Class A ordinary shares or public rights who or that is, for United States federal income tax purposes:</w:t>
      </w:r>
    </w:p>
    <w:p>
      <w:pPr>
        <w:spacing w:after="0" w:line="68" w:lineRule="exact"/>
        <w:rPr>
          <w:sz w:val="20"/>
          <w:szCs w:val="20"/>
          <w:color w:val="auto"/>
        </w:rPr>
      </w:pPr>
    </w:p>
    <w:p>
      <w:pPr>
        <w:ind w:left="1100" w:hanging="438"/>
        <w:spacing w:after="0"/>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100" w:right="120" w:hanging="438"/>
        <w:spacing w:after="0" w:line="281" w:lineRule="auto"/>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organized in or under the laws of the United States, any state thereof or the District of Columbia;</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United States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100" w:right="280" w:hanging="438"/>
        <w:spacing w:after="0" w:line="265" w:lineRule="auto"/>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the passive foreign investment company (“PFIC”) rules discussed below, a U.S. Holder generally will be required to include in gross income as dividends in the year actually or constructively received by the U.S. Holder the amount of any distribution of cash or other property (other than certain distributions of our shares or rights to acquire our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(the treatment of which is described under “— Gain or Loss on Sale, Taxable Exchange or Other Taxable Disposition of Class A Ordinary Shares and Rights” below).</w:t>
      </w:r>
    </w:p>
    <w:p>
      <w:pPr>
        <w:spacing w:after="0" w:line="187" w:lineRule="exact"/>
        <w:rPr>
          <w:sz w:val="20"/>
          <w:szCs w:val="20"/>
          <w:color w:val="auto"/>
        </w:rPr>
      </w:pPr>
    </w:p>
    <w:p>
      <w:pPr>
        <w:ind w:left="120" w:right="500" w:firstLine="440"/>
        <w:spacing w:after="0" w:line="281" w:lineRule="auto"/>
        <w:rPr>
          <w:sz w:val="20"/>
          <w:szCs w:val="20"/>
          <w:color w:val="auto"/>
        </w:rPr>
      </w:pPr>
      <w:r>
        <w:rPr>
          <w:rFonts w:ascii="Times New Roman" w:cs="Times New Roman" w:eastAsia="Times New Roman" w:hAnsi="Times New Roman"/>
          <w:sz w:val="18"/>
          <w:szCs w:val="18"/>
          <w:color w:val="auto"/>
        </w:rPr>
        <w:t>Dividends paid by us will be taxable to a corporate U.S. Holder at regular rates and will not be eligible for the dividends-received deduction generally allowed to domestic corporations in respect of dividends received</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81"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from other domestic corporations. With respect to non-corporate U.S. Holders, dividends generally will be taxed at the preferential applicable long-term capital gains rate (see “— Gain or Loss on Sale, Taxable Exchange or Other Taxable Disposition of Class A Ordinary Shares and Rights” below) only if our Class A ordinary shares are readily tradable on an established securities market in the United States, we are not a PFIC at the time the dividend was paid or in the previous year, and certain other requirements are met. It is unclear, however, whether certain redemption rights described in this prospectus may suspend the running of the applicable holding period for this purpose. U.S. Holders should consult their tax advisors regarding the availability of such preferential rate for any dividends paid with respect to our Class A ordinary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Public Shares and Public Rights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capital gain or loss on the sale or other taxable disposition of our public shares or public rights (including a redemption of our public shares (as described below) or public rights that is treated as a taxable disposition, including pursuant to our dissolution and liquidation if we do not consummate an initial business combination within the required time period). Any such capital gain or loss generally will be long-term capital gain or loss if the U.S. Holder’s holding period for such public shares or public rights exceeds one year. Long-term capital gain realized by a non-corporate U.S. Holder may be taxed at preferential rates of taxation. It is unclear, however, whether certain redemption rights described in this prospectus may suspend the running of the applicable holding period of the public shares for this purpose. If the running of the holding period for the public shares is suspended, then non-corporate U.S. Holders may not be able to satisfy the one-year holding period requirement for long-term capital gain treatment, in which case any gain on a sale or other taxable disposition of the public shares would be subject to short-term capital gain treatment and would be taxed at regular ordinary income tax rates. The deductibility of capital losses is subject to certain limitations.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 of gain or loss recognized by a U.S. Holder on a sale or other taxable disposition generally will be equal to the difference between</w:t>
      </w:r>
    </w:p>
    <w:p>
      <w:pPr>
        <w:spacing w:after="0" w:line="27" w:lineRule="exact"/>
        <w:rPr>
          <w:sz w:val="20"/>
          <w:szCs w:val="20"/>
          <w:color w:val="auto"/>
        </w:rPr>
      </w:pPr>
    </w:p>
    <w:p>
      <w:pPr>
        <w:ind w:left="120" w:right="20" w:firstLine="2"/>
        <w:spacing w:after="0" w:line="251" w:lineRule="auto"/>
        <w:tabs>
          <w:tab w:leader="none" w:pos="3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amount of cash and the fair market value of any property received in such disposition (or, if the public shares or public rights are held as part of units at the time of the disposition, the portion of the amount realized on such disposition that is allocated to the public shares or public rights based upon the then relative fair market values of the public shares and the public rights constituting the public units) and (ii) the U.S. Holder’s adjusted tax basis in its public shares or public rights so disposed of. A U.S. Holder’s adjusted tax basis in its public shares or public rights generally will equal the U.S. Holder’s acquisition cost (that is, the portion of the purchase price of a public unit allocated to a public share or one-tenth right public right, as described above under “— Allocation of Purchase Price and Characterization of a public Unit”) reduced, in the case of a public share, by any prior distributions treated as a return of capital. See “Exercise, Lapse or Redemption of a public Right” below for a discussion regarding a U.S. Holder’s tax basis in the public share acquired pursuant to the exercise of a public right.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or Lapse of Rights</w:t>
      </w:r>
    </w:p>
    <w:p>
      <w:pPr>
        <w:spacing w:after="0" w:line="119" w:lineRule="exact"/>
        <w:rPr>
          <w:sz w:val="20"/>
          <w:szCs w:val="20"/>
          <w:color w:val="auto"/>
        </w:rPr>
      </w:pPr>
    </w:p>
    <w:p>
      <w:pPr>
        <w:ind w:left="120" w:right="380" w:firstLine="440"/>
        <w:spacing w:after="0" w:line="280" w:lineRule="auto"/>
        <w:rPr>
          <w:sz w:val="20"/>
          <w:szCs w:val="20"/>
          <w:color w:val="auto"/>
        </w:rPr>
      </w:pPr>
      <w:r>
        <w:rPr>
          <w:rFonts w:ascii="Times New Roman" w:cs="Times New Roman" w:eastAsia="Times New Roman" w:hAnsi="Times New Roman"/>
          <w:sz w:val="17"/>
          <w:szCs w:val="17"/>
          <w:color w:val="auto"/>
        </w:rPr>
        <w:t>The U.S. federal income tax treatment of the rights is uncertain. The right may be viewed as a forward contract, derivative security or similar interest in us (analogous to a warrant or option with no exercise price), and thus, the U.S. Holder of the right would not be viewed as owning the ordinary shares issuable pursuant to the rights until such ordinary shares are actually issued. There may be other alternative characterizations of the rights that the IRS may successfully assert, including that the rights are treated as equity in us at the time the rights are issued.</w:t>
      </w:r>
    </w:p>
    <w:p>
      <w:pPr>
        <w:spacing w:after="0" w:line="166"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The U.S. federal income tax consequences of a conversion or lapse of rights is uncertain and may depend upon the U.S. federal income tax treatment of an initial business combination. Accordingly, a U.S. Holder should consult with its own tax advisor regarding the tax consequences of an acquisition of ordinary shares pursuant to rights or of a lapse of rights.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80"/>
          </w:cols>
          <w:pgMar w:left="320" w:top="482"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Public Shares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in the event that a U.S. Holder’s public shares are redeemed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 — Ordinary Shares</w:t>
      </w:r>
      <w:r>
        <w:rPr>
          <w:rFonts w:ascii="Times New Roman" w:cs="Times New Roman" w:eastAsia="Times New Roman" w:hAnsi="Times New Roman"/>
          <w:sz w:val="18"/>
          <w:szCs w:val="18"/>
          <w:color w:val="auto"/>
        </w:rPr>
        <w:t xml:space="preserve">” or if we purchase a U.S. Holder’s public shares in an open market transaction (such open market purchase of public shares by us referred to as a “redemption” for the remainder of this discussion), the treatment of the transaction for United States federal income tax purposes will depend on whether the redemption qualifies as a sale of the public shares under Section 302 of the Code. If the redemption qualifies as a sale of public shares, the U.S. Holder will be treated as described under “ </w:t>
      </w:r>
      <w:r>
        <w:rPr>
          <w:rFonts w:ascii="Times New Roman" w:cs="Times New Roman" w:eastAsia="Times New Roman" w:hAnsi="Times New Roman"/>
          <w:sz w:val="18"/>
          <w:szCs w:val="18"/>
          <w:i w:val="1"/>
          <w:iCs w:val="1"/>
          <w:color w:val="auto"/>
        </w:rPr>
        <w:t>— Gain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on Sale, Taxable Exchange or Other Taxable Disposition of public Shares and Public Rights</w:t>
      </w:r>
      <w:r>
        <w:rPr>
          <w:rFonts w:ascii="Times New Roman" w:cs="Times New Roman" w:eastAsia="Times New Roman" w:hAnsi="Times New Roman"/>
          <w:sz w:val="18"/>
          <w:szCs w:val="18"/>
          <w:color w:val="auto"/>
        </w:rPr>
        <w:t>” above. If the redemption does not qualify as a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public shares, the U.S. Holder will be treated as receiving a corporate distribution with the tax consequences described above under “ </w:t>
      </w:r>
      <w:r>
        <w:rPr>
          <w:rFonts w:ascii="Times New Roman" w:cs="Times New Roman" w:eastAsia="Times New Roman" w:hAnsi="Times New Roman"/>
          <w:sz w:val="18"/>
          <w:szCs w:val="18"/>
          <w:i w:val="1"/>
          <w:iCs w:val="1"/>
          <w:color w:val="auto"/>
        </w:rPr>
        <w:t>— Taxation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Whether a redemption qualifies for sale treatment will depend largely on the total number of our shares treated as held by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(including any shares constructively owned by the U.S. Holder described in the following paragraph, including as a result of owning rights) relative to all of our shares outstanding both before and after such redemption. A redemption of public shares generally will be treated as a sale of the public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9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public shares which could be acquired by such U.S. Holder pursuant to the exercise of the rights. In order to meet the substantially disproportionate test, the percentage of our issued and outstanding voting shares actually and constructively owned by the U.S. Holder immediately following the redemption of public shares must, among other requirements, be less than 80% of the percentage of our issued and outstanding voting shares actually and constructively owned by the U.S. Holder immediately before the redemption. Prior to our initial business combination the public shares may not be treated as voting shares for this purpose and, consequently, this substantially disproportionate test may not be applicable. There will be a complete termination of a U.S. Holder’s interest if either</w:t>
      </w:r>
    </w:p>
    <w:p>
      <w:pPr>
        <w:spacing w:after="0" w:line="3" w:lineRule="exact"/>
        <w:rPr>
          <w:sz w:val="20"/>
          <w:szCs w:val="20"/>
          <w:color w:val="auto"/>
        </w:rPr>
      </w:pPr>
    </w:p>
    <w:p>
      <w:pPr>
        <w:jc w:val="both"/>
        <w:ind w:left="120" w:right="240" w:firstLine="2"/>
        <w:spacing w:after="0" w:line="264" w:lineRule="auto"/>
        <w:tabs>
          <w:tab w:leader="none" w:pos="33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w:t>
      </w:r>
    </w:p>
    <w:p>
      <w:pPr>
        <w:spacing w:after="0" w:line="2" w:lineRule="exact"/>
        <w:rPr>
          <w:rFonts w:ascii="Times New Roman" w:cs="Times New Roman" w:eastAsia="Times New Roman" w:hAnsi="Times New Roman"/>
          <w:sz w:val="17"/>
          <w:szCs w:val="17"/>
          <w:color w:val="auto"/>
        </w:rPr>
      </w:pPr>
    </w:p>
    <w:p>
      <w:pPr>
        <w:ind w:left="120" w:right="1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 as a result of owning our rights). The redemption of the public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public shares.</w:t>
      </w:r>
    </w:p>
    <w:p>
      <w:pPr>
        <w:spacing w:after="0" w:line="188" w:lineRule="exact"/>
        <w:rPr>
          <w:sz w:val="20"/>
          <w:szCs w:val="20"/>
          <w:color w:val="auto"/>
        </w:rPr>
      </w:pPr>
    </w:p>
    <w:p>
      <w:pPr>
        <w:jc w:val="both"/>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 xml:space="preserve">If none of the foregoing tests are satisfied, then the redemption of any public shares will be treated as a corporate distribution and the tax effects will be as described under “ </w:t>
      </w:r>
      <w:r>
        <w:rPr>
          <w:rFonts w:ascii="Times New Roman" w:cs="Times New Roman" w:eastAsia="Times New Roman" w:hAnsi="Times New Roman"/>
          <w:sz w:val="18"/>
          <w:szCs w:val="18"/>
          <w:i w:val="1"/>
          <w:iCs w:val="1"/>
          <w:color w:val="auto"/>
        </w:rPr>
        <w:t>— Taxation of Distributions</w:t>
      </w:r>
      <w:r>
        <w:rPr>
          <w:rFonts w:ascii="Times New Roman" w:cs="Times New Roman" w:eastAsia="Times New Roman" w:hAnsi="Times New Roman"/>
          <w:sz w:val="18"/>
          <w:szCs w:val="18"/>
          <w:color w:val="auto"/>
        </w:rPr>
        <w:t>” above. After the application of those rules, any remaining tax basis of the U.S. Holder in the redeemed public shares will be added to the U.S. Holder’s adjusted tax basis in its remaining shares, or, if it has none, to the U.S. Holder’s adjusted tax basis in its rights or possibly in other shares constructively owned by it.</w:t>
      </w:r>
    </w:p>
    <w:p>
      <w:pPr>
        <w:spacing w:after="0" w:line="182" w:lineRule="exact"/>
        <w:rPr>
          <w:sz w:val="20"/>
          <w:szCs w:val="20"/>
          <w:color w:val="auto"/>
        </w:rPr>
      </w:pPr>
    </w:p>
    <w:p>
      <w:pPr>
        <w:ind w:left="120" w:right="220" w:firstLine="440"/>
        <w:spacing w:after="0" w:line="265" w:lineRule="auto"/>
        <w:rPr>
          <w:sz w:val="20"/>
          <w:szCs w:val="20"/>
          <w:color w:val="auto"/>
        </w:rPr>
      </w:pPr>
      <w:r>
        <w:rPr>
          <w:rFonts w:ascii="Times New Roman" w:cs="Times New Roman" w:eastAsia="Times New Roman" w:hAnsi="Times New Roman"/>
          <w:sz w:val="18"/>
          <w:szCs w:val="18"/>
          <w:color w:val="auto"/>
        </w:rPr>
        <w:t>U.S. holders who actually or constructively own five percent (or, if our public shares are not then publicly traded, one percent) or more of our shares (by vote or value) may be subject to special reporting requirements with respect to a redemption of public shares, and such holders are urged to consult with their own tax advisors with respect to their reporting requirements.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82"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w:t>
      </w:r>
    </w:p>
    <w:p>
      <w:pPr>
        <w:spacing w:after="0" w:line="18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Although our PFIC status is determined annually, an initial determination that our company is a PFIC generally will apply for subsequent years to a U.S. Holder who held Class A ordinary shares or rights while we were a PFIC, whether or not we meet the test for PFIC status in those subsequent years. If we are determined to be a PFIC for any taxable year (or portion thereof) that is included in the holding period of a U.S. Holder of our Class A ordinary shares or rights and, in the case of our Class A ordinary shares, the U.S. Holder did not make either a timely mark-to-market election or a qualified electing fund (“QEF”)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rights (which may include gain realized by reason of transfers of Class A ordinary shares or rights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30" w:lineRule="exact"/>
        <w:rPr>
          <w:sz w:val="20"/>
          <w:szCs w:val="20"/>
          <w:color w:val="auto"/>
        </w:rPr>
      </w:pPr>
    </w:p>
    <w:p>
      <w:pPr>
        <w:ind w:left="1100" w:right="40" w:hanging="438"/>
        <w:spacing w:after="0" w:line="281" w:lineRule="auto"/>
        <w:tabs>
          <w:tab w:leader="none" w:pos="11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 or rights;</w:t>
      </w:r>
    </w:p>
    <w:p>
      <w:pPr>
        <w:spacing w:after="0" w:line="68" w:lineRule="exact"/>
        <w:rPr>
          <w:rFonts w:ascii="Times New Roman" w:cs="Times New Roman" w:eastAsia="Times New Roman" w:hAnsi="Times New Roman"/>
          <w:sz w:val="18"/>
          <w:szCs w:val="18"/>
          <w:color w:val="auto"/>
        </w:rPr>
      </w:pPr>
    </w:p>
    <w:p>
      <w:pPr>
        <w:ind w:left="1100" w:right="100" w:hanging="438"/>
        <w:spacing w:after="0" w:line="265" w:lineRule="auto"/>
        <w:tabs>
          <w:tab w:leader="none" w:pos="11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82"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80" w:hanging="438"/>
        <w:spacing w:after="0" w:line="265" w:lineRule="auto"/>
        <w:tabs>
          <w:tab w:leader="none" w:pos="11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82" w:lineRule="exact"/>
        <w:rPr>
          <w:rFonts w:ascii="Times New Roman" w:cs="Times New Roman" w:eastAsia="Times New Roman" w:hAnsi="Times New Roman"/>
          <w:sz w:val="18"/>
          <w:szCs w:val="18"/>
          <w:color w:val="auto"/>
        </w:rPr>
      </w:pPr>
    </w:p>
    <w:p>
      <w:pPr>
        <w:ind w:left="1100" w:right="280" w:hanging="438"/>
        <w:spacing w:after="0" w:line="281" w:lineRule="auto"/>
        <w:tabs>
          <w:tab w:leader="none" w:pos="11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equal to the interest charge generally applicable to underpayments of tax will be imposed on the U.S. Holder with respect to the tax attributable to each such other taxable year of the U.S. Holder.</w:t>
      </w:r>
    </w:p>
    <w:p>
      <w:pPr>
        <w:spacing w:after="0" w:line="16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general, if we are determined to be a PFIC, a U.S. Holder may be able to avoid the PFIC tax consequences described above in respect of our Class A ordinary shares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 U.S. Holder makes a QEF election with respect to its Class A ordinary shares in a year after our first taxable year as a PFIC in which the U.S. Holder held (or was deemed to hold) Class A ordinary shares, then notwithstanding such QEF election, the rules relating to “excess distributions” discussed above, adjusted to take into account the current income inclusions resulting from the QEF election, will continue to apply with respect to such U.S. Holder’s Class A ordinary shares,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additional basis (to the extent of any gain recognized on the deemed sale) and, solely for purposes of the PFIC rules, a new holding period in the Class A ordinary shares.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8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00"/>
          </w:cols>
          <w:pgMar w:left="320" w:top="481"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65" w:lineRule="auto"/>
        <w:rPr>
          <w:sz w:val="20"/>
          <w:szCs w:val="20"/>
          <w:color w:val="auto"/>
        </w:rPr>
      </w:pPr>
      <w:r>
        <w:rPr>
          <w:rFonts w:ascii="Times New Roman" w:cs="Times New Roman" w:eastAsia="Times New Roman" w:hAnsi="Times New Roman"/>
          <w:sz w:val="18"/>
          <w:szCs w:val="18"/>
          <w:color w:val="auto"/>
        </w:rPr>
        <w:t>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7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of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rights. The mark-to-market election is available only for stock that is regularly traded on a national securities exchange that is registered with the Securities and Exchange Commission, including the Nasdaq Global Market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189" w:lineRule="exact"/>
        <w:rPr>
          <w:sz w:val="20"/>
          <w:szCs w:val="20"/>
          <w:color w:val="auto"/>
        </w:rPr>
      </w:pPr>
    </w:p>
    <w:p>
      <w:pPr>
        <w:jc w:val="both"/>
        <w:ind w:left="120" w:right="140" w:firstLine="440"/>
        <w:spacing w:after="0" w:line="265"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77"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The rules dealing with PFICs and with the QEF, purging, and mark-to-market elections are very complex and are affected by various factors in addition to those described above. Accordingly, U.S. Holders of our Class A ordinary shares and rights should consult their own tax advisors concerning the application of the PFIC rules to our Class A ordinary shares and rights under their particular circumstances.</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82"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public units, Class A ordinary shares or public rights (other than a partnership or other entity or arrangement treated as a partnership for U.S. federal income tax purposes) that is for United States federal income tax purposes:</w:t>
      </w:r>
    </w:p>
    <w:p>
      <w:pPr>
        <w:spacing w:after="0" w:line="83" w:lineRule="exact"/>
        <w:rPr>
          <w:sz w:val="20"/>
          <w:szCs w:val="20"/>
          <w:color w:val="auto"/>
        </w:rPr>
      </w:pPr>
    </w:p>
    <w:p>
      <w:pPr>
        <w:ind w:left="1100" w:hanging="438"/>
        <w:spacing w:after="0"/>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left="120" w:right="120"/>
        <w:spacing w:after="0" w:line="265"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public units, Class A ordinary shares or public rights. If you are such an individual, you should consult your tax advisor regarding the United States federal income tax consequences of the acquisition, ownership and disposition of our securities.</w:t>
      </w:r>
    </w:p>
    <w:p>
      <w:pPr>
        <w:spacing w:after="0" w:line="17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determination of the extent to which a distribution will be treated as a dividend, return of capital or gain from the sale of Class A ordinary shares is generally the same for Non-U.S. Holders as that described in “—</w:t>
      </w:r>
      <w:r>
        <w:rPr>
          <w:rFonts w:ascii="Times New Roman" w:cs="Times New Roman" w:eastAsia="Times New Roman" w:hAnsi="Times New Roman"/>
          <w:sz w:val="18"/>
          <w:szCs w:val="18"/>
          <w:i w:val="1"/>
          <w:iCs w:val="1"/>
          <w:color w:val="auto"/>
        </w:rPr>
        <w:t>U.S. Holders—Taxation of Distributions</w:t>
      </w:r>
      <w:r>
        <w:rPr>
          <w:rFonts w:ascii="Times New Roman" w:cs="Times New Roman" w:eastAsia="Times New Roman" w:hAnsi="Times New Roman"/>
          <w:sz w:val="18"/>
          <w:szCs w:val="18"/>
          <w:color w:val="auto"/>
        </w:rPr>
        <w:t xml:space="preserve">”. Dividends (including, as described under “— </w:t>
      </w:r>
      <w:r>
        <w:rPr>
          <w:rFonts w:ascii="Times New Roman" w:cs="Times New Roman" w:eastAsia="Times New Roman" w:hAnsi="Times New Roman"/>
          <w:sz w:val="18"/>
          <w:szCs w:val="18"/>
          <w:i w:val="1"/>
          <w:iCs w:val="1"/>
          <w:color w:val="auto"/>
        </w:rPr>
        <w:t>U.S. Holders — Possible Constructive Distributions</w:t>
      </w:r>
      <w:r>
        <w:rPr>
          <w:rFonts w:ascii="Times New Roman" w:cs="Times New Roman" w:eastAsia="Times New Roman" w:hAnsi="Times New Roman"/>
          <w:sz w:val="18"/>
          <w:szCs w:val="18"/>
          <w:color w:val="auto"/>
        </w:rPr>
        <w:t>” above,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rights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spacing w:after="0" w:line="18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Dividends (including, as described under “— U.S. Holders — 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backup withholding by providing certification of its foreign status, under penalties of perjury, on a duly executed applicable IRS Form W-8 or by otherwise establishing an exemption.</w:t>
      </w:r>
    </w:p>
    <w:p>
      <w:pPr>
        <w:spacing w:after="0" w:line="170"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United States federal income tax liability, and a holder generally may obtain a refund of any</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81"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excess amounts withheld under the backup withholding rules by timely filing the appropriate claim for refund with the IRS and furnishing any required information.</w:t>
      </w:r>
    </w:p>
    <w:p>
      <w:pPr>
        <w:spacing w:after="0" w:line="163"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our public units, Class A ordinary shares and public rights if they are not held in an account maintained with a U.S. financial institution.</w:t>
      </w:r>
    </w:p>
    <w:p>
      <w:pPr>
        <w:spacing w:after="0" w:line="175"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public units, public shares and public rights.</w:t>
      </w:r>
    </w:p>
    <w:p>
      <w:pPr>
        <w:spacing w:after="0" w:line="178"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SECURITIES ARE URGED TO CONSULT WITH AND RELY SOLELY UPON THEIR OWN TAX ADVISORS REGARDING THE APPLICATION OF THE U.S. FEDERAL INCOME TAX LAWS TO THEIR PARTICULAR SITUATIONS AND THE APPLICABILITY AND EFFECT OF ANY OTHER TAX LAWS, INCLUDING BUT NOT LIMITED TO U.S. FEDERAL ESTATE AND GIFT TAX LAWS AND ANY STATE, LOCAL OR NON-U.S. TAX LAWS AND TAX TREATIES.</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00"/>
          </w:cols>
          <w:pgMar w:left="320" w:top="481" w:right="5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We are offering the public units described in this prospectus through the underwriters. We have entered into an underwriting agreement with the underwriters. Subject to the terms and conditions of the underwriting agreement, the underwriters have agreed to purchase, and we have agreed to sell to the underwriters, the number of units listed next to each name in the following table.</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6360" w:type="dxa"/>
            <w:vAlign w:val="bottom"/>
            <w:gridSpan w:val="2"/>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 Boral Capital LLC</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The underwriting agreement provides that the underwriters must buy all of the public units if it buys any of them. However, the underwriters are not required to purchase the public units covered by the underwriters’ option to purchase additional units as described below. The underwriters may offer and sell the public units through certain of its affiliates or other registered broker-dealers or selling agents.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public units are offered hereby subject to a number of conditions, including:</w:t>
      </w:r>
    </w:p>
    <w:p>
      <w:pPr>
        <w:spacing w:after="0" w:line="130" w:lineRule="exact"/>
        <w:rPr>
          <w:sz w:val="20"/>
          <w:szCs w:val="20"/>
          <w:color w:val="auto"/>
        </w:rPr>
      </w:pPr>
    </w:p>
    <w:p>
      <w:pPr>
        <w:ind w:left="1100" w:hanging="438"/>
        <w:spacing w:after="0"/>
        <w:tabs>
          <w:tab w:leader="none" w:pos="11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acceptance of such public units by the underwriters;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right to reject orders in whole or in part.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the underwriters or securities dealers may distribute prospectuses electronically.</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Units</w:t>
      </w:r>
    </w:p>
    <w:p>
      <w:pPr>
        <w:spacing w:after="0" w:line="121" w:lineRule="exact"/>
        <w:rPr>
          <w:sz w:val="20"/>
          <w:szCs w:val="20"/>
          <w:color w:val="auto"/>
        </w:rPr>
      </w:pPr>
    </w:p>
    <w:p>
      <w:pPr>
        <w:jc w:val="both"/>
        <w:ind w:left="120" w:right="100" w:firstLine="440"/>
        <w:spacing w:after="0" w:line="265" w:lineRule="auto"/>
        <w:rPr>
          <w:sz w:val="20"/>
          <w:szCs w:val="20"/>
          <w:color w:val="auto"/>
        </w:rPr>
      </w:pPr>
      <w:r>
        <w:rPr>
          <w:rFonts w:ascii="Times New Roman" w:cs="Times New Roman" w:eastAsia="Times New Roman" w:hAnsi="Times New Roman"/>
          <w:sz w:val="18"/>
          <w:szCs w:val="18"/>
          <w:color w:val="auto"/>
        </w:rPr>
        <w:t>We have granted the underwriters an option to buy up to an aggregate of 3,300,000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initial offering price set forth on the cover of this prospectus. Any units sold by the underwriters to securities dealers may be sold at a discount of up to $[●] per unit from the offering price. Sales of units made outside of the United States may be made by affiliates of the underwriters. After this offering, if all the public units are not sold at the offering price, the representative may change the offering price and the other selling terms. Upon execution of the underwriting agreement, the underwriters will be obligated to purchase the public units at the prices and upon the terms stated therein.</w:t>
      </w:r>
    </w:p>
    <w:p>
      <w:pPr>
        <w:spacing w:after="0" w:line="18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 we will pay to the underwriters assuming both no exercise and full exercise of the underwriters’ option to purchase up to 3,300,000 additional units.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Full</w:t>
            </w:r>
          </w:p>
        </w:tc>
      </w:t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9"/>
        </w:trPr>
        <w:tc>
          <w:tcPr>
            <w:tcW w:w="20" w:type="dxa"/>
            <w:vAlign w:val="bottom"/>
          </w:tcPr>
          <w:p>
            <w:pPr>
              <w:spacing w:after="0"/>
              <w:rPr>
                <w:sz w:val="18"/>
                <w:szCs w:val="18"/>
                <w:color w:val="auto"/>
              </w:rPr>
            </w:pPr>
          </w:p>
        </w:tc>
        <w:tc>
          <w:tcPr>
            <w:tcW w:w="238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18"/>
                <w:szCs w:val="18"/>
                <w:color w:val="auto"/>
              </w:rPr>
              <w:t>Per Unit</w:t>
            </w:r>
            <w:r>
              <w:rPr>
                <w:rFonts w:ascii="Times New Roman" w:cs="Times New Roman" w:eastAsia="Times New Roman" w:hAnsi="Times New Roman"/>
                <w:sz w:val="22"/>
                <w:szCs w:val="22"/>
                <w:color w:val="auto"/>
                <w:vertAlign w:val="superscript"/>
              </w:rPr>
              <w:t>(1)</w:t>
            </w:r>
          </w:p>
        </w:tc>
        <w:tc>
          <w:tcPr>
            <w:tcW w:w="3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0.0455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0.0405</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1,025,000</w:t>
            </w:r>
          </w:p>
        </w:tc>
        <w:tc>
          <w:tcPr>
            <w:tcW w:w="8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2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right="60" w:hanging="438"/>
        <w:spacing w:after="0" w:line="239" w:lineRule="auto"/>
        <w:tabs>
          <w:tab w:leader="none" w:pos="560" w:val="left"/>
        </w:tabs>
        <w:numPr>
          <w:ilvl w:val="0"/>
          <w:numId w:val="1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$0.0455 per unit or $1,000,000 in the aggregate (including a $250,000 referral fee to be paid by the underwriters to United First Partners LLC) (or $0.0405 per unit or $1,025,000 in the aggregate if the underwriters’ option to purchase additional units is exercised in full), is payable upon the closing of this offering. There is no deferred underwriting commission payable to the underwriters.</w:t>
      </w:r>
    </w:p>
    <w:p>
      <w:pPr>
        <w:spacing w:after="0" w:line="199"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8"/>
          <w:szCs w:val="18"/>
          <w:color w:val="auto"/>
        </w:rPr>
        <w:t>Further, we have agreed to pay an amount not exceeding $[  ] for the underwriters’ accountable and out-of-pocket expenses including, but not limited to, background checks of our officers and directors and certain other offering-related costs.</w:t>
      </w:r>
    </w:p>
    <w:p>
      <w:pPr>
        <w:spacing w:after="0" w:line="16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in purchasing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The underwriters will receive the same upfront discounts and commissions on units purchased by the non-managing investors in the offering, if any, as they will on the other units sold to the public in this offering. Any trading decisions made by any of the foregoing entities will be made by them based on market conditions at the time of the proposed sale or redemption. The underwriters’ affiliates will not become non-managing investors or receive any economic or other interest in the sponsor.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Referral Agreement</w:t>
      </w:r>
    </w:p>
    <w:p>
      <w:pPr>
        <w:spacing w:after="0" w:line="121" w:lineRule="exact"/>
        <w:rPr>
          <w:sz w:val="20"/>
          <w:szCs w:val="20"/>
          <w:color w:val="auto"/>
        </w:rPr>
      </w:pPr>
    </w:p>
    <w:p>
      <w:pPr>
        <w:ind w:left="120" w:right="440"/>
        <w:spacing w:after="0" w:line="281" w:lineRule="auto"/>
        <w:rPr>
          <w:sz w:val="20"/>
          <w:szCs w:val="20"/>
          <w:color w:val="auto"/>
        </w:rPr>
      </w:pPr>
      <w:r>
        <w:rPr>
          <w:rFonts w:ascii="Times New Roman" w:cs="Times New Roman" w:eastAsia="Times New Roman" w:hAnsi="Times New Roman"/>
          <w:sz w:val="18"/>
          <w:szCs w:val="18"/>
          <w:color w:val="auto"/>
        </w:rPr>
        <w:t>On [    ], 2025, D. Boral Capital LLC, the representative of the underwriters, entered into a Referral Agreement with United First Partners LLC, pursuant to which the underwriters will pay United First Partners LLC a $250,000 referral fee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our executive officers and directors, and our sponsor will enter into lock-up agreements with the underwriters. Under the lock-up agreements, subject to certain exceptions, we and each of these persons may not, without the prior written approval of the underwriters offer, sell, contract to sell, pledge, or otherwise dispose of, directly or indirectly, or hedge our units, rights, Class A ordinary shares, Class B ordinary shares or any other securities convertible into or exchangeable or exercisable for Class A ordinary shares. These restrictions will be in effect for a period of 180 days after the date of this prospectus.</w:t>
      </w:r>
    </w:p>
    <w:p>
      <w:pPr>
        <w:spacing w:after="0" w:line="182"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underwriters may, at any time and in their sole discretion, release some or all the securities from these lock-up agreements. The underwriters will consider, among other factors, the holder’s reasons for requesting the release, the number of securities for which the release is being requested and market conditions at the time. If the restrictions under the lock-up agreements are waived, our units, rights, Class A ordinary shares and Class B ordinary shares may become available for resale into the market, subject to applicable law, which could reduce the market price of our securities.</w:t>
      </w:r>
    </w:p>
    <w:p>
      <w:pPr>
        <w:spacing w:after="0" w:line="180" w:lineRule="exact"/>
        <w:rPr>
          <w:sz w:val="20"/>
          <w:szCs w:val="20"/>
          <w:color w:val="auto"/>
        </w:rPr>
      </w:pPr>
    </w:p>
    <w:p>
      <w:pPr>
        <w:ind w:left="120" w:right="520" w:firstLine="440"/>
        <w:spacing w:after="0" w:line="283" w:lineRule="auto"/>
        <w:rPr>
          <w:sz w:val="20"/>
          <w:szCs w:val="20"/>
          <w:color w:val="auto"/>
        </w:rPr>
      </w:pPr>
      <w:r>
        <w:rPr>
          <w:rFonts w:ascii="Times New Roman" w:cs="Times New Roman" w:eastAsia="Times New Roman" w:hAnsi="Times New Roman"/>
          <w:sz w:val="18"/>
          <w:szCs w:val="18"/>
          <w:color w:val="auto"/>
        </w:rPr>
        <w:t>Except with respect to permitted transferees as described herein under “</w:t>
      </w:r>
      <w:r>
        <w:rPr>
          <w:rFonts w:ascii="Times New Roman" w:cs="Times New Roman" w:eastAsia="Times New Roman" w:hAnsi="Times New Roman"/>
          <w:sz w:val="18"/>
          <w:szCs w:val="18"/>
          <w:i w:val="1"/>
          <w:iCs w:val="1"/>
          <w:color w:val="auto"/>
        </w:rPr>
        <w:t>Principal Shareholders</w:t>
      </w:r>
      <w:r>
        <w:rPr>
          <w:rFonts w:ascii="Times New Roman" w:cs="Times New Roman" w:eastAsia="Times New Roman" w:hAnsi="Times New Roman"/>
          <w:sz w:val="18"/>
          <w:szCs w:val="18"/>
          <w:color w:val="auto"/>
        </w:rPr>
        <w:t>,” our initial shareholders have agreed not to transfer, assign or sell any of their respective founder shares, private investor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81"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shares and private placement units (and underlying securities), and any Class A ordinary shares issuable upon conversion thereof that is in the case of the founder shares and private investor shares and any Class A ordinary shares issuable upon conversion thereof, the earlier of (A) six months after the date of the consummation of our initial business combination,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is in the case of the private placement units (and underlying securities), thirty days after the date of the consummation of our initial business combination. Any permitted transferees would be subject to the same restrictions and other agreements as our initial shareholders with respect to any shares.</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and private placement shares held by non-managing investors from the lock-up provisions.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21"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8"/>
          <w:szCs w:val="18"/>
          <w:color w:val="auto"/>
        </w:rPr>
        <w:t>We intend to apply for listing of our public units on Nasdaq under the symbol “GIWWU” and, once the public units begin separate trading, we expect our public shares and public rights to be listed on Nasdaq under the symbols “GIW” and “GIWWR,”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activities that stabilize, maintain or otherwise affect the price of units during and after this offering, including:</w:t>
      </w:r>
    </w:p>
    <w:p>
      <w:pPr>
        <w:spacing w:after="0" w:line="68" w:lineRule="exact"/>
        <w:rPr>
          <w:sz w:val="20"/>
          <w:szCs w:val="20"/>
          <w:color w:val="auto"/>
        </w:rPr>
      </w:pPr>
    </w:p>
    <w:p>
      <w:pPr>
        <w:ind w:left="1100" w:hanging="438"/>
        <w:spacing w:after="0"/>
        <w:tabs>
          <w:tab w:leader="none" w:pos="1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to cover positions created by short sales;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penalty bids;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w:t>
      </w:r>
    </w:p>
    <w:p>
      <w:pPr>
        <w:spacing w:after="0" w:line="225" w:lineRule="exact"/>
        <w:rPr>
          <w:sz w:val="20"/>
          <w:szCs w:val="20"/>
          <w:color w:val="auto"/>
        </w:rPr>
      </w:pPr>
    </w:p>
    <w:p>
      <w:pPr>
        <w:jc w:val="both"/>
        <w:ind w:left="120" w:right="280" w:firstLine="440"/>
        <w:spacing w:after="0" w:line="265"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public units while this offering is in progress. Stabilization transactions permit bids to purchase the underlying security so long as the stabilizing bids do not exceed a specified maximum. These transactions may also include making short sales of our public units, which involve the sale by the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82"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400"/>
        <w:spacing w:after="0" w:line="288" w:lineRule="auto"/>
        <w:rPr>
          <w:sz w:val="20"/>
          <w:szCs w:val="20"/>
          <w:color w:val="auto"/>
        </w:rPr>
      </w:pPr>
      <w:r>
        <w:rPr>
          <w:rFonts w:ascii="Times New Roman" w:cs="Times New Roman" w:eastAsia="Times New Roman" w:hAnsi="Times New Roman"/>
          <w:sz w:val="17"/>
          <w:szCs w:val="17"/>
          <w:color w:val="auto"/>
        </w:rPr>
        <w:t>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59" w:lineRule="exact"/>
        <w:rPr>
          <w:sz w:val="20"/>
          <w:szCs w:val="20"/>
          <w:color w:val="auto"/>
        </w:rPr>
      </w:pPr>
    </w:p>
    <w:p>
      <w:pPr>
        <w:jc w:val="both"/>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The underwriters may close out any covered short position by either exercising their over-allotment option, in whole or in part, or by purchasing units on the open market. In making this determination, the underwriters will consider, among other things, the price of units available for purchase on the open market as compared to the price at which they may purchase units through the over-allotment option.</w:t>
      </w:r>
    </w:p>
    <w:p>
      <w:pPr>
        <w:spacing w:after="0" w:line="177" w:lineRule="exact"/>
        <w:rPr>
          <w:sz w:val="20"/>
          <w:szCs w:val="20"/>
          <w:color w:val="auto"/>
        </w:rPr>
      </w:pPr>
    </w:p>
    <w:p>
      <w:pPr>
        <w:ind w:left="120" w:right="140" w:firstLine="440"/>
        <w:spacing w:after="0" w:line="265" w:lineRule="auto"/>
        <w:rPr>
          <w:sz w:val="20"/>
          <w:szCs w:val="20"/>
          <w:color w:val="auto"/>
        </w:rPr>
      </w:pPr>
      <w:r>
        <w:rPr>
          <w:rFonts w:ascii="Times New Roman" w:cs="Times New Roman" w:eastAsia="Times New Roman" w:hAnsi="Times New Roman"/>
          <w:sz w:val="18"/>
          <w:szCs w:val="18"/>
          <w:color w:val="auto"/>
        </w:rPr>
        <w:t>Naked short sales are short sales made in excess of the over-allotment option. The underwriters must close out any naked short position by purchasing units on the open market. A naked short position is more likely to be created if the underwriters are concerned that there may be downward pressure on the price of the public units on the open market that could adversely affect investors who purchased in this offering.</w:t>
      </w:r>
    </w:p>
    <w:p>
      <w:pPr>
        <w:spacing w:after="0" w:line="17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These stabilizing transactions, short sales, purchases to cover positions created by short sales, the imposition of penalty bids and syndicate covering transactions may have the effect of raising or maintaining the market price of our public units or preventing or retarding a decline in the market price of our public units. As a result of these activities, the price of our public units may be higher than the price that otherwise might exist on the open market. The underwriters may carry out these transactions on Nasdaq, in the over-the-counter market or otherwise. Neither we nor the underwriters make any representation or prediction as to the effect that the transactions described above may have on the price of the public units. Neither we, nor the underwriters make any representation that the underwriters will engage in these stabilization transactions or that any transaction, once commenced, will not be discontinued without notice.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21"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Prior to this offering, there was no public market for our public units. The initial public offering price will be determined by negotiation between us and the representative of the underwriters. The principal factors to be considered in determining the initial public offering price include:</w:t>
      </w:r>
    </w:p>
    <w:p>
      <w:pPr>
        <w:spacing w:after="0" w:line="68" w:lineRule="exact"/>
        <w:rPr>
          <w:sz w:val="20"/>
          <w:szCs w:val="20"/>
          <w:color w:val="auto"/>
        </w:rPr>
      </w:pPr>
    </w:p>
    <w:p>
      <w:pPr>
        <w:ind w:left="1100" w:hanging="438"/>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and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present financial performance;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 and the present state of our development;</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 at the time of this offering;</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units of generally comparable companies;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225" w:lineRule="exact"/>
        <w:rPr>
          <w:sz w:val="20"/>
          <w:szCs w:val="20"/>
          <w:color w:val="auto"/>
        </w:rPr>
      </w:pPr>
    </w:p>
    <w:p>
      <w:pPr>
        <w:ind w:left="120" w:right="100" w:firstLine="440"/>
        <w:spacing w:after="0" w:line="265" w:lineRule="auto"/>
        <w:rPr>
          <w:sz w:val="20"/>
          <w:szCs w:val="20"/>
          <w:color w:val="auto"/>
        </w:rPr>
      </w:pPr>
      <w:r>
        <w:rPr>
          <w:rFonts w:ascii="Times New Roman" w:cs="Times New Roman" w:eastAsia="Times New Roman" w:hAnsi="Times New Roman"/>
          <w:sz w:val="18"/>
          <w:szCs w:val="18"/>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public units, public shares or public rights or that the public units will trade in the public market at or above the initial public offering price.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121"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securities trading, commercial and investment banking, financial advisory, investment</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00"/>
          </w:cols>
          <w:pgMar w:left="320" w:top="481"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60 days from the date of this prospectus, unless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 business combination.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Canada</w:t>
      </w:r>
    </w:p>
    <w:p>
      <w:pPr>
        <w:spacing w:after="0" w:line="121" w:lineRule="exact"/>
        <w:rPr>
          <w:sz w:val="20"/>
          <w:szCs w:val="20"/>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 xml:space="preserve">The securities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2" w:lineRule="exact"/>
        <w:rPr>
          <w:sz w:val="20"/>
          <w:szCs w:val="20"/>
          <w:color w:val="auto"/>
        </w:rPr>
      </w:pPr>
    </w:p>
    <w:p>
      <w:pPr>
        <w:ind w:left="120" w:right="180" w:firstLine="440"/>
        <w:spacing w:after="0" w:line="260"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2"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and United Kingdom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not a prospectus for the purposes of the Prospectus Regulation (as defined below). This prospectus and any offer if made subsequently is directed only at persons in Member States of the European Economic Area (the “EEA”) or in the United Kingdom (the “UK”) (each, a “Relevant State”) who are “qualified investors” within the meaning of Article 2(e) of the Prospectus Regulation. This prospectus has been prepared on the basis that any offer of our securities in any Relevant State will be made pursuant to an exemption under the Prospectus Regulation from the requirement to publish a prospectus for offers of our securities. Accordingly any person making or intending to make an offer in that Relevant State of our securities which are the subject of the offering contemplated in this prospectus may only do so in circumstances in which no obligation arises for our company or any of the underwriters to publish a prospectus pursuant to Article 3 of the Prospectus Regulation in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00"/>
          </w:cols>
          <w:pgMar w:left="320" w:top="481"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00"/>
        <w:spacing w:after="0" w:line="265" w:lineRule="auto"/>
        <w:rPr>
          <w:sz w:val="20"/>
          <w:szCs w:val="20"/>
          <w:color w:val="auto"/>
        </w:rPr>
      </w:pPr>
      <w:r>
        <w:rPr>
          <w:rFonts w:ascii="Times New Roman" w:cs="Times New Roman" w:eastAsia="Times New Roman" w:hAnsi="Times New Roman"/>
          <w:sz w:val="18"/>
          <w:szCs w:val="18"/>
          <w:color w:val="auto"/>
        </w:rPr>
        <w:t>relation to such offer. Neither we nor the underwriters have authorized, nor do we or they authorize, the making of any offer of our securities in circumstances in which an obligation arises for us or the underwriters to publish a prospectus for such offer. The expression “Prospectus Regulation” means Regulation (EU) 2017/1129.</w:t>
      </w:r>
    </w:p>
    <w:p>
      <w:pPr>
        <w:spacing w:after="0" w:line="17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In relation to each Relevant State, no offer of our securities which are the subject of the offering contemplated by this prospectus to the public may be made in that Relevant State other than:</w:t>
      </w:r>
    </w:p>
    <w:p>
      <w:pPr>
        <w:spacing w:after="0" w:line="55" w:lineRule="exact"/>
        <w:rPr>
          <w:sz w:val="20"/>
          <w:szCs w:val="20"/>
          <w:color w:val="auto"/>
        </w:rPr>
      </w:pPr>
    </w:p>
    <w:p>
      <w:pPr>
        <w:ind w:left="800" w:hanging="238"/>
        <w:spacing w:after="0"/>
        <w:tabs>
          <w:tab w:leader="none" w:pos="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16" w:lineRule="exact"/>
        <w:rPr>
          <w:rFonts w:ascii="Times New Roman" w:cs="Times New Roman" w:eastAsia="Times New Roman" w:hAnsi="Times New Roman"/>
          <w:sz w:val="18"/>
          <w:szCs w:val="18"/>
          <w:color w:val="auto"/>
        </w:rPr>
      </w:pPr>
    </w:p>
    <w:p>
      <w:pPr>
        <w:ind w:left="560" w:firstLine="2"/>
        <w:spacing w:after="0" w:line="281" w:lineRule="auto"/>
        <w:tabs>
          <w:tab w:leader="none" w:pos="81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relevant underwriter or underwriter nominated by us for any such offer; or</w:t>
      </w:r>
    </w:p>
    <w:p>
      <w:pPr>
        <w:spacing w:after="0" w:line="54" w:lineRule="exact"/>
        <w:rPr>
          <w:rFonts w:ascii="Times New Roman" w:cs="Times New Roman" w:eastAsia="Times New Roman" w:hAnsi="Times New Roman"/>
          <w:sz w:val="18"/>
          <w:szCs w:val="18"/>
          <w:color w:val="auto"/>
        </w:rPr>
      </w:pPr>
    </w:p>
    <w:p>
      <w:pPr>
        <w:ind w:left="560" w:right="200" w:firstLine="2"/>
        <w:spacing w:after="0" w:line="281" w:lineRule="auto"/>
        <w:tabs>
          <w:tab w:leader="none" w:pos="80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our securities shall require us or any underwriter to publish a prospectus pursuant to Article 3 of the Prospectus Regulation.</w:t>
      </w:r>
    </w:p>
    <w:p>
      <w:pPr>
        <w:spacing w:after="0" w:line="163"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our securities to the public” in relation to our securities in any Relevant State means the communication in any form and by any means of sufficient information on the terms of the offer and our securities to be offered so as to enable an investor to decide to purchase or subscribe for our securities.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EEA and UK selling restriction is in addition to any other selling restrictions set out below.</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not intended to constitute an offer or solicitation to purchase or invest in the public units in Switzerland. The public units offered hereby may not be publicly offered, directly or indirectly, in Switzerland within the meaning of the Swiss Financial Services Act (“FinSA”) and no application has or will be made to admit the public units to trading on any trading venue (exchange or multilateral trading facility) in Switzerland. Neither this prospectus nor any other offering or marketing material relating to the public units constitutes a prospectus pursuant to the FinSA, and neither this prospectus nor any other offering or marketing material relating to the public units may be publicly distributed or otherwise made publicly available in Switzerland.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 with Respect to the United Kingdom</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may not be distributed or circulated to any person in the UK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86" w:lineRule="exact"/>
        <w:rPr>
          <w:sz w:val="20"/>
          <w:szCs w:val="20"/>
          <w:color w:val="auto"/>
        </w:rPr>
      </w:pPr>
    </w:p>
    <w:p>
      <w:pPr>
        <w:ind w:left="120" w:right="100" w:firstLine="440"/>
        <w:spacing w:after="0" w:line="265"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United Kingdom’s Financial Services and Markets Act 2000, as amended (the “FSMA”)) in connection with the issue or sale of our securities may only be communicated or caused to be communicated in circumstances in which Section 21(1) of the FSMA does not apply to us.</w:t>
      </w:r>
    </w:p>
    <w:p>
      <w:pPr>
        <w:spacing w:after="0" w:line="177"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our securities in, from or otherwise involving the UK.</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81"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public units described in this prospectus has been submitted to the clearance procedures of the Autorité des Marchés Financiers or by the competent authority of another member state of the European Economic Area and notified to the Autorité des Marchés Financiers. The public units have not been offered or sold and will not be offered or sold, directly or indirectly, to the public in France. Neither this prospectus nor any other offering material relating to the public units has been or will be:</w:t>
      </w:r>
    </w:p>
    <w:p>
      <w:pPr>
        <w:spacing w:after="0" w:line="87" w:lineRule="exact"/>
        <w:rPr>
          <w:sz w:val="20"/>
          <w:szCs w:val="20"/>
          <w:color w:val="auto"/>
        </w:rPr>
      </w:pPr>
    </w:p>
    <w:p>
      <w:pPr>
        <w:ind w:left="1100" w:hanging="438"/>
        <w:spacing w:after="0"/>
        <w:tabs>
          <w:tab w:leader="none" w:pos="11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public units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0" w:lineRule="exact"/>
        <w:rPr>
          <w:sz w:val="20"/>
          <w:szCs w:val="20"/>
          <w:color w:val="auto"/>
        </w:rPr>
      </w:pPr>
    </w:p>
    <w:p>
      <w:pPr>
        <w:ind w:left="1100" w:right="200" w:hanging="438"/>
        <w:spacing w:after="0" w:line="265" w:lineRule="auto"/>
        <w:tabs>
          <w:tab w:leader="none" w:pos="11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82"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100" w:right="220" w:hanging="438"/>
        <w:spacing w:after="0" w:line="265" w:lineRule="auto"/>
        <w:tabs>
          <w:tab w:leader="none" w:pos="11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7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8"/>
          <w:szCs w:val="18"/>
          <w:color w:val="auto"/>
        </w:rPr>
        <w:t>The public units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No securities have been offered or sold, and no securities may be offered or sold, in Hong Kong, by means of any document, other than (a) to “professional investors” as defined in the Securities and Futures Ordinance (Cap. 571) of Hong Kong (“SFO”) and any rules made under the SFO; or</w:t>
      </w:r>
    </w:p>
    <w:p>
      <w:pPr>
        <w:ind w:left="120" w:right="120" w:firstLine="2"/>
        <w:spacing w:after="0" w:line="251" w:lineRule="auto"/>
        <w:tabs>
          <w:tab w:leader="none" w:pos="3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as defined in the Companies Ordinance (Winding Up and Miscellaneous Provisions Ordinance (Cap. 32) of Hong Kong (the “C(WUMP)O”) or which do not constitute an offer to the public within the meaning of the C(WUMP)O.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8"/>
          <w:szCs w:val="18"/>
          <w:color w:val="auto"/>
        </w:rPr>
        <w:t>This prospectus has not been and will not be lodged or registered as a prospectus with the Monetary Authority of Singapore. Accordingly, this prospectus and any other document or material in connection with the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82"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0" w:lineRule="exact"/>
        <w:rPr>
          <w:sz w:val="20"/>
          <w:szCs w:val="20"/>
          <w:color w:val="auto"/>
        </w:rPr>
      </w:pPr>
    </w:p>
    <w:p>
      <w:pPr>
        <w:ind w:left="1100" w:right="60" w:hanging="438"/>
        <w:spacing w:after="0" w:line="281" w:lineRule="auto"/>
        <w:tabs>
          <w:tab w:leader="none" w:pos="11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10" w:lineRule="exact"/>
        <w:rPr>
          <w:rFonts w:ascii="Times New Roman" w:cs="Times New Roman" w:eastAsia="Times New Roman" w:hAnsi="Times New Roman"/>
          <w:sz w:val="18"/>
          <w:szCs w:val="18"/>
          <w:color w:val="auto"/>
        </w:rPr>
      </w:pPr>
    </w:p>
    <w:p>
      <w:pPr>
        <w:ind w:left="1100" w:right="20" w:hanging="438"/>
        <w:spacing w:after="0" w:line="260" w:lineRule="auto"/>
        <w:tabs>
          <w:tab w:leader="none" w:pos="11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7" w:lineRule="exact"/>
        <w:rPr>
          <w:rFonts w:ascii="Times New Roman" w:cs="Times New Roman" w:eastAsia="Times New Roman" w:hAnsi="Times New Roman"/>
          <w:sz w:val="18"/>
          <w:szCs w:val="18"/>
          <w:color w:val="auto"/>
        </w:rPr>
      </w:pPr>
    </w:p>
    <w:p>
      <w:pPr>
        <w:ind w:left="1540" w:right="520" w:hanging="433"/>
        <w:spacing w:after="0" w:line="281" w:lineRule="auto"/>
        <w:tabs>
          <w:tab w:leader="none" w:pos="15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8"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540" w:right="320" w:hanging="433"/>
        <w:spacing w:after="0" w:line="281" w:lineRule="auto"/>
        <w:tabs>
          <w:tab w:leader="none" w:pos="15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80"/>
          </w:cols>
          <w:pgMar w:left="320" w:top="481"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DLA Piper LLP (US), San Francisco, California, is acting as counsel in connection with the registration of our securities under the Securities Act, and as such, will pass upon the validity of the securities offered in this prospectus with respect to units and rights. Harney Westwood &amp; Riegels (Cayman) LLP will pass upon the validity of the securities offered in this prospectus with respect to the ordinary shares and matters of Cayman Islands law. Ellenoff Grossman &amp; Schole LLP, New York, New York, is acting as counsel to the underwriters in connection with this offering.</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60"/>
          </w:cols>
          <w:pgMar w:left="320" w:top="482" w:right="5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financial statements of the Company as of July 21, 2025 and for the period from June 30, 2025 (date of inception) through July 21, 2025 included in this prospectus have been so included in reliance on the report (which contains an explanatory paragraph relating to the Company’s ability to continue as a going concern as described in Note 1 to the financial statements) of BPM LLP, an independent registered public accounting firm, given on the authority of said firm as experts in auditing and accounting.</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00"/>
          </w:cols>
          <w:pgMar w:left="320" w:top="482"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8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Upon completion of this offering, we will be subject to the information requirements of the Exchange Act and will file (if we are a foreign private issuer, in certain cases voluntarily) annual, quarterly and current event reports, proxy statements (if we will not be a foreign private issuer at such time)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copies of our SEC filings may be accessed on our company website at</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http://www.gigcapital8.com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80"/>
          </w:cols>
          <w:pgMar w:left="320" w:top="481" w:right="49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07"/>
        </w:trPr>
        <w:tc>
          <w:tcPr>
            <w:tcW w:w="88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80" w:type="dxa"/>
            <w:vAlign w:val="bottom"/>
          </w:tcPr>
          <w:p>
            <w:pPr>
              <w:spacing w:after="0"/>
              <w:rPr>
                <w:sz w:val="17"/>
                <w:szCs w:val="17"/>
                <w:color w:val="auto"/>
              </w:rPr>
            </w:pPr>
          </w:p>
        </w:tc>
      </w:tr>
      <w:tr>
        <w:trPr>
          <w:trHeight w:val="546"/>
        </w:trPr>
        <w:tc>
          <w:tcPr>
            <w:tcW w:w="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6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8"/>
              </w:rPr>
              <w:t>GIGCAPITAL8 CORP.</w:t>
            </w:r>
          </w:p>
        </w:tc>
        <w:tc>
          <w:tcPr>
            <w:tcW w:w="228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207)</w:t>
            </w:r>
          </w:p>
        </w:tc>
        <w:tc>
          <w:tcPr>
            <w:tcW w:w="3100" w:type="dxa"/>
            <w:vAlign w:val="bottom"/>
          </w:tcPr>
          <w:p>
            <w:pPr>
              <w:spacing w:after="0"/>
              <w:rPr>
                <w:sz w:val="24"/>
                <w:szCs w:val="24"/>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20" w:type="dxa"/>
            <w:vAlign w:val="bottom"/>
          </w:tcPr>
          <w:p>
            <w:pPr>
              <w:spacing w:after="0"/>
              <w:rPr>
                <w:sz w:val="17"/>
                <w:szCs w:val="17"/>
                <w:color w:val="auto"/>
              </w:rPr>
            </w:pPr>
          </w:p>
        </w:tc>
        <w:tc>
          <w:tcPr>
            <w:tcW w:w="86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Balance Sheet</w:t>
            </w: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Statement of Operations and Comprehensive Loss</w:t>
            </w:r>
          </w:p>
        </w:tc>
        <w:tc>
          <w:tcPr>
            <w:tcW w:w="5060" w:type="dxa"/>
            <w:vAlign w:val="bottom"/>
            <w:gridSpan w:val="2"/>
          </w:tcPr>
          <w:p>
            <w:pPr>
              <w:spacing w:after="0"/>
              <w:rPr>
                <w:sz w:val="17"/>
                <w:szCs w:val="17"/>
                <w:color w:val="auto"/>
              </w:rPr>
            </w:pP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120" w:type="dxa"/>
            <w:vAlign w:val="bottom"/>
          </w:tcPr>
          <w:p>
            <w:pPr>
              <w:spacing w:after="0"/>
              <w:rPr>
                <w:sz w:val="17"/>
                <w:szCs w:val="17"/>
                <w:color w:val="auto"/>
              </w:rPr>
            </w:pPr>
          </w:p>
        </w:tc>
        <w:tc>
          <w:tcPr>
            <w:tcW w:w="86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Statement of Shareholders’ Equity</w:t>
            </w: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Statement of Cash Flows</w:t>
            </w:r>
          </w:p>
        </w:tc>
        <w:tc>
          <w:tcPr>
            <w:tcW w:w="6200" w:type="dxa"/>
            <w:vAlign w:val="bottom"/>
            <w:gridSpan w:val="3"/>
          </w:tcPr>
          <w:p>
            <w:pPr>
              <w:spacing w:after="0"/>
              <w:rPr>
                <w:sz w:val="17"/>
                <w:szCs w:val="17"/>
                <w:color w:val="auto"/>
              </w:rPr>
            </w:pP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2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1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5"/>
              </w:rPr>
              <w:t>F-1</w:t>
            </w:r>
          </w:p>
        </w:tc>
        <w:tc>
          <w:tcPr>
            <w:tcW w:w="2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of GigCapital8 Corp.</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GigCapital8 Corp. (a Cayman Islands exempted company) (the “Company”) as of July 21, 2025, and the related statements of operations and comprehensive loss, shareholders’ equity, and cash flows for the period from June 30, 2025 (date of inception) through July 21, 2025, and the related notes (collectively referred to as the “financial statements”). In our opinion, the financial statements present fairly, in all material respects, the financial position of the Company as of July 21, 2025, and the results of its operations and its cash flows for the period from June 30, 2025 (date of inception) through July 21, 2025, in conformity with accounting principles generally accepted in the United States of America.</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GigCapital8 Corp. will continue as a going concern. As discussed in Note 1 to the financial statements, the Company has no present revenue, its business plan is dependent on the completion of a financing and the Company’s cash and working capital as of July 21, 2025 are not sufficient to complete its planned activities for the upcoming year. These conditions raise substantial doubt about the Company’s ability to continue as a going concern. Management’s plans regarding these matters are also described in Notes 1, 3 and 4. The financial statements do not include any adjustments that might result from the outcome of this uncertainty.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left="120" w:right="60"/>
        <w:spacing w:after="0" w:line="280"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BPM 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9,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82"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GIGCAPITAL8 CORP.</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July 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9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tcBorders>
              <w:top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assets—cash</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Related party payable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(Note 4-Related Party Transactions)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shares, par value of $0.0001 per share; 1,000,000 shares authorized; none issued or outstanding</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Class A ordinary shares, par value of $0.0001 per share; 200,000,000 shares authorized; none issued or outstanding</w:t>
            </w: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Class B ordinary shares, par value of $0.0001 per share; 20,000,000 shares authorized; 7,850,229 shares issued and outstanding</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(19,332)</w:t>
            </w: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right="60" w:hanging="438"/>
        <w:spacing w:after="0" w:line="208" w:lineRule="auto"/>
        <w:tabs>
          <w:tab w:leader="none" w:pos="560" w:val="left"/>
        </w:tabs>
        <w:numPr>
          <w:ilvl w:val="0"/>
          <w:numId w:val="1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number includes up to 1,023,943 Class B ordinary shares subject to forfeiture if the over-allotment option is not exercised in full or in part by the underwriter.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1"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920" w:type="dxa"/>
            <w:vAlign w:val="bottom"/>
            <w:gridSpan w:val="4"/>
          </w:tcPr>
          <w:p>
            <w:pPr>
              <w:ind w:left="296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21,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6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r>
              <w:rPr>
                <w:rFonts w:ascii="Times New Roman" w:cs="Times New Roman" w:eastAsia="Times New Roman" w:hAnsi="Times New Roman"/>
                <w:sz w:val="26"/>
                <w:szCs w:val="26"/>
                <w:color w:val="auto"/>
                <w:vertAlign w:val="superscript"/>
              </w:rPr>
              <w:t>(1)</w:t>
            </w: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3"/>
            <w:vMerge w:val="continue"/>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7,868,100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 basic and diluted</w:t>
            </w:r>
          </w:p>
        </w:tc>
        <w:tc>
          <w:tcPr>
            <w:tcW w:w="306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59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right="20" w:hanging="438"/>
        <w:spacing w:after="0" w:line="208" w:lineRule="auto"/>
        <w:tabs>
          <w:tab w:leader="none" w:pos="560" w:val="left"/>
        </w:tabs>
        <w:numPr>
          <w:ilvl w:val="0"/>
          <w:numId w:val="1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number excludes up to 1,023,943 Class B ordinary shares subject to forfeiture if the over-allotment option is not exercised in full or in part by the underwriter.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SHAREHOLDERS’ EQUITY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00" w:type="dxa"/>
            <w:vAlign w:val="bottom"/>
            <w:gridSpan w:val="4"/>
          </w:tcPr>
          <w:p>
            <w:pPr>
              <w:jc w:val="center"/>
              <w:ind w:left="39"/>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2025 (inception)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Issuance of Class B ordinary shares by Founder</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8,099,614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810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 of Class B ordinary shares by Founder</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(249,385)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Balance as of July 21, 2025</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7,850,229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785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(19,332)</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right="60" w:hanging="438"/>
        <w:spacing w:after="0" w:line="208" w:lineRule="auto"/>
        <w:tabs>
          <w:tab w:leader="none" w:pos="560" w:val="left"/>
        </w:tabs>
        <w:numPr>
          <w:ilvl w:val="0"/>
          <w:numId w:val="1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number includes up to 1,023,943 Class B ordinary shares subject to forfeiture if the over-allotment option is not exercised in full or in part by the underwriter.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8"/>
        </w:trPr>
        <w:tc>
          <w:tcPr>
            <w:tcW w:w="10060" w:type="dxa"/>
            <w:vAlign w:val="bottom"/>
          </w:tcPr>
          <w:p>
            <w:pPr>
              <w:spacing w:after="0"/>
              <w:rPr>
                <w:sz w:val="12"/>
                <w:szCs w:val="12"/>
                <w:color w:val="auto"/>
              </w:rPr>
            </w:pPr>
          </w:p>
        </w:tc>
        <w:tc>
          <w:tcPr>
            <w:tcW w:w="9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148"/>
        </w:trPr>
        <w:tc>
          <w:tcPr>
            <w:tcW w:w="10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r>
      <w:tr>
        <w:trPr>
          <w:trHeight w:val="148"/>
        </w:trPr>
        <w:tc>
          <w:tcPr>
            <w:tcW w:w="10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r>
      <w:tr>
        <w:trPr>
          <w:trHeight w:val="173"/>
        </w:trPr>
        <w:tc>
          <w:tcPr>
            <w:tcW w:w="10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July 21, 2025</w:t>
            </w:r>
          </w:p>
        </w:tc>
      </w:tr>
      <w:tr>
        <w:trPr>
          <w:trHeight w:val="196"/>
        </w:trPr>
        <w:tc>
          <w:tcPr>
            <w:tcW w:w="100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(19,332)</w:t>
            </w: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Class B ordinary shares to Sponsor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related party loan</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during period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2" w:lineRule="exact"/>
        <w:rPr>
          <w:sz w:val="20"/>
          <w:szCs w:val="20"/>
          <w:color w:val="auto"/>
        </w:rPr>
      </w:pPr>
    </w:p>
    <w:p>
      <w:pPr>
        <w:ind w:left="120" w:right="52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1. DESCRIPTION OF ORGANIZATION AND BUSINESS OPERATIONS </w:t>
      </w:r>
      <w:r>
        <w:rPr>
          <w:rFonts w:ascii="Times New Roman" w:cs="Times New Roman" w:eastAsia="Times New Roman" w:hAnsi="Times New Roman"/>
          <w:sz w:val="18"/>
          <w:szCs w:val="18"/>
          <w:b w:val="1"/>
          <w:bCs w:val="1"/>
          <w:i w:val="1"/>
          <w:iCs w:val="1"/>
          <w:color w:val="auto"/>
        </w:rPr>
        <w:t>Organization and General</w:t>
      </w:r>
    </w:p>
    <w:p>
      <w:pPr>
        <w:spacing w:after="0" w:line="1"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will be an “emerging growth company,” as defined in Section 2(a) of the Securities Act of 1933, as amended (the “Securities Act”), as modified by the Jumpstart Our Business Startups Act of 2012 (the “JOBS Act”) upon the closing of the initial public offering.</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July 21, 2025, the Company had not commenced any operations. All activity for the period from June 30, 2025 (date of inception) through July 21, 2025 relates to the Company’s formation and the proposed initial public offering (“Proposed Offering”) described below. The Company will not generate any operating revenues until after completion of the Business Combination, at the earliest. The Company will generate non-operating income in the form of interest income on cash and cash equivalents from the proceeds derived from the Proposed Offering. The Company has selected December 31 as its fiscal year end.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Founder and Proposed Financing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sponsor is GigAcquisitions8 Corp., a Cayman Island exempted company (the “Sponsor” and is sometimes referred to as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The Company intends to finance a Business Combination with proceeds from a $220,000,000 public offering (Note 3), and a $3,357,006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 placement with the Sponsor and certain institutional investors (Notes 3 and 4). Upon the closing of the Proposed Offering, $220,000,000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$253,000,000 if the over-allotment option is exercised in full by D. Boral Capital LLC (the “Underwriter”)—Note 3) will be held in the Trust Account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(discussed below).</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Trust Account</w:t>
      </w:r>
    </w:p>
    <w:p>
      <w:pPr>
        <w:spacing w:after="0" w:line="121"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Company’s memorandum and articles of association provides that, other than the withdrawal of interest to pay taxes none of the funds held in the Trust Account will be released until the earlier of: (1) the completion of the Business Combination; (2) the redemption of 100% of the outstanding public shares if the Company has not completed an initial Business Combination within 24 months from the closing of the Proposed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jc w:val="both"/>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Offering, although substantially all of the net proceeds of the Proposed Offering are intended to be generally applied toward consummating a Business Combination with (or acquisition of) a Target</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82"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Business. As used herein, “Target Business” must be with one or more target businesses that together have a fair market value equal to at least 80% of the balance in the Trust Account (less withdrawals to fund working capital requirements, subject to an annual limit of $1,000,000, and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rules. If the Company seeks shareholder approval, it will complete its Business Combination only if a majority of the outstanding shares are voted in favor of the Business Combination.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such ordinary shares will be recorded at redemption amount and classified as temporary equity upon the completion of the Proposed Offering. The amount in the Trust Account is initially anticipated to be $10.00 per public share ($220,000,000 held in the Trust Account divided by 22,000,000 public shares).</w:t>
      </w:r>
    </w:p>
    <w:p>
      <w:pPr>
        <w:spacing w:after="0" w:line="182"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7"/>
          <w:szCs w:val="17"/>
          <w:color w:val="auto"/>
        </w:rPr>
        <w:t>The Company will have 24 months from the closing date of the Proposed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fund the Company’s working capital requirements, subject to an annual limit of $1,000,000, and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will each enter into agreements with the Company, pursuant to which they will agree: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w:t>
      </w:r>
    </w:p>
    <w:p>
      <w:pPr>
        <w:spacing w:after="0" w:line="1" w:lineRule="exact"/>
        <w:rPr>
          <w:sz w:val="20"/>
          <w:szCs w:val="20"/>
          <w:color w:val="auto"/>
        </w:rPr>
      </w:pPr>
    </w:p>
    <w:p>
      <w:pPr>
        <w:ind w:left="380" w:hanging="258"/>
        <w:spacing w:after="0"/>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rights to liquidating distributions from the trust account with respect to their Founder Shares, Private Investor Shares and private</w:t>
      </w:r>
    </w:p>
    <w:p>
      <w:pPr>
        <w:spacing w:after="0" w:line="8" w:lineRule="exact"/>
        <w:rPr>
          <w:rFonts w:ascii="Times New Roman" w:cs="Times New Roman" w:eastAsia="Times New Roman" w:hAnsi="Times New Roman"/>
          <w:sz w:val="18"/>
          <w:szCs w:val="18"/>
          <w:color w:val="auto"/>
        </w:rPr>
      </w:pPr>
    </w:p>
    <w:p>
      <w:pPr>
        <w:ind w:left="1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shares if we fail to complete the Company’s initial Business Combination within 24 months from the closing of this offering, although they will be entitled to liquidating distributions from the trust account with respect to any public shares they hold if we fail to complete the Company’s initial Business Combination within the prescribed time frame; and (3) to</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1"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280"/>
        <w:spacing w:after="0" w:line="280" w:lineRule="auto"/>
        <w:rPr>
          <w:sz w:val="20"/>
          <w:szCs w:val="20"/>
          <w:color w:val="auto"/>
        </w:rPr>
      </w:pPr>
      <w:r>
        <w:rPr>
          <w:rFonts w:ascii="Times New Roman" w:cs="Times New Roman" w:eastAsia="Times New Roman" w:hAnsi="Times New Roman"/>
          <w:sz w:val="17"/>
          <w:szCs w:val="17"/>
          <w:color w:val="auto"/>
        </w:rPr>
        <w:t>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Company’s initial Business Combination or with respect to any other provision relating to shareholders’ rights or pre business combination activity.</w:t>
      </w:r>
    </w:p>
    <w:p>
      <w:pPr>
        <w:spacing w:after="0" w:line="16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Proposed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of July 21, 2025, the Company had $125,000 in cash and a working capital of $5,668. Further, the Company expects to continue to incur significant costs in pursuit of its financing and acquisition plans. These conditions raise substantial doubt about the Company’s ability to continue as a going concern. The Company plans to address this uncertainty through a Proposed Offering as discussed in Note 3 and the sale of Private Investor Shares and Private Placement Units (as defined below) as discussed in Note 4. There is no assurance that the Company’s plans to raise capital or to consummate a Business Combination will be successful or successful within the target business acquisition period. The financial statements do not include any adjustments that might result from the outcome of this uncertainty.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8"/>
          <w:szCs w:val="18"/>
          <w:color w:val="auto"/>
        </w:rPr>
        <w:t>The financial statements of the Company have been prepared in conformity with accounting principles generally accepted in the United States of America.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121" w:lineRule="exact"/>
        <w:rPr>
          <w:sz w:val="20"/>
          <w:szCs w:val="20"/>
          <w:color w:val="auto"/>
        </w:rPr>
      </w:pPr>
    </w:p>
    <w:p>
      <w:pPr>
        <w:jc w:val="both"/>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Net loss per ordinary share is computed by dividing net loss by the weighted-average number of ordinary shares outstanding during the period (after deducting 1,023,943 ordinary shares subject to forfeiture in connection with the Proposed Offering). As of July 21,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 presented.</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20"/>
          </w:cols>
          <w:pgMar w:left="320" w:top="481" w:right="5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federally insured limits. The Company has not experienced losses on these accounts and management believes the Company is not exposed to significant risks on such accounts.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Company’s assets and liabilities approximates the carrying amounts represented in the balance sheet.</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Associated with the Proposed Offering</w:t>
      </w:r>
    </w:p>
    <w:p>
      <w:pPr>
        <w:spacing w:after="0" w:line="121"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to be incurred, will be charged to operations.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80" w:firstLine="440"/>
        <w:spacing w:after="0" w:line="26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177"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7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or loss that also is reported on the statement of operations and comprehensive loss as net income or loss. The key measures of segment profit or loss reviewed by the CODM are general and administrative expenses. General and administrative expenses are reviewed and monitored by the CODM to manage and forecast cash to ensure enough capital is available to complete a Proposed Offering and eventually a Business Combination within the business combination period. The CODM also reviews general and administrative expenses to manage, maintain and enforce all contractual agreements to ensure costs are aligned with all agreements and budget.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480" w:firstLine="440"/>
        <w:spacing w:after="0" w:line="283"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Accounting Standards Codification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(“ASC 740”). Deferred tax assets and liabilities are recognized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2"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21, 2025. The Company is currently not aware of any issues under review that could result in significant payments, accruals or material deviation from its position.</w:t>
      </w:r>
    </w:p>
    <w:p>
      <w:pPr>
        <w:spacing w:after="0" w:line="182" w:lineRule="exact"/>
        <w:rPr>
          <w:sz w:val="20"/>
          <w:szCs w:val="20"/>
          <w:color w:val="auto"/>
        </w:rPr>
      </w:pPr>
    </w:p>
    <w:p>
      <w:pPr>
        <w:jc w:val="both"/>
        <w:ind w:left="120" w:firstLine="440"/>
        <w:spacing w:after="0" w:line="265"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pronouncements, if currently adopted, would have a material effect on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PROPOSED OFFERING</w:t>
      </w:r>
    </w:p>
    <w:p>
      <w:pPr>
        <w:spacing w:after="0" w:line="121"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Pursuant to the Proposed Offering, the Company intends to offer for sale up to 22,000,000 units at a price of $10.00 per unit (the “Units”). Each Unit consists of one share of the Company’s Class A ordinary shares, $0.0001 par value and one right to receive one-tenth (1/10) of one Class A ordinary share upon consummation of the initial Business Combination.</w:t>
      </w:r>
    </w:p>
    <w:p>
      <w:pPr>
        <w:spacing w:after="0" w:line="177" w:lineRule="exact"/>
        <w:rPr>
          <w:sz w:val="20"/>
          <w:szCs w:val="20"/>
          <w:color w:val="auto"/>
        </w:rPr>
      </w:pPr>
    </w:p>
    <w:p>
      <w:pPr>
        <w:ind w:left="120" w:right="220" w:firstLine="440"/>
        <w:spacing w:after="0" w:line="265" w:lineRule="auto"/>
        <w:rPr>
          <w:sz w:val="20"/>
          <w:szCs w:val="20"/>
          <w:color w:val="auto"/>
        </w:rPr>
      </w:pPr>
      <w:r>
        <w:rPr>
          <w:rFonts w:ascii="Times New Roman" w:cs="Times New Roman" w:eastAsia="Times New Roman" w:hAnsi="Times New Roman"/>
          <w:sz w:val="18"/>
          <w:szCs w:val="18"/>
          <w:color w:val="auto"/>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ten in order to receive shares for all of the rights upon closing of an initial business combination.</w:t>
      </w:r>
    </w:p>
    <w:p>
      <w:pPr>
        <w:spacing w:after="0" w:line="177"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The Company expects to grant the Underwriter a 45-day option to purchase up to 3,300,000 additional Units to cover any over-allotments, at the initial public offering price less the underwriting discounts.</w:t>
      </w:r>
    </w:p>
    <w:p>
      <w:pPr>
        <w:spacing w:after="0" w:line="16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Company expects to pay an underwriting discount of $0.0455 per Unit (or $0.0405 per Unit if the Underwriter’s option to purchase additional Units is exercised in full) to the Underwriter at the closing of the Proposed Offering. The underwriting discount is payable in cash.</w:t>
      </w:r>
    </w:p>
    <w:p>
      <w:pPr>
        <w:spacing w:after="0" w:line="16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institutional accredited investors (none of which are affiliated with any member of our management, our sponsor or any other investor (the “non-managing investors”)) have committed to purchase an aggregate of (a) 2,964,203 Class B ordinary shares (of which up to 386,681 Class B ordinary shares would be subject to forfeiture depending on the extent to which the Underwriters’ over-allotment option is exercised during the Proposed Offering) (the “Private Investor Shares”) at a purchase price per Class B ordinary share of $0.023254, and (b) an aggregate of 242,475 Private Placement Units (or up to 262,457 Private Placement Units if the</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82"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Underwriters’ over-allotment option is exercised in full) consisting of one Class A ordinary share and one right to receive one-tenth (1/10) of one Class A ordinary share upon consummation of the initial Business Combination at a price of $9.7374 per unit in a private placement that will occur simultaneously with the completion of the Proposed Offering (the “Private Placement Unit”) for an aggregate purchase price of $2,430,006 (or $2,624,578 if the Underwriters’ over-allotment option is exercised in full). The Private Investment Shares along with the Founder Shares will collectively represent 30% of the outstanding ordinary shares upon completion of the Proposed Offering,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June 30, 2025 (date of inception), one Class B ordinary share that was allotted to Harneys Fiduciary (Cayman) Limited (“Harneys Fiduciary”) upon our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for at a purchase price of $0.00318 per share. The Founder intends, at the time of the Proposed Offering, to sell 375,397 Founder Shares in the aggregate to four board nominees (“Insiders”) at an aggregate price of $9,244, or $0.02462 per share, thus reducing the price paid by the Founder for the 7,474,832 Founder Shares which it is retaining to $15,756, or $0.002108 per share. The Founder Shares are identical to the Class A ordinary shares included in the Units being sold in the Proposed Offering except that the Founder Shares are subject to certain transfer restrictions, as described in more detail below. The Founder and Insiders agreed to forfeit up to 1,023,943 Founder Shares to the extent that the over-allotment option is not exercised in full by the Underwriter. The forfeiture will be adjusted to the extent that the over-allotment option is not exercised in full by the Underwriter so that the Class B ordinary shares owned by the Founder, Insiders and non-managing investors will own 30% of the Company’s issued and outstanding Class A and Class B ordinary shares after the Proposed Offering, excluding the private placement shares that are an underlying security to the Private Placement Units.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Founder and Insiders have agreed to purchase from the Company 95,200 Private Placement Units. In addition, as discussed in Note 3, the non-managing investors will purchase 242,475 Private Placement Units (or up to 262,457 Private Placement Units if the Underwriters’ over-allotment option is exercised in full) at a price of $9.7374 per Private Placement Unit. Each ten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ten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spacing w:after="0" w:line="186"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8"/>
          <w:szCs w:val="18"/>
          <w:color w:val="auto"/>
        </w:rPr>
        <w:t>The Company’s Founder, Insiders and the non-managing investors have each agreed not to transfer, assign or sell any of their respective Founder Shares, Private Investor Shares, Private Placement Units or underlying</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82"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securities to the Private Placement Units that they may hold from the date of the Proposed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w:t>
      </w:r>
    </w:p>
    <w:p>
      <w:pPr>
        <w:spacing w:after="0" w:line="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its underlying securities), until 30 days after the completion of the Company’s initial Business Combination.</w:t>
      </w:r>
    </w:p>
    <w:p>
      <w:pPr>
        <w:spacing w:after="0" w:line="18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a portion of the proceeds from the sale of the Private Investor Shares and Private Placement Units will be part of the liquidating distribution to the public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Company’s Founder, Insiders and the non-managing investors and their permitted transferees are entitled to registration rights pursuant to a registration rights agreement signed on the date of the prospectus for the Proposed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w:t>
      </w:r>
    </w:p>
    <w:p>
      <w:pPr>
        <w:spacing w:after="0" w:line="12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Company has entered into a promissory note with the Sponsor with a principal amount of $100,000 (the “Promissory Note”), all of which remained outstanding as of July 21, 2025, to be used for the payment of expenses related to the Proposed Offering. The Promissory Note is non-interest bearing, unsecured and is due on the earlier of (i) December 31, 2025 or (ii) the date on which the Company consummates an initial public offering of its securities.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SHAREHOLDERS’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shares with such designations, voting and other rights and preferences as may be determined from time to time by the Board of Directors. As of July 21, 2025, there were no preferred shares issued and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July 21, 2025, there were no Class A ordinary shares issued or outstanding.</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At formation on June 30, 2025, one Class B ordinary share that was allotted to Harneys Fiduciary upon our formation was transferred by Harneys Fiduciary to the Sponsor and 8,099,613 Class B ordinary shares were issued to the Sponsor for an aggregate purchase price of $25,000. On July 18, 2025, the Sponsor surrendered 249,385 Class B ordinary shares to the Company (which were cancelled) for no consideration, with the resulting 7,850,229 Founder Shares paid for at a purchase price of $0.00318 per share. As of July 21, 2025, 1,023,943 Class B ordinary shares are subject to forfeiture depending on the extent to which the Underwriter’s over-allotment option is exercised during the Proposed Offering as described in Note 3. As of July 21, 2025, there were 7,850,229 Class B ordinary shares issued and outstanding.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SUBSEQUENT EVENTS</w:t>
      </w:r>
    </w:p>
    <w:p>
      <w:pPr>
        <w:spacing w:after="0" w:line="121" w:lineRule="exact"/>
        <w:rPr>
          <w:sz w:val="20"/>
          <w:szCs w:val="20"/>
          <w:color w:val="auto"/>
        </w:rPr>
      </w:pPr>
    </w:p>
    <w:p>
      <w:pPr>
        <w:ind w:left="120" w:right="420" w:firstLine="440"/>
        <w:spacing w:after="0" w:line="265" w:lineRule="auto"/>
        <w:rPr>
          <w:sz w:val="20"/>
          <w:szCs w:val="20"/>
          <w:color w:val="auto"/>
        </w:rPr>
      </w:pPr>
      <w:r>
        <w:rPr>
          <w:rFonts w:ascii="Times New Roman" w:cs="Times New Roman" w:eastAsia="Times New Roman" w:hAnsi="Times New Roman"/>
          <w:sz w:val="18"/>
          <w:szCs w:val="18"/>
          <w:color w:val="auto"/>
        </w:rPr>
        <w:t>The Company evaluated subsequent events that occurred after the balance sheet date through September 9, 2025, the date that these financial statements were available to be issued. Based upon this review, the Company did not identify any subsequent events that would have required adjustment to or disclosure in the financial statements, except as disclosed below.</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81"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249555</wp:posOffset>
            </wp:positionV>
            <wp:extent cx="698690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8690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300990</wp:posOffset>
            </wp:positionV>
            <wp:extent cx="698690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ectPr>
          <w:pgSz w:w="11900" w:h="16838" w:orient="portrait"/>
          <w:cols w:equalWidth="0" w:num="1">
            <w:col w:w="10980"/>
          </w:cols>
          <w:pgMar w:left="320" w:top="48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22,000,000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257810</wp:posOffset>
            </wp:positionV>
            <wp:extent cx="2286000" cy="3594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286000" cy="35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GigCapital8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565785</wp:posOffset>
            </wp:positionV>
            <wp:extent cx="14643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236220</wp:posOffset>
            </wp:positionV>
            <wp:extent cx="14643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19" w:lineRule="exact"/>
        <w:rPr>
          <w:sz w:val="20"/>
          <w:szCs w:val="20"/>
          <w:color w:val="auto"/>
        </w:rPr>
      </w:pPr>
    </w:p>
    <w:p>
      <w:pPr>
        <w:ind w:left="5040" w:hanging="300"/>
        <w:spacing w:after="0"/>
        <w:tabs>
          <w:tab w:leader="none" w:pos="5040" w:val="left"/>
        </w:tabs>
        <w:numPr>
          <w:ilvl w:val="0"/>
          <w:numId w:val="126"/>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Boral Capital</w:t>
      </w:r>
    </w:p>
    <w:p>
      <w:pPr>
        <w:spacing w:after="0" w:line="234"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Until [  ], 2025 (25 days after the date of this prospectus), all dealers that buy, sell or trade our Class A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407035</wp:posOffset>
            </wp:positionV>
            <wp:extent cx="69869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466725</wp:posOffset>
            </wp:positionV>
            <wp:extent cx="698690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10980"/>
          </w:cols>
          <w:pgMar w:left="320" w:top="481" w:right="599" w:bottom="1440" w:gutter="0" w:footer="0" w:header="0"/>
          <w:type w:val="continuous"/>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 will be as follows:</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Printing</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Miscellaneous expenses</w:t>
            </w:r>
            <w:r>
              <w:rPr>
                <w:rFonts w:ascii="Times New Roman" w:cs="Times New Roman" w:eastAsia="Times New Roman" w:hAnsi="Times New Roman"/>
                <w:sz w:val="25"/>
                <w:szCs w:val="25"/>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301,099</w:t>
            </w:r>
          </w:p>
        </w:tc>
        <w:tc>
          <w:tcPr>
            <w:tcW w:w="6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957,006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60" w:right="840" w:hanging="438"/>
        <w:spacing w:after="0" w:line="208" w:lineRule="auto"/>
        <w:tabs>
          <w:tab w:leader="none" w:pos="560" w:val="left"/>
        </w:tabs>
        <w:numPr>
          <w:ilvl w:val="0"/>
          <w:numId w:val="1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amount represents additional expenses that may be incurred by the Company in connection with the offering over and above those specifically listed above, including transfer agent and trustee fees.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or willful default.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7" w:lineRule="exact"/>
        <w:rPr>
          <w:sz w:val="20"/>
          <w:szCs w:val="20"/>
          <w:color w:val="auto"/>
        </w:rPr>
      </w:pPr>
    </w:p>
    <w:p>
      <w:pPr>
        <w:ind w:left="120" w:right="100" w:firstLine="440"/>
        <w:spacing w:after="0" w:line="26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(Cayman) Limited upon our formation was transferred by Harneys Fiduciary (Cayman) Limited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The function of the terms of forfeiture shall be to ensure that the founder shares and private placement shares will collectively represent 30% of the issued and outstanding ordinary shares upon completion of this offering (excluding any ordinary shares underlying the private placement units). Such securities were issued pursuant to the exemption from registration contained in Section 4(a)(2) of the Securities Act.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82"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Our sponsor and four of our directors have committed to purchase 95,200 private placement units at a price of $9.7374 per private placement unit, or $927,000 in the aggregate, in a private placement that will close simultaneously with the completion of this offering. This issuance will be made pursuant to the exemption from registration contained in Section 4(a)(2) of the Securities Act.</w:t>
      </w:r>
    </w:p>
    <w:p>
      <w:pPr>
        <w:spacing w:after="0" w:line="17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 This issuance will be made pursuant to the exemption from registration contained in Section 4(a)(2) of the Securities Act.</w:t>
      </w:r>
    </w:p>
    <w:p>
      <w:pPr>
        <w:spacing w:after="0" w:line="171"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8"/>
          <w:szCs w:val="18"/>
          <w:color w:val="auto"/>
        </w:rPr>
        <w:t>Our sponsor, the four directors and non-managing investors are accredited investors for purposes of Rule 501 of Regulation D. No underwriting discounts or commissions were paid with respect to such sales.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2" w:lineRule="exact"/>
        <w:rPr>
          <w:sz w:val="20"/>
          <w:szCs w:val="20"/>
          <w:color w:val="auto"/>
        </w:rPr>
      </w:pPr>
    </w:p>
    <w:p>
      <w:pPr>
        <w:ind w:left="560" w:hanging="438"/>
        <w:spacing w:after="0"/>
        <w:tabs>
          <w:tab w:leader="none" w:pos="5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list of exhibits following the signature page of this registration statement is incorporated herein by reference.</w:t>
      </w:r>
    </w:p>
    <w:p>
      <w:pPr>
        <w:spacing w:after="0" w:line="130" w:lineRule="exact"/>
        <w:rPr>
          <w:rFonts w:ascii="Times New Roman" w:cs="Times New Roman" w:eastAsia="Times New Roman" w:hAnsi="Times New Roman"/>
          <w:sz w:val="18"/>
          <w:szCs w:val="18"/>
          <w:color w:val="auto"/>
        </w:rPr>
      </w:pPr>
    </w:p>
    <w:p>
      <w:pPr>
        <w:ind w:left="560" w:hanging="438"/>
        <w:spacing w:after="0"/>
        <w:tabs>
          <w:tab w:leader="none" w:pos="5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page F-1 for an index to the financial statements and schedules included in the registration statement.</w:t>
      </w: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4" w:lineRule="exact"/>
        <w:rPr>
          <w:sz w:val="20"/>
          <w:szCs w:val="20"/>
          <w:color w:val="auto"/>
        </w:rPr>
      </w:pPr>
    </w:p>
    <w:p>
      <w:pPr>
        <w:ind w:left="560" w:right="60" w:hanging="438"/>
        <w:spacing w:after="0" w:line="281" w:lineRule="auto"/>
        <w:tabs>
          <w:tab w:leader="none" w:pos="5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68" w:lineRule="exact"/>
        <w:rPr>
          <w:rFonts w:ascii="Times New Roman" w:cs="Times New Roman" w:eastAsia="Times New Roman" w:hAnsi="Times New Roman"/>
          <w:sz w:val="18"/>
          <w:szCs w:val="18"/>
          <w:color w:val="auto"/>
        </w:rPr>
      </w:pPr>
    </w:p>
    <w:p>
      <w:pPr>
        <w:ind w:left="560" w:right="60" w:hanging="438"/>
        <w:spacing w:after="0" w:line="254" w:lineRule="auto"/>
        <w:tabs>
          <w:tab w:leader="none" w:pos="5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4" w:lineRule="exact"/>
        <w:rPr>
          <w:rFonts w:ascii="Times New Roman" w:cs="Times New Roman" w:eastAsia="Times New Roman" w:hAnsi="Times New Roman"/>
          <w:sz w:val="18"/>
          <w:szCs w:val="18"/>
          <w:color w:val="auto"/>
        </w:rPr>
      </w:pPr>
    </w:p>
    <w:p>
      <w:pPr>
        <w:ind w:left="560" w:hanging="438"/>
        <w:spacing w:after="0"/>
        <w:tabs>
          <w:tab w:leader="none" w:pos="5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sz w:val="20"/>
          <w:szCs w:val="20"/>
          <w:color w:val="auto"/>
        </w:rPr>
      </w:pPr>
    </w:p>
    <w:p>
      <w:pPr>
        <w:ind w:left="560" w:right="160" w:hanging="438"/>
        <w:spacing w:after="0" w:line="276" w:lineRule="auto"/>
        <w:tabs>
          <w:tab w:leader="none" w:pos="5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497(h) under the Securities Act shall be deemed to be part of this registration statement as of the time it was declared effective.</w:t>
      </w:r>
    </w:p>
    <w:p>
      <w:pPr>
        <w:spacing w:after="0" w:line="111" w:lineRule="exact"/>
        <w:rPr>
          <w:rFonts w:ascii="Times New Roman" w:cs="Times New Roman" w:eastAsia="Times New Roman" w:hAnsi="Times New Roman"/>
          <w:sz w:val="17"/>
          <w:szCs w:val="17"/>
          <w:color w:val="auto"/>
        </w:rPr>
      </w:pPr>
    </w:p>
    <w:p>
      <w:pPr>
        <w:ind w:left="560" w:right="100" w:hanging="438"/>
        <w:spacing w:after="0" w:line="265" w:lineRule="auto"/>
        <w:tabs>
          <w:tab w:leader="none" w:pos="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81"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hanging="438"/>
        <w:spacing w:after="0" w:line="254" w:lineRule="auto"/>
        <w:tabs>
          <w:tab w:leader="none" w:pos="5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4" w:lineRule="exact"/>
        <w:rPr>
          <w:rFonts w:ascii="Times New Roman" w:cs="Times New Roman" w:eastAsia="Times New Roman" w:hAnsi="Times New Roman"/>
          <w:sz w:val="18"/>
          <w:szCs w:val="18"/>
          <w:color w:val="auto"/>
        </w:rPr>
      </w:pPr>
    </w:p>
    <w:p>
      <w:pPr>
        <w:ind w:left="560" w:right="20" w:hanging="438"/>
        <w:spacing w:after="0" w:line="258" w:lineRule="auto"/>
        <w:tabs>
          <w:tab w:leader="none" w:pos="5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sz w:val="20"/>
          <w:szCs w:val="20"/>
          <w:color w:val="auto"/>
        </w:rPr>
      </w:pPr>
    </w:p>
    <w:p>
      <w:pPr>
        <w:ind w:left="560" w:hanging="438"/>
        <w:spacing w:after="0"/>
        <w:tabs>
          <w:tab w:leader="none" w:pos="5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560" w:right="40" w:hanging="438"/>
        <w:spacing w:after="0" w:line="281" w:lineRule="auto"/>
        <w:tabs>
          <w:tab w:leader="none" w:pos="5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an undersigned registrant;</w:t>
      </w:r>
    </w:p>
    <w:p>
      <w:pPr>
        <w:spacing w:after="0" w:line="68" w:lineRule="exact"/>
        <w:rPr>
          <w:rFonts w:ascii="Times New Roman" w:cs="Times New Roman" w:eastAsia="Times New Roman" w:hAnsi="Times New Roman"/>
          <w:sz w:val="18"/>
          <w:szCs w:val="18"/>
          <w:color w:val="auto"/>
        </w:rPr>
      </w:pPr>
    </w:p>
    <w:p>
      <w:pPr>
        <w:ind w:left="560" w:right="340" w:hanging="438"/>
        <w:spacing w:after="0" w:line="281" w:lineRule="auto"/>
        <w:tabs>
          <w:tab w:leader="none" w:pos="5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8" w:lineRule="exact"/>
        <w:rPr>
          <w:rFonts w:ascii="Times New Roman" w:cs="Times New Roman" w:eastAsia="Times New Roman" w:hAnsi="Times New Roman"/>
          <w:sz w:val="18"/>
          <w:szCs w:val="18"/>
          <w:color w:val="auto"/>
        </w:rPr>
      </w:pPr>
    </w:p>
    <w:p>
      <w:pPr>
        <w:ind w:left="560" w:hanging="438"/>
        <w:spacing w:after="0"/>
        <w:tabs>
          <w:tab w:leader="none" w:pos="5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82"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20" w:type="dxa"/>
            <w:vAlign w:val="bottom"/>
            <w:gridSpan w:val="1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4"/>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860" w:type="dxa"/>
            <w:vAlign w:val="bottom"/>
          </w:tcPr>
          <w:p>
            <w:pPr>
              <w:spacing w:after="0"/>
              <w:rPr>
                <w:sz w:val="24"/>
                <w:szCs w:val="24"/>
                <w:color w:val="auto"/>
              </w:rPr>
            </w:pPr>
          </w:p>
        </w:tc>
        <w:tc>
          <w:tcPr>
            <w:tcW w:w="30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Memorandum and Articles of Association</w:t>
              </w:r>
            </w:hyperlink>
          </w:p>
        </w:tc>
        <w:tc>
          <w:tcPr>
            <w:tcW w:w="642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860" w:type="dxa"/>
            <w:vAlign w:val="bottom"/>
          </w:tcPr>
          <w:p>
            <w:pPr>
              <w:spacing w:after="0"/>
              <w:rPr>
                <w:sz w:val="24"/>
                <w:szCs w:val="24"/>
                <w:color w:val="auto"/>
              </w:rPr>
            </w:pPr>
          </w:p>
        </w:tc>
        <w:tc>
          <w:tcPr>
            <w:tcW w:w="5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77">
              <w:r>
                <w:rPr>
                  <w:rFonts w:ascii="Times New Roman" w:cs="Times New Roman" w:eastAsia="Times New Roman" w:hAnsi="Times New Roman"/>
                  <w:sz w:val="18"/>
                  <w:szCs w:val="18"/>
                  <w:color w:val="0000EE"/>
                  <w:w w:val="99"/>
                </w:rPr>
                <w:t>Form of Amended and Restated Memorandum and Articles of Association</w:t>
              </w:r>
            </w:hyperlink>
          </w:p>
        </w:tc>
        <w:tc>
          <w:tcPr>
            <w:tcW w:w="4080" w:type="dxa"/>
            <w:vAlign w:val="bottom"/>
            <w:gridSpan w:val="7"/>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Specimen Unit Certificate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Specimen Class A Ordinary Share Certificate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Specimen Right Certificate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Rights Agreement between Continental Stock Transfer &amp; Trust Company and the Company</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Opinion of DLA Piper LLP (US)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Opinion of Harney Westwood &amp; Riegels (Cayman) LLP</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Insider Letter Agreement among the Company, the sponsor and its executive officers and directors</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tcPr>
          <w:p>
            <w:pPr>
              <w:spacing w:after="0"/>
              <w:rPr>
                <w:sz w:val="24"/>
                <w:szCs w:val="24"/>
                <w:color w:val="auto"/>
              </w:rPr>
            </w:pPr>
          </w:p>
        </w:tc>
        <w:tc>
          <w:tcPr>
            <w:tcW w:w="9440" w:type="dxa"/>
            <w:vAlign w:val="bottom"/>
            <w:gridSpan w:val="15"/>
          </w:tcPr>
          <w:p>
            <w:pPr>
              <w:spacing w:after="0"/>
              <w:rPr>
                <w:rFonts w:ascii="Times New Roman" w:cs="Times New Roman" w:eastAsia="Times New Roman" w:hAnsi="Times New Roman"/>
                <w:sz w:val="18"/>
                <w:szCs w:val="18"/>
                <w:color w:val="0000EE"/>
              </w:rPr>
            </w:pPr>
            <w:hyperlink r:id="rId378">
              <w:r>
                <w:rPr>
                  <w:rFonts w:ascii="Times New Roman" w:cs="Times New Roman" w:eastAsia="Times New Roman" w:hAnsi="Times New Roman"/>
                  <w:sz w:val="18"/>
                  <w:szCs w:val="18"/>
                  <w:color w:val="0000EE"/>
                </w:rPr>
                <w:t>Founder Shares Subscription Agreement, dated July 18, 2025, between the Company and sponsor</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tcPr>
          <w:p>
            <w:pPr>
              <w:spacing w:after="0"/>
              <w:rPr>
                <w:sz w:val="24"/>
                <w:szCs w:val="24"/>
                <w:color w:val="auto"/>
              </w:rPr>
            </w:pPr>
          </w:p>
        </w:tc>
        <w:tc>
          <w:tcPr>
            <w:tcW w:w="70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379">
              <w:r>
                <w:rPr>
                  <w:rFonts w:ascii="Times New Roman" w:cs="Times New Roman" w:eastAsia="Times New Roman" w:hAnsi="Times New Roman"/>
                  <w:sz w:val="18"/>
                  <w:szCs w:val="18"/>
                  <w:color w:val="0000EE"/>
                </w:rPr>
                <w:t>Form of Subscription Agreement between the Company and non-managing investors</w:t>
              </w:r>
            </w:hyperlink>
          </w:p>
        </w:tc>
        <w:tc>
          <w:tcPr>
            <w:tcW w:w="2440" w:type="dxa"/>
            <w:vAlign w:val="bottom"/>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4"/>
                <w:szCs w:val="24"/>
                <w:color w:val="auto"/>
              </w:rPr>
            </w:pPr>
          </w:p>
        </w:tc>
        <w:tc>
          <w:tcPr>
            <w:tcW w:w="61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Form of Unit Purchase Agreement</w:t>
            </w:r>
          </w:p>
        </w:tc>
        <w:tc>
          <w:tcPr>
            <w:tcW w:w="3340" w:type="dxa"/>
            <w:vAlign w:val="bottom"/>
            <w:gridSpan w:val="2"/>
          </w:tcPr>
          <w:p>
            <w:pPr>
              <w:spacing w:after="0"/>
              <w:rPr>
                <w:sz w:val="24"/>
                <w:szCs w:val="24"/>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Registration Rights Agreement by and among the Company, the sponsor, and non-managing investors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Administrative Services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Investment Management Trust Agreement between Continental Stock Transfer &amp; Trust Company and the Company</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60" w:type="dxa"/>
            <w:vAlign w:val="bottom"/>
          </w:tcPr>
          <w:p>
            <w:pPr>
              <w:spacing w:after="0"/>
              <w:rPr>
                <w:sz w:val="24"/>
                <w:szCs w:val="24"/>
                <w:color w:val="auto"/>
              </w:rPr>
            </w:pPr>
          </w:p>
        </w:tc>
        <w:tc>
          <w:tcPr>
            <w:tcW w:w="48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80">
              <w:r>
                <w:rPr>
                  <w:rFonts w:ascii="Times New Roman" w:cs="Times New Roman" w:eastAsia="Times New Roman" w:hAnsi="Times New Roman"/>
                  <w:sz w:val="18"/>
                  <w:szCs w:val="18"/>
                  <w:color w:val="0000EE"/>
                  <w:w w:val="99"/>
                </w:rPr>
                <w:t>Promissory Note issued in favor of the sponsor, dated July 18, 2025</w:t>
              </w:r>
            </w:hyperlink>
          </w:p>
        </w:tc>
        <w:tc>
          <w:tcPr>
            <w:tcW w:w="4580" w:type="dxa"/>
            <w:vAlign w:val="bottom"/>
            <w:gridSpan w:val="8"/>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Code of Business Conduct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tcPr>
          <w:p>
            <w:pPr>
              <w:spacing w:after="0"/>
              <w:rPr>
                <w:sz w:val="24"/>
                <w:szCs w:val="24"/>
                <w:color w:val="auto"/>
              </w:rPr>
            </w:pPr>
          </w:p>
        </w:tc>
        <w:tc>
          <w:tcPr>
            <w:tcW w:w="1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Consent of BPM LLP</w:t>
            </w:r>
          </w:p>
        </w:tc>
        <w:tc>
          <w:tcPr>
            <w:tcW w:w="7880" w:type="dxa"/>
            <w:vAlign w:val="bottom"/>
            <w:gridSpan w:val="13"/>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Consent of DLA Piper LLP (US) (included in Exhibit 5.1)</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Consent of Harney Westwood &amp; Riegels (Cayman) LLP (included in Exhibit 5.2)</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Pr>
          <w:p>
            <w:pPr>
              <w:spacing w:after="0"/>
              <w:rPr>
                <w:sz w:val="24"/>
                <w:szCs w:val="24"/>
                <w:color w:val="auto"/>
              </w:rPr>
            </w:pPr>
          </w:p>
        </w:tc>
        <w:tc>
          <w:tcPr>
            <w:tcW w:w="5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Power of Attorney (included on signature page to this Registration Statement)</w:t>
              </w:r>
            </w:hyperlink>
          </w:p>
        </w:tc>
        <w:tc>
          <w:tcPr>
            <w:tcW w:w="3840" w:type="dxa"/>
            <w:vAlign w:val="bottom"/>
            <w:gridSpan w:val="4"/>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Audit Committee Charter</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Compensation Committee Charter</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860" w:type="dxa"/>
            <w:vAlign w:val="bottom"/>
          </w:tcPr>
          <w:p>
            <w:pPr>
              <w:spacing w:after="0"/>
              <w:rPr>
                <w:sz w:val="24"/>
                <w:szCs w:val="24"/>
                <w:color w:val="auto"/>
              </w:rPr>
            </w:pP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Charter</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860" w:type="dxa"/>
            <w:vAlign w:val="bottom"/>
          </w:tcPr>
          <w:p>
            <w:pPr>
              <w:spacing w:after="0"/>
              <w:rPr>
                <w:sz w:val="24"/>
                <w:szCs w:val="24"/>
                <w:color w:val="auto"/>
              </w:rPr>
            </w:pPr>
          </w:p>
        </w:tc>
        <w:tc>
          <w:tcPr>
            <w:tcW w:w="9440" w:type="dxa"/>
            <w:vAlign w:val="bottom"/>
            <w:gridSpan w:val="15"/>
          </w:tcPr>
          <w:p>
            <w:pPr>
              <w:spacing w:after="0"/>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Consent of Admiral (Ret.) David Ben-Bashat to be named as director nominee</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860" w:type="dxa"/>
            <w:vAlign w:val="bottom"/>
          </w:tcPr>
          <w:p>
            <w:pPr>
              <w:spacing w:after="0"/>
              <w:rPr>
                <w:sz w:val="24"/>
                <w:szCs w:val="24"/>
                <w:color w:val="auto"/>
              </w:rPr>
            </w:pPr>
          </w:p>
        </w:tc>
        <w:tc>
          <w:tcPr>
            <w:tcW w:w="46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Consent of Raanan I. Horowitz to be named as director nominee</w:t>
              </w:r>
            </w:hyperlink>
          </w:p>
        </w:tc>
        <w:tc>
          <w:tcPr>
            <w:tcW w:w="1000" w:type="dxa"/>
            <w:vAlign w:val="bottom"/>
            <w:tcBorders>
              <w:top w:val="single" w:sz="8" w:color="0000EE"/>
            </w:tcBorders>
            <w:gridSpan w:val="6"/>
          </w:tcPr>
          <w:p>
            <w:pPr>
              <w:spacing w:after="0"/>
              <w:rPr>
                <w:sz w:val="24"/>
                <w:szCs w:val="24"/>
                <w:color w:val="auto"/>
              </w:rPr>
            </w:pPr>
          </w:p>
        </w:tc>
        <w:tc>
          <w:tcPr>
            <w:tcW w:w="382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860" w:type="dxa"/>
            <w:vAlign w:val="bottom"/>
          </w:tcPr>
          <w:p>
            <w:pPr>
              <w:spacing w:after="0"/>
              <w:rPr>
                <w:sz w:val="24"/>
                <w:szCs w:val="24"/>
                <w:color w:val="auto"/>
              </w:rPr>
            </w:pPr>
          </w:p>
        </w:tc>
        <w:tc>
          <w:tcPr>
            <w:tcW w:w="9440" w:type="dxa"/>
            <w:vAlign w:val="bottom"/>
            <w:gridSpan w:val="15"/>
          </w:tcPr>
          <w:p>
            <w:pPr>
              <w:spacing w:after="0"/>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Consent of Ambassador Adrian Zuckerman to be named as director nominee</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860" w:type="dxa"/>
            <w:vAlign w:val="bottom"/>
          </w:tcPr>
          <w:p>
            <w:pPr>
              <w:spacing w:after="0"/>
              <w:rPr>
                <w:sz w:val="24"/>
                <w:szCs w:val="24"/>
                <w:color w:val="auto"/>
              </w:rPr>
            </w:pPr>
          </w:p>
        </w:tc>
        <w:tc>
          <w:tcPr>
            <w:tcW w:w="55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Consent of Luis Machuca to be named as director nominee</w:t>
              </w:r>
            </w:hyperlink>
          </w:p>
        </w:tc>
        <w:tc>
          <w:tcPr>
            <w:tcW w:w="3940" w:type="dxa"/>
            <w:vAlign w:val="bottom"/>
            <w:gridSpan w:val="6"/>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86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Consent of Rear Admiral (Ret.) Omri Dagul to be named as director nominee</w:t>
              </w:r>
            </w:hyperlink>
          </w:p>
        </w:tc>
        <w:tc>
          <w:tcPr>
            <w:tcW w:w="388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99.9**</w:t>
            </w:r>
          </w:p>
        </w:tc>
        <w:tc>
          <w:tcPr>
            <w:tcW w:w="860" w:type="dxa"/>
            <w:vAlign w:val="bottom"/>
          </w:tcPr>
          <w:p>
            <w:pPr>
              <w:spacing w:after="0"/>
              <w:rPr>
                <w:sz w:val="24"/>
                <w:szCs w:val="24"/>
                <w:color w:val="auto"/>
              </w:rPr>
            </w:pPr>
          </w:p>
        </w:tc>
        <w:tc>
          <w:tcPr>
            <w:tcW w:w="41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387">
              <w:r>
                <w:rPr>
                  <w:rFonts w:ascii="Times New Roman" w:cs="Times New Roman" w:eastAsia="Times New Roman" w:hAnsi="Times New Roman"/>
                  <w:sz w:val="18"/>
                  <w:szCs w:val="18"/>
                  <w:color w:val="0000EE"/>
                  <w:w w:val="98"/>
                </w:rPr>
                <w:t>Consent of Bryan Timm to be named as director nominee</w:t>
              </w:r>
            </w:hyperlink>
          </w:p>
        </w:tc>
        <w:tc>
          <w:tcPr>
            <w:tcW w:w="5320" w:type="dxa"/>
            <w:vAlign w:val="bottom"/>
            <w:gridSpan w:val="1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99.10**</w:t>
            </w:r>
          </w:p>
        </w:tc>
        <w:tc>
          <w:tcPr>
            <w:tcW w:w="860" w:type="dxa"/>
            <w:vAlign w:val="bottom"/>
          </w:tcPr>
          <w:p>
            <w:pPr>
              <w:spacing w:after="0"/>
              <w:rPr>
                <w:sz w:val="24"/>
                <w:szCs w:val="24"/>
                <w:color w:val="auto"/>
              </w:rPr>
            </w:pPr>
          </w:p>
        </w:tc>
        <w:tc>
          <w:tcPr>
            <w:tcW w:w="9440" w:type="dxa"/>
            <w:vAlign w:val="bottom"/>
            <w:gridSpan w:val="15"/>
          </w:tcPr>
          <w:p>
            <w:pPr>
              <w:spacing w:after="0"/>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Consent of James Greene to be named as director nominee</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60" w:type="dxa"/>
            <w:vAlign w:val="bottom"/>
          </w:tcPr>
          <w:p>
            <w:pPr>
              <w:spacing w:after="0"/>
              <w:rPr>
                <w:sz w:val="24"/>
                <w:szCs w:val="24"/>
                <w:color w:val="auto"/>
              </w:rPr>
            </w:pPr>
          </w:p>
        </w:tc>
        <w:tc>
          <w:tcPr>
            <w:tcW w:w="42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Filing Fee Table</w:t>
              </w:r>
            </w:hyperlink>
          </w:p>
        </w:tc>
        <w:tc>
          <w:tcPr>
            <w:tcW w:w="5220" w:type="dxa"/>
            <w:vAlign w:val="bottom"/>
            <w:gridSpan w:val="10"/>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130" w:lineRule="exact"/>
        <w:rPr>
          <w:sz w:val="20"/>
          <w:szCs w:val="20"/>
          <w:color w:val="auto"/>
        </w:rPr>
      </w:pPr>
    </w:p>
    <w:p>
      <w:pPr>
        <w:ind w:left="120" w:right="8880" w:firstLine="2"/>
        <w:spacing w:after="0" w:line="312" w:lineRule="auto"/>
        <w:tabs>
          <w:tab w:leader="none" w:pos="33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Filed previously.</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82"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Palo Alto, State of California, on September 9, 2025.</w:t>
      </w:r>
    </w:p>
    <w:p>
      <w:pPr>
        <w:spacing w:after="0" w:line="18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67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Avi S Katz</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Dr. Avi S. Katz</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pacing w:after="0" w:line="197"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5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1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1"/>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 S. Katz</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9, 2025</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Dr. Avi S. Katz</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M. Marshall</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9, 2025</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Raluca Dinu</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9, 2025</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9"/>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II-5</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AUTHORIZED REPRESENTATIVE OF THE REGISTRANT</w:t>
      </w:r>
    </w:p>
    <w:p>
      <w:pPr>
        <w:spacing w:after="0" w:line="22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Pursuant to the requirement of the Securities Act of 1933, as amended, the undersigned has signed this registration statement, solely in his capacity as the duly authorized representative of GigCapital8 Corp. in the City of Palo Alto, California, on September 9, 2025.</w:t>
      </w:r>
    </w:p>
    <w:p>
      <w:pPr>
        <w:spacing w:after="0" w:line="190" w:lineRule="exact"/>
        <w:rPr>
          <w:sz w:val="20"/>
          <w:szCs w:val="20"/>
          <w:color w:val="auto"/>
        </w:rPr>
      </w:pPr>
    </w:p>
    <w:p>
      <w:pPr>
        <w:ind w:left="672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17145</wp:posOffset>
            </wp:positionV>
            <wp:extent cx="2423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Avi S. Katz</w:t>
      </w:r>
    </w:p>
    <w:p>
      <w:pPr>
        <w:spacing w:after="0" w:line="27" w:lineRule="exact"/>
        <w:rPr>
          <w:sz w:val="20"/>
          <w:szCs w:val="20"/>
          <w:color w:val="auto"/>
        </w:rPr>
      </w:pPr>
    </w:p>
    <w:p>
      <w:pPr>
        <w:ind w:left="6720"/>
        <w:spacing w:after="0"/>
        <w:tabs>
          <w:tab w:leader="none" w:pos="728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ectPr>
          <w:pgSz w:w="11900" w:h="16838" w:orient="portrait"/>
          <w:cols w:equalWidth="0" w:num="1">
            <w:col w:w="10900"/>
          </w:cols>
          <w:pgMar w:left="320" w:top="481" w:right="67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hereby consent to the use in this Amendment No. 1 to the Registration Statement on Form S-1 of our report (which contains an explanatory paragraph relating to the Company’s ability to continue as a going concern as described in Note 1 to the financial statements) dated September 9, 2025, relating to the financial statements of GigCapital8 Corp., which appears in such Registration Statement. We also consent to the reference to us under the heading “Experts” in such Registration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2025</w:t>
      </w:r>
    </w:p>
    <w:sectPr>
      <w:pgSz w:w="11900" w:h="16838" w:orient="portrait"/>
      <w:cols w:equalWidth="0" w:num="1">
        <w:col w:w="11000"/>
      </w:cols>
      <w:pgMar w:left="440" w:top="1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lowerLetter"/>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lvl w:ilvl="1">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1)"/>
      <w:numFmt w:val="decimal"/>
      <w:start w:val="2"/>
    </w:lvl>
  </w:abstractNum>
  <w:abstractNum w:abstractNumId="13">
    <w:nsid w:val="661E3F1E"/>
    <w:multiLevelType w:val="hybridMultilevel"/>
    <w:lvl w:ilvl="0">
      <w:lvlJc w:val="left"/>
      <w:lvlText w:val="(%1)"/>
      <w:numFmt w:val="decimal"/>
      <w:start w:val="5"/>
    </w:lvl>
  </w:abstractNum>
  <w:abstractNum w:abstractNumId="14">
    <w:nsid w:val="5DC79EA8"/>
    <w:multiLevelType w:val="hybridMultilevel"/>
    <w:lvl w:ilvl="0">
      <w:lvlJc w:val="left"/>
      <w:lvlText w:val="(%1)"/>
      <w:numFmt w:val="decimal"/>
      <w:start w:val="1"/>
    </w:lvl>
  </w:abstractNum>
  <w:abstractNum w:abstractNumId="15">
    <w:nsid w:val="540A471C"/>
    <w:multiLevelType w:val="hybridMultilevel"/>
    <w:lvl w:ilvl="0">
      <w:lvlJc w:val="left"/>
      <w:lvlText w:val="(%1)"/>
      <w:numFmt w:val="decimal"/>
      <w:start w:val="3"/>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lvl w:ilvl="1">
      <w:lvlJc w:val="left"/>
      <w:lvlText w:val="(%2)"/>
      <w:numFmt w:val="decimal"/>
      <w:start w:val="3"/>
    </w:lvl>
  </w:abstractNum>
  <w:abstractNum w:abstractNumId="18">
    <w:nsid w:val="613EFDC5"/>
    <w:multiLevelType w:val="hybridMultilevel"/>
    <w:lvl w:ilvl="0">
      <w:lvlJc w:val="left"/>
      <w:lvlText w:val="(%1)"/>
      <w:numFmt w:val="decimal"/>
      <w:start w:val="1"/>
    </w:lvl>
  </w:abstractNum>
  <w:abstractNum w:abstractNumId="19">
    <w:nsid w:val="BF72B14"/>
    <w:multiLevelType w:val="hybridMultilevel"/>
    <w:lvl w:ilvl="0">
      <w:lvlJc w:val="left"/>
      <w:lvlText w:val="(%1)"/>
      <w:numFmt w:val="decimal"/>
      <w:start w:val="1"/>
    </w:lvl>
  </w:abstractNum>
  <w:abstractNum w:abstractNumId="20">
    <w:nsid w:val="11447B73"/>
    <w:multiLevelType w:val="hybridMultilevel"/>
    <w:lvl w:ilvl="0">
      <w:lvlJc w:val="left"/>
      <w:lvlText w:val="(%1)"/>
      <w:numFmt w:val="decimal"/>
      <w:start w:val="3"/>
    </w:lvl>
  </w:abstractNum>
  <w:abstractNum w:abstractNumId="21">
    <w:nsid w:val="42963E5A"/>
    <w:multiLevelType w:val="hybridMultilevel"/>
    <w:lvl w:ilvl="0">
      <w:lvlJc w:val="left"/>
      <w:lvlText w:val="\emdash "/>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1)"/>
      <w:numFmt w:val="decimal"/>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1)"/>
      <w:numFmt w:val="decimal"/>
      <w:start w:val="2"/>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decimal"/>
      <w:start w:val="3"/>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1)"/>
      <w:numFmt w:val="lowerRoman"/>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1)"/>
      <w:numFmt w:val="decimal"/>
      <w:start w:val="3"/>
    </w:lvl>
  </w:abstractNum>
  <w:abstractNum w:abstractNumId="50">
    <w:nsid w:val="39EE015C"/>
    <w:multiLevelType w:val="hybridMultilevel"/>
    <w:lvl w:ilvl="0">
      <w:lvlJc w:val="left"/>
      <w:lvlText w:val="(%1)"/>
      <w:numFmt w:val="decimal"/>
      <w:start w:val="1"/>
    </w:lvl>
  </w:abstractNum>
  <w:abstractNum w:abstractNumId="51">
    <w:nsid w:val="57FC4FBB"/>
    <w:multiLevelType w:val="hybridMultilevel"/>
    <w:lvl w:ilvl="0">
      <w:lvlJc w:val="left"/>
      <w:lvlText w:val="(%1)"/>
      <w:numFmt w:val="decimal"/>
      <w:start w:val="4"/>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lvl w:ilvl="1">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1)"/>
      <w:numFmt w:val="lowerRoman"/>
      <w:start w:val="2"/>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1)"/>
      <w:numFmt w:val="lowerRoman"/>
      <w:start w:val="1"/>
    </w:lvl>
  </w:abstractNum>
  <w:abstractNum w:abstractNumId="69">
    <w:nsid w:val="73A1821B"/>
    <w:multiLevelType w:val="hybridMultilevel"/>
    <w:lvl w:ilvl="0">
      <w:lvlJc w:val="left"/>
      <w:lvlText w:val="(%1)"/>
      <w:numFmt w:val="lowerRoman"/>
      <w:start w:val="1"/>
    </w:lvl>
  </w:abstractNum>
  <w:abstractNum w:abstractNumId="70">
    <w:nsid w:val="7DE67713"/>
    <w:multiLevelType w:val="hybridMultilevel"/>
    <w:lvl w:ilvl="0">
      <w:lvlJc w:val="left"/>
      <w:lvlText w:val="(%1)"/>
      <w:numFmt w:val="lowerRoman"/>
      <w:start w:val="3"/>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1."/>
      <w:numFmt w:val="decimal"/>
      <w:start w:val="419"/>
    </w:lvl>
  </w:abstractNum>
  <w:abstractNum w:abstractNumId="74">
    <w:nsid w:val="6A3DD3E8"/>
    <w:multiLevelType w:val="hybridMultilevel"/>
    <w:lvl w:ilvl="0">
      <w:lvlJc w:val="left"/>
      <w:lvlText w:val="(%1)"/>
      <w:numFmt w:val="decimal"/>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1)"/>
      <w:numFmt w:val="decimal"/>
      <w:start w:val="1"/>
    </w:lvl>
  </w:abstractNum>
  <w:abstractNum w:abstractNumId="83">
    <w:nsid w:val="2A155DBC"/>
    <w:multiLevelType w:val="hybridMultilevel"/>
    <w:lvl w:ilvl="0">
      <w:lvlJc w:val="left"/>
      <w:lvlText w:val="(%1)"/>
      <w:numFmt w:val="decimal"/>
      <w:start w:val="5"/>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1)"/>
      <w:numFmt w:val="lowerRoman"/>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
      <w:numFmt w:val="bullet"/>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1)"/>
      <w:numFmt w:val="lowerRoman"/>
      <w:start w:val="2"/>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1)"/>
      <w:numFmt w:val="lowerLetter"/>
      <w:start w:val="1"/>
    </w:lvl>
  </w:abstractNum>
  <w:abstractNum w:abstractNumId="94">
    <w:nsid w:val="E7FFA2B"/>
    <w:multiLevelType w:val="hybridMultilevel"/>
    <w:lvl w:ilvl="0">
      <w:lvlJc w:val="left"/>
      <w:lvlText w:val="•"/>
      <w:numFmt w:val="bullet"/>
      <w:start w:val="1"/>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1)"/>
      <w:numFmt w:val="lowerLetter"/>
      <w:start w:val="8"/>
    </w:lvl>
  </w:abstractNum>
  <w:abstractNum w:abstractNumId="97">
    <w:nsid w:val="78DF6A55"/>
    <w:multiLevelType w:val="hybridMultilevel"/>
    <w:lvl w:ilvl="0">
      <w:lvlJc w:val="left"/>
      <w:lvlText w:val="(%1)"/>
      <w:numFmt w:val="lowerLetter"/>
      <w:start w:val="1"/>
    </w:lvl>
  </w:abstractNum>
  <w:abstractNum w:abstractNumId="98">
    <w:nsid w:val="39B7AAA2"/>
    <w:multiLevelType w:val="hybridMultilevel"/>
    <w:lvl w:ilvl="0">
      <w:lvlJc w:val="left"/>
      <w:lvlText w:val="(%1)"/>
      <w:numFmt w:val="lowerRoman"/>
      <w:start w:val="2"/>
    </w:lvl>
  </w:abstractNum>
  <w:abstractNum w:abstractNumId="99">
    <w:nsid w:val="2B0D8DBE"/>
    <w:multiLevelType w:val="hybridMultilevel"/>
    <w:lvl w:ilvl="0">
      <w:lvlJc w:val="left"/>
      <w:lvlText w:val="•"/>
      <w:numFmt w:val="bullet"/>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1."/>
      <w:numFmt w:val="decimal"/>
      <w:start w:val="1"/>
    </w:lvl>
  </w:abstractNum>
  <w:abstractNum w:abstractNumId="103">
    <w:nsid w:val="2C27173B"/>
    <w:multiLevelType w:val="hybridMultilevel"/>
    <w:lvl w:ilvl="0">
      <w:lvlJc w:val="left"/>
      <w:lvlText w:val="%1."/>
      <w:numFmt w:val="decimal"/>
      <w:start w:val="2"/>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1)"/>
      <w:numFmt w:val="lowerRoman"/>
      <w:start w:val="1"/>
    </w:lvl>
  </w:abstractNum>
  <w:abstractNum w:abstractNumId="108">
    <w:nsid w:val="3DD15094"/>
    <w:multiLevelType w:val="hybridMultilevel"/>
    <w:lvl w:ilvl="0">
      <w:lvlJc w:val="left"/>
      <w:lvlText w:val="(%1)"/>
      <w:numFmt w:val="lowerRoman"/>
      <w:start w:val="1"/>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1)"/>
      <w:numFmt w:val="decimal"/>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
      <w:numFmt w:val="bullet"/>
      <w:start w:val="1"/>
    </w:lvl>
  </w:abstractNum>
  <w:abstractNum w:abstractNumId="119">
    <w:nsid w:val="2C6E4AFD"/>
    <w:multiLevelType w:val="hybridMultilevel"/>
    <w:lvl w:ilvl="0">
      <w:lvlJc w:val="left"/>
      <w:lvlText w:val="(%1)"/>
      <w:numFmt w:val="lowerLetter"/>
      <w:start w:val="2"/>
    </w:lvl>
  </w:abstractNum>
  <w:abstractNum w:abstractNumId="120">
    <w:nsid w:val="17A1B582"/>
    <w:multiLevelType w:val="hybridMultilevel"/>
    <w:lvl w:ilvl="0">
      <w:lvlJc w:val="left"/>
      <w:lvlText w:val="•"/>
      <w:numFmt w:val="bullet"/>
      <w:start w:val="1"/>
    </w:lvl>
    <w:lvl w:ilvl="1">
      <w:lvlJc w:val="left"/>
      <w:lvlText w:val="(%2)"/>
      <w:numFmt w:val="lowerRoman"/>
      <w:start w:val="1"/>
    </w:lvl>
  </w:abstractNum>
  <w:abstractNum w:abstractNumId="121">
    <w:nsid w:val="4DF72E4E"/>
    <w:multiLevelType w:val="hybridMultilevel"/>
    <w:lvl w:ilvl="0">
      <w:lvlJc w:val="left"/>
      <w:lvlText w:val="(%1)"/>
      <w:numFmt w:val="decimal"/>
      <w:start w:val="1"/>
    </w:lvl>
  </w:abstractNum>
  <w:abstractNum w:abstractNumId="122">
    <w:nsid w:val="5046B5A9"/>
    <w:multiLevelType w:val="hybridMultilevel"/>
    <w:lvl w:ilvl="0">
      <w:lvlJc w:val="left"/>
      <w:lvlText w:val="(%1)"/>
      <w:numFmt w:val="decimal"/>
      <w:start w:val="1"/>
    </w:lvl>
  </w:abstractNum>
  <w:abstractNum w:abstractNumId="123">
    <w:nsid w:val="5D888A08"/>
    <w:multiLevelType w:val="hybridMultilevel"/>
    <w:lvl w:ilvl="0">
      <w:lvlJc w:val="left"/>
      <w:lvlText w:val="(%1)"/>
      <w:numFmt w:val="decimal"/>
      <w:start w:val="1"/>
    </w:lvl>
  </w:abstractNum>
  <w:abstractNum w:abstractNumId="124">
    <w:nsid w:val="2A082C70"/>
    <w:multiLevelType w:val="hybridMultilevel"/>
    <w:lvl w:ilvl="0">
      <w:lvlJc w:val="left"/>
      <w:lvlText w:val="(%1)"/>
      <w:numFmt w:val="decimal"/>
      <w:start w:val="2"/>
    </w:lvl>
  </w:abstractNum>
  <w:abstractNum w:abstractNumId="125">
    <w:nsid w:val="5EC6AFD4"/>
    <w:multiLevelType w:val="hybridMultilevel"/>
    <w:lvl w:ilvl="0">
      <w:lvlJc w:val="left"/>
      <w:lvlText w:val="%1."/>
      <w:numFmt w:val="upperLetter"/>
      <w:start w:val="4"/>
    </w:lvl>
  </w:abstractNum>
  <w:abstractNum w:abstractNumId="126">
    <w:nsid w:val="19E21BB2"/>
    <w:multiLevelType w:val="hybridMultilevel"/>
    <w:lvl w:ilvl="0">
      <w:lvlJc w:val="left"/>
      <w:lvlText w:val="(%1)"/>
      <w:numFmt w:val="decimal"/>
      <w:start w:val="1"/>
    </w:lvl>
  </w:abstractNum>
  <w:abstractNum w:abstractNumId="127">
    <w:nsid w:val="75E0858A"/>
    <w:multiLevelType w:val="hybridMultilevel"/>
    <w:lvl w:ilvl="0">
      <w:lvlJc w:val="left"/>
      <w:lvlText w:val="(%1)"/>
      <w:numFmt w:val="lowerLetter"/>
      <w:start w:val="1"/>
    </w:lvl>
  </w:abstractNum>
  <w:abstractNum w:abstractNumId="128">
    <w:nsid w:val="57A61A29"/>
    <w:multiLevelType w:val="hybridMultilevel"/>
    <w:lvl w:ilvl="0">
      <w:lvlJc w:val="left"/>
      <w:lvlText w:val="(%1)"/>
      <w:numFmt w:val="lowerLetter"/>
      <w:start w:val="1"/>
    </w:lvl>
  </w:abstractNum>
  <w:abstractNum w:abstractNumId="129">
    <w:nsid w:val="5399C654"/>
    <w:multiLevelType w:val="hybridMultilevel"/>
    <w:lvl w:ilvl="0">
      <w:lvlJc w:val="left"/>
      <w:lvlText w:val="(%1)"/>
      <w:numFmt w:val="decimal"/>
      <w:start w:val="1"/>
    </w:lvl>
  </w:abstractNum>
  <w:abstractNum w:abstractNumId="130">
    <w:nsid w:val="20EE1348"/>
    <w:multiLevelType w:val="hybridMultilevel"/>
    <w:lvl w:ilvl="0">
      <w:lvlJc w:val="left"/>
      <w:lvlText w:val="(%1)"/>
      <w:numFmt w:val="decimal"/>
      <w:start w:val="3"/>
    </w:lvl>
  </w:abstractNum>
  <w:abstractNum w:abstractNumId="131">
    <w:nsid w:val="4427069A"/>
    <w:multiLevelType w:val="hybridMultilevel"/>
    <w:lvl w:ilvl="0">
      <w:lvlJc w:val="left"/>
      <w:lvlText w:val="(%1)"/>
      <w:numFmt w:val="lowerRoman"/>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76" Type="http://schemas.openxmlformats.org/officeDocument/2006/relationships/hyperlink" Target="http://www.sec.gov/Archives/edgar/data/2080019/000119312525177848/d929696dex31.htm" TargetMode="External"/><Relationship Id="rId377" Type="http://schemas.openxmlformats.org/officeDocument/2006/relationships/hyperlink" Target="http://www.sec.gov/Archives/edgar/data/2080019/000119312525177848/d929696dex32.htm" TargetMode="External"/><Relationship Id="rId378" Type="http://schemas.openxmlformats.org/officeDocument/2006/relationships/hyperlink" Target="http://www.sec.gov/Archives/edgar/data/2080019/000119312525177848/d929696dex102.htm" TargetMode="External"/><Relationship Id="rId379" Type="http://schemas.openxmlformats.org/officeDocument/2006/relationships/hyperlink" Target="http://www.sec.gov/Archives/edgar/data/2080019/000119312525177848/d929696dex103.htm" TargetMode="External"/><Relationship Id="rId380" Type="http://schemas.openxmlformats.org/officeDocument/2006/relationships/hyperlink" Target="http://www.sec.gov/Archives/edgar/data/2080019/000119312525177848/d929696dex109.htm" TargetMode="External"/><Relationship Id="rId381" Type="http://schemas.openxmlformats.org/officeDocument/2006/relationships/hyperlink" Target="http://www.sec.gov/Archives/edgar/data/2080019/000119312525177848/d929696ds1.htm#sig" TargetMode="External"/><Relationship Id="rId382" Type="http://schemas.openxmlformats.org/officeDocument/2006/relationships/hyperlink" Target="http://www.sec.gov/Archives/edgar/data/2080019/000119312525177848/d929696dex994.htm" TargetMode="External"/><Relationship Id="rId383" Type="http://schemas.openxmlformats.org/officeDocument/2006/relationships/hyperlink" Target="http://www.sec.gov/Archives/edgar/data/2080019/000119312525177848/d929696dex995.htm" TargetMode="External"/><Relationship Id="rId384" Type="http://schemas.openxmlformats.org/officeDocument/2006/relationships/hyperlink" Target="http://www.sec.gov/Archives/edgar/data/2080019/000119312525177848/d929696dex996.htm" TargetMode="External"/><Relationship Id="rId385" Type="http://schemas.openxmlformats.org/officeDocument/2006/relationships/hyperlink" Target="http://www.sec.gov/Archives/edgar/data/2080019/000119312525177848/d929696dex997.htm" TargetMode="External"/><Relationship Id="rId386" Type="http://schemas.openxmlformats.org/officeDocument/2006/relationships/hyperlink" Target="http://www.sec.gov/Archives/edgar/data/2080019/000119312525177848/d929696dex998.htm" TargetMode="External"/><Relationship Id="rId387" Type="http://schemas.openxmlformats.org/officeDocument/2006/relationships/hyperlink" Target="http://www.sec.gov/Archives/edgar/data/2080019/000119312525177848/d929696dex999.htm" TargetMode="External"/><Relationship Id="rId388" Type="http://schemas.openxmlformats.org/officeDocument/2006/relationships/hyperlink" Target="http://www.sec.gov/Archives/edgar/data/2080019/000119312525177848/d929696dex9910.htm" TargetMode="External"/><Relationship Id="rId389" Type="http://schemas.openxmlformats.org/officeDocument/2006/relationships/hyperlink" Target="http://www.sec.gov/Archives/edgar/data/2080019/000119312525177848/d92969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2025-09-09T16:38:08Z</dcterms:created>
  <dcterms:modified xsi:type="dcterms:W3CDTF">2025-09-09T16:38:08Z</dcterms:modified>
</cp:coreProperties>
</file>